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76" w:lineRule="auto"/>
        <w:contextualSpacing w:val="0"/>
        <w:jc w:val="left"/>
      </w:pP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b w:val="1"/>
          <w:color w:val="222222"/>
          <w:sz w:val="28"/>
          <w:szCs w:val="28"/>
          <w:highlight w:val="white"/>
          <w:rtl w:val="0"/>
        </w:rPr>
        <w:t xml:space="preserve">TEQUILA CASA DRAGONES ESTUVO PRESENTE EN LA CABALGATA QUE HONRA EL MOVIMIENTO DE INDEPENDENCIA DE MÉXICO </w:t>
      </w:r>
    </w:p>
    <w:p w:rsidR="00000000" w:rsidDel="00000000" w:rsidP="00000000" w:rsidRDefault="00000000" w:rsidRPr="00000000">
      <w:pPr>
        <w:spacing w:line="276" w:lineRule="auto"/>
        <w:contextualSpacing w:val="0"/>
        <w:jc w:val="left"/>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widowControl w:val="0"/>
        <w:numPr>
          <w:ilvl w:val="0"/>
          <w:numId w:val="1"/>
        </w:numPr>
        <w:spacing w:after="0" w:before="0" w:line="276" w:lineRule="auto"/>
        <w:ind w:left="720" w:hanging="360"/>
        <w:contextualSpacing w:val="1"/>
        <w:jc w:val="both"/>
        <w:rPr>
          <w:i w:val="1"/>
        </w:rPr>
      </w:pPr>
      <w:r w:rsidDel="00000000" w:rsidR="00000000" w:rsidRPr="00000000">
        <w:rPr>
          <w:i w:val="1"/>
          <w:rtl w:val="0"/>
        </w:rPr>
        <w:t xml:space="preserve">Por su relevancia histórica, Tequila Casa Dragones se enorgullece de tener por cuna espiritual al sitio que fue sede de los dragones de la Independencia.</w:t>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widowControl w:val="0"/>
        <w:spacing w:after="0" w:before="0"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b w:val="1"/>
          <w:rtl w:val="0"/>
        </w:rPr>
        <w:t xml:space="preserve">Ciudad de México, a 14 de septiembre </w:t>
      </w:r>
      <w:r w:rsidDel="00000000" w:rsidR="00000000" w:rsidRPr="00000000">
        <w:rPr>
          <w:b w:val="1"/>
          <w:rtl w:val="0"/>
        </w:rPr>
        <w:t xml:space="preserve">de 2016.-  </w:t>
      </w:r>
      <w:r w:rsidDel="00000000" w:rsidR="00000000" w:rsidRPr="00000000">
        <w:rPr>
          <w:rtl w:val="0"/>
        </w:rPr>
        <w:t xml:space="preserve">Por cuarto año consecutivo Tequila Casa Dragones tiene una participación especial en la tradicional Cabalgata Histórica de los Conspiradores de Querétaro de 1810, que conmemora la historia de la insurrección de la Independencia.  Josefa Ortiz de Domínguez logró enviar un mensaje a Juan Aldama, quien se encontraba en el pueblo de San Miguel el Grande, avisándole que la conspiración había sido descubierta. Aldama partió a Dolores, en donde, reunido con Hidalgo y Allende, capitán de los legendarios Dragones de San Miguel, dieron inicio a la Guerra de Independencia.</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t xml:space="preserve">San Miguel de Allende,</w:t>
      </w:r>
      <w:r w:rsidDel="00000000" w:rsidR="00000000" w:rsidRPr="00000000">
        <w:rPr>
          <w:b w:val="1"/>
          <w:rtl w:val="0"/>
        </w:rPr>
        <w:t xml:space="preserve"> </w:t>
      </w:r>
      <w:r w:rsidDel="00000000" w:rsidR="00000000" w:rsidRPr="00000000">
        <w:rPr>
          <w:rtl w:val="0"/>
        </w:rPr>
        <w:t xml:space="preserve">fundada a principios del siglo XVI entre dos montañas en el centro de México y designada en 2008 como Patrimonio Cultural de la Humanidad por la UNESCO, es la sede de la Casa Dragones, un recinto sumamente representativo para el país, pues desde ahí se gestó parte de la Independencia de México.</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t xml:space="preserve">Ubicada en el Centro Histórico de San Miguel de Allende, la Casa Dragones alberga las caballerizas originales que fungieron como cuartel general de los Dragones que fueron pieza clave del movimiento.</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t xml:space="preserve">Dicha caballería de élite se encontraba estratégicamente localizada en San Miguel para proteger los intereses de la Reina Isabel I, La Católica, en donde poco a poco, obtuvo mucha influencia en los negocios y el comercio de la región. Años después de su creación, los Dragones formaron parte de la independencia de México, comandados por el general Ignacio Allende, sumando fuerzas con el cura Miguel Hidalgo, párroco de Dolores, quien dio inicio a la lucha por la independencia.</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t xml:space="preserve">Este lugar que atestiguó dicho movimiento, se convirtió en la cuna de </w:t>
      </w:r>
      <w:r w:rsidDel="00000000" w:rsidR="00000000" w:rsidRPr="00000000">
        <w:rPr>
          <w:b w:val="1"/>
          <w:rtl w:val="0"/>
        </w:rPr>
        <w:t xml:space="preserve">Tequila Casa Dragones</w:t>
      </w:r>
      <w:r w:rsidDel="00000000" w:rsidR="00000000" w:rsidRPr="00000000">
        <w:rPr>
          <w:rtl w:val="0"/>
        </w:rPr>
        <w:t xml:space="preserve">, que refleja el espíritu de evolución y rompe con lo establecido, así como lo hicieron quiénes lucharon por la independencia de México.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t xml:space="preserve">Tequila Casa Dragones, como testimonio del espíritu de independencia de los Dragones,  honra ese día en cada una de sus botellas con el número 16 en relieve, número exterior de la Casa Dragones en San Miguel de Allende.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La botella de Tequila Casa Dragones Joven honra el legado de la caballería, cada una lleva atada a mano un listón negro alrededor del cuello hacia el lado izquierdo, igual que las corbatas de lazo del escuadrón de caballería; además, que el representativo color azul de Tequila Casa Dragones está inspirado en el mismo color de los uniformes militares de este grupo.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"Inspirados en el espíritu rebelde de los Dragones de Allende, Casa Dragones es una empresa dedicada a impulsar la industria tequilera hacia el futuro con técnicas innovadoras y continuar poniendo  en alto el nombre de México”, comentó Bertha González Nieves, CEO de Tequila Casa Dragones.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Al igual que los Dragones del movimiento de la Independencia de México, Tequila Casa Dragones está abriendo nuevos caminos, elaborando tequilas artesanalmente para ser saboreados, siendo herederos del coraje y espíritu de independencia.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ind w:left="3600" w:firstLine="720"/>
        <w:contextualSpacing w:val="0"/>
        <w:jc w:val="left"/>
      </w:pPr>
      <w:r w:rsidDel="00000000" w:rsidR="00000000" w:rsidRPr="00000000">
        <w:rPr>
          <w:b w:val="1"/>
          <w:rtl w:val="0"/>
        </w:rPr>
        <w:t xml:space="preserve"># # #</w:t>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b w:val="1"/>
          <w:color w:val="222222"/>
          <w:sz w:val="18"/>
          <w:szCs w:val="18"/>
          <w:highlight w:val="white"/>
          <w:rtl w:val="0"/>
        </w:rPr>
        <w:t xml:space="preserve">Acerca Casa Dragones</w:t>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color w:val="222222"/>
          <w:sz w:val="18"/>
          <w:szCs w:val="18"/>
          <w:highlight w:val="white"/>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color w:val="222222"/>
          <w:sz w:val="18"/>
          <w:szCs w:val="18"/>
          <w:highlight w:val="white"/>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color w:val="222222"/>
          <w:sz w:val="18"/>
          <w:szCs w:val="18"/>
          <w:highlight w:val="white"/>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color w:val="222222"/>
          <w:sz w:val="18"/>
          <w:szCs w:val="18"/>
          <w:highlight w:val="white"/>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 </w:t>
      </w:r>
      <w:hyperlink r:id="rId5">
        <w:r w:rsidDel="00000000" w:rsidR="00000000" w:rsidRPr="00000000">
          <w:rPr>
            <w:color w:val="1155cc"/>
            <w:sz w:val="18"/>
            <w:szCs w:val="18"/>
            <w:highlight w:val="white"/>
            <w:u w:val="single"/>
            <w:rtl w:val="0"/>
          </w:rPr>
          <w:t xml:space="preserve">www.casadragones.com</w:t>
        </w:r>
      </w:hyperlink>
      <w:hyperlink r:id="rId6">
        <w:r w:rsidDel="00000000" w:rsidR="00000000" w:rsidRPr="00000000">
          <w:rPr>
            <w:rtl w:val="0"/>
          </w:rPr>
        </w:r>
      </w:hyperlink>
    </w:p>
    <w:p w:rsidR="00000000" w:rsidDel="00000000" w:rsidP="00000000" w:rsidRDefault="00000000" w:rsidRPr="00000000">
      <w:pPr>
        <w:widowControl w:val="0"/>
        <w:spacing w:line="276" w:lineRule="auto"/>
        <w:contextualSpacing w:val="0"/>
      </w:pPr>
      <w:hyperlink r:id="rId7">
        <w:r w:rsidDel="00000000" w:rsidR="00000000" w:rsidRPr="00000000">
          <w:rPr>
            <w:rtl w:val="0"/>
          </w:rPr>
        </w:r>
      </w:hyperlink>
    </w:p>
    <w:p w:rsidR="00000000" w:rsidDel="00000000" w:rsidP="00000000" w:rsidRDefault="00000000" w:rsidRPr="00000000">
      <w:pPr>
        <w:widowControl w:val="0"/>
        <w:spacing w:line="276" w:lineRule="auto"/>
        <w:contextualSpacing w:val="0"/>
      </w:pPr>
      <w:hyperlink r:id="rId8">
        <w:r w:rsidDel="00000000" w:rsidR="00000000" w:rsidRPr="00000000">
          <w:rPr>
            <w:rtl w:val="0"/>
          </w:rPr>
        </w:r>
      </w:hyperlink>
    </w:p>
    <w:p w:rsidR="00000000" w:rsidDel="00000000" w:rsidP="00000000" w:rsidRDefault="00000000" w:rsidRPr="00000000">
      <w:pPr>
        <w:spacing w:line="276" w:lineRule="auto"/>
        <w:contextualSpacing w:val="0"/>
      </w:pPr>
      <w:r w:rsidDel="00000000" w:rsidR="00000000" w:rsidRPr="00000000">
        <w:rPr>
          <w:b w:val="1"/>
          <w:rtl w:val="0"/>
        </w:rPr>
        <w:t xml:space="preserve">CONTACTO</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Ana Laura García Tinoco Ariza  </w:t>
      </w:r>
    </w:p>
    <w:p w:rsidR="00000000" w:rsidDel="00000000" w:rsidP="00000000" w:rsidRDefault="00000000" w:rsidRPr="00000000">
      <w:pPr>
        <w:spacing w:line="276" w:lineRule="auto"/>
        <w:contextualSpacing w:val="0"/>
      </w:pPr>
      <w:r w:rsidDel="00000000" w:rsidR="00000000" w:rsidRPr="00000000">
        <w:rPr>
          <w:rtl w:val="0"/>
        </w:rPr>
        <w:t xml:space="preserve">Another Company</w:t>
      </w:r>
    </w:p>
    <w:p w:rsidR="00000000" w:rsidDel="00000000" w:rsidP="00000000" w:rsidRDefault="00000000" w:rsidRPr="00000000">
      <w:pPr>
        <w:spacing w:line="276" w:lineRule="auto"/>
        <w:contextualSpacing w:val="0"/>
      </w:pPr>
      <w:r w:rsidDel="00000000" w:rsidR="00000000" w:rsidRPr="00000000">
        <w:rPr>
          <w:rtl w:val="0"/>
        </w:rPr>
        <w:t xml:space="preserve">ana@anothercompany.com.mx</w:t>
      </w:r>
    </w:p>
    <w:p w:rsidR="00000000" w:rsidDel="00000000" w:rsidP="00000000" w:rsidRDefault="00000000" w:rsidRPr="00000000">
      <w:pPr>
        <w:spacing w:line="276" w:lineRule="auto"/>
        <w:contextualSpacing w:val="0"/>
      </w:pPr>
      <w:r w:rsidDel="00000000" w:rsidR="00000000" w:rsidRPr="00000000">
        <w:rPr>
          <w:rtl w:val="0"/>
        </w:rPr>
        <w:t xml:space="preserve">6392.1100 ext. 2420</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center"/>
      </w:pPr>
      <w:r w:rsidDel="00000000" w:rsidR="00000000" w:rsidRPr="00000000">
        <w:rPr>
          <w:rtl w:val="0"/>
        </w:rPr>
      </w:r>
    </w:p>
    <w:sectPr>
      <w:headerReference r:id="rId9"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720" w:lineRule="auto"/>
      <w:contextualSpacing w:val="0"/>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2347913</wp:posOffset>
          </wp:positionH>
          <wp:positionV relativeFrom="paragraph">
            <wp:posOffset>19050</wp:posOffset>
          </wp:positionV>
          <wp:extent cx="812800" cy="1036320"/>
          <wp:effectExtent b="0" l="0" r="0" t="0"/>
          <wp:wrapTopAndBottom distB="0" distT="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vertAlign w:val="baseline"/>
      </w:rPr>
    </w:lvl>
    <w:lvl w:ilvl="1">
      <w:start w:val="1"/>
      <w:numFmt w:val="bullet"/>
      <w:lvlText w:val="o"/>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o"/>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o"/>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eader" Target="header1.xml"/><Relationship Id="rId5" Type="http://schemas.openxmlformats.org/officeDocument/2006/relationships/hyperlink" Target="http://www.casadragones.com/" TargetMode="External"/><Relationship Id="rId6" Type="http://schemas.openxmlformats.org/officeDocument/2006/relationships/hyperlink" Target="http://www.casadragones.com/" TargetMode="External"/><Relationship Id="rId7" Type="http://schemas.openxmlformats.org/officeDocument/2006/relationships/hyperlink" Target="http://www.casadragones.com/" TargetMode="External"/><Relationship Id="rId8" Type="http://schemas.openxmlformats.org/officeDocument/2006/relationships/hyperlink" Target="http://www.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