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Presenta Be The Match libro para orientar a pacientes y familias sobre el trasplante de células madre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En 5 apartados, dicho contenido pormenoriza lo más relevante sobre las diferentes fases de este procedimiento médico: antes, durante y después.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Se puede consultar gratuitamente en versión digital y se imprimirán los primeros</w:t>
      </w:r>
      <w:r w:rsidDel="00000000" w:rsidR="00000000" w:rsidRPr="00000000">
        <w:rPr>
          <w:i w:val="1"/>
          <w:rtl w:val="0"/>
        </w:rPr>
        <w:t xml:space="preserve"> 1,000</w:t>
      </w:r>
      <w:r w:rsidDel="00000000" w:rsidR="00000000" w:rsidRPr="00000000">
        <w:rPr>
          <w:i w:val="1"/>
          <w:rtl w:val="0"/>
        </w:rPr>
        <w:t xml:space="preserve"> ejemplares para regalar a pacientes y sus cuidadores así como a diferentes hospitales de la república mexicana.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Enfermedades como </w:t>
      </w:r>
      <w:r w:rsidDel="00000000" w:rsidR="00000000" w:rsidRPr="00000000">
        <w:rPr>
          <w:b w:val="1"/>
          <w:rtl w:val="0"/>
        </w:rPr>
        <w:t xml:space="preserve">leucemia y linfoma, así como padecimientos de baja prevalencia como las inmunodeficiencias primarias, entre otras más de 70 relacionadas con la sangre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pueden ser tratadas mediante un </w:t>
      </w:r>
      <w:r w:rsidDel="00000000" w:rsidR="00000000" w:rsidRPr="00000000">
        <w:rPr>
          <w:b w:val="1"/>
          <w:rtl w:val="0"/>
        </w:rPr>
        <w:t xml:space="preserve">trasplante de células madre</w:t>
      </w:r>
      <w:r w:rsidDel="00000000" w:rsidR="00000000" w:rsidRPr="00000000">
        <w:rPr>
          <w:rtl w:val="0"/>
        </w:rPr>
        <w:t xml:space="preserve">, también llamado de trasplante de médula ósea, y que en muchos casos representa la última oportunidad de sobrevivir para miles de personas alrededor del mundo.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Por ello, desde hace más de 30 años, consciente de la necesidad de que cada vez haya más donadores dispuestos a hacer un gesto de amor por quienes están en espera de un procedimiento de esta naturaleza, </w:t>
      </w:r>
      <w:r w:rsidDel="00000000" w:rsidR="00000000" w:rsidRPr="00000000">
        <w:rPr>
          <w:b w:val="1"/>
          <w:rtl w:val="0"/>
        </w:rPr>
        <w:t xml:space="preserve">Be The Match® se encarga de conectar a posibles donadores con pacientes cuyos perfiles genéticos sean compatibles entre sí</w:t>
      </w:r>
      <w:r w:rsidDel="00000000" w:rsidR="00000000" w:rsidRPr="00000000">
        <w:rPr>
          <w:rtl w:val="0"/>
        </w:rPr>
        <w:t xml:space="preserve"> y con ello se logren salvar más vidas por medio de la donación de médula ósea, representando hoy en día la base de datos más grande y diversa del mundo de gente con ganas de convertirse en héroe.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 el fin de </w:t>
      </w:r>
      <w:r w:rsidDel="00000000" w:rsidR="00000000" w:rsidRPr="00000000">
        <w:rPr>
          <w:b w:val="1"/>
          <w:rtl w:val="0"/>
        </w:rPr>
        <w:t xml:space="preserve">apoyar a los pacientes en el camino hacia el trasplante y reforzar la información</w:t>
      </w:r>
      <w:r w:rsidDel="00000000" w:rsidR="00000000" w:rsidRPr="00000000">
        <w:rPr>
          <w:rtl w:val="0"/>
        </w:rPr>
        <w:t xml:space="preserve"> que los médicos proporcionan a los mismos, Be The Match® México anuncia el lanzamiento del libro </w:t>
      </w: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Información básica sobre el trasplante de células madre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rtl w:val="0"/>
        </w:rPr>
        <w:t xml:space="preserve">, en el que en poco más d</w:t>
      </w:r>
      <w:r w:rsidDel="00000000" w:rsidR="00000000" w:rsidRPr="00000000">
        <w:rPr>
          <w:rtl w:val="0"/>
        </w:rPr>
        <w:t xml:space="preserve">e 70 páginas se explica de manera clara e ilustrativa, y con datos actualizados, aspectos sobre: la médula ósea, las enfermedades en la sangre, los tipos de trasplantes de médula ósea, consejos para la recaudación de fondos, y recomendaciones de valor para los enfermos y sus cuidadores.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 un material que a su vez detalla los </w:t>
      </w:r>
      <w:r w:rsidDel="00000000" w:rsidR="00000000" w:rsidRPr="00000000">
        <w:rPr>
          <w:b w:val="1"/>
          <w:rtl w:val="0"/>
        </w:rPr>
        <w:t xml:space="preserve">distintos tipos de apoyos que otorga Be The Match® a los pacientes en nuestro país</w:t>
      </w:r>
      <w:r w:rsidDel="00000000" w:rsidR="00000000" w:rsidRPr="00000000">
        <w:rPr>
          <w:rtl w:val="0"/>
        </w:rPr>
        <w:t xml:space="preserve">, y profundiza sobre los recursos que es posible encontrar en su </w:t>
      </w:r>
      <w:r w:rsidDel="00000000" w:rsidR="00000000" w:rsidRPr="00000000">
        <w:rPr>
          <w:b w:val="1"/>
          <w:rtl w:val="0"/>
        </w:rPr>
        <w:t xml:space="preserve">Centro de Apoyo a Pacientes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Uno de los mayores valores del libro es ser un material educativo que también puede ser entendido por </w:t>
      </w:r>
      <w:r w:rsidDel="00000000" w:rsidR="00000000" w:rsidRPr="00000000">
        <w:rPr>
          <w:b w:val="1"/>
          <w:rtl w:val="0"/>
        </w:rPr>
        <w:t xml:space="preserve">pacientes pediátricos</w:t>
      </w:r>
      <w:r w:rsidDel="00000000" w:rsidR="00000000" w:rsidRPr="00000000">
        <w:rPr>
          <w:rtl w:val="0"/>
        </w:rPr>
        <w:t xml:space="preserve"> (niños), así como por sus familias.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 </w:t>
      </w:r>
      <w:r w:rsidDel="00000000" w:rsidR="00000000" w:rsidRPr="00000000">
        <w:rPr>
          <w:b w:val="1"/>
          <w:rtl w:val="0"/>
        </w:rPr>
        <w:t xml:space="preserve">versiones online y física</w:t>
      </w:r>
      <w:r w:rsidDel="00000000" w:rsidR="00000000" w:rsidRPr="00000000">
        <w:rPr>
          <w:rtl w:val="0"/>
        </w:rPr>
        <w:t xml:space="preserve">, la cual tendrá un tiraje en el primer año de mil ejemplares, este material será entregado a los pacientes en camino al trasplante por medio del </w:t>
      </w:r>
      <w:r w:rsidDel="00000000" w:rsidR="00000000" w:rsidRPr="00000000">
        <w:rPr>
          <w:rtl w:val="0"/>
        </w:rPr>
        <w:t xml:space="preserve">Centro de Apoyo a Pacientes de Be The Match</w:t>
      </w:r>
      <w:r w:rsidDel="00000000" w:rsidR="00000000" w:rsidRPr="00000000">
        <w:rPr>
          <w:b w:val="1"/>
          <w:rtl w:val="0"/>
        </w:rPr>
        <w:t xml:space="preserve">®</w:t>
      </w:r>
      <w:r w:rsidDel="00000000" w:rsidR="00000000" w:rsidRPr="00000000">
        <w:rPr>
          <w:rtl w:val="0"/>
        </w:rPr>
        <w:t xml:space="preserve"> México, a través de las trabajadoras sociales de los hospitales que forman parte de la red de la organización, así como a médicos y estudiantes de medicina de distintas instituciones.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Entre los</w:t>
      </w:r>
      <w:r w:rsidDel="00000000" w:rsidR="00000000" w:rsidRPr="00000000">
        <w:rPr>
          <w:rtl w:val="0"/>
        </w:rPr>
        <w:t xml:space="preserve"> centros de salud d</w:t>
      </w:r>
      <w:r w:rsidDel="00000000" w:rsidR="00000000" w:rsidRPr="00000000">
        <w:rPr>
          <w:rtl w:val="0"/>
        </w:rPr>
        <w:t xml:space="preserve">onde será distribuido el material destacan</w:t>
      </w:r>
      <w:r w:rsidDel="00000000" w:rsidR="00000000" w:rsidRPr="00000000">
        <w:rPr>
          <w:rtl w:val="0"/>
        </w:rPr>
        <w:t xml:space="preserve"> el Instituto Nacional de Pediatría, el Hospital Universitario en Monterrey, </w:t>
      </w:r>
      <w:r w:rsidDel="00000000" w:rsidR="00000000" w:rsidRPr="00000000">
        <w:rPr>
          <w:rtl w:val="0"/>
        </w:rPr>
        <w:t xml:space="preserve">Hospital Infantil de México Federico Gómez</w:t>
      </w:r>
      <w:r w:rsidDel="00000000" w:rsidR="00000000" w:rsidRPr="00000000">
        <w:rPr>
          <w:rtl w:val="0"/>
        </w:rPr>
        <w:t xml:space="preserve">, el Centro Médico ABC, el Hospital para el Niño Poblano y el Hospital Ángeles Lomas, entre otros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b w:val="1"/>
          <w:rtl w:val="0"/>
        </w:rPr>
        <w:t xml:space="preserve">a presentación oficial se llevó a cabo el 29 de abril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como parte de la mesa redonda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Terapia celular para pacientes pediátricos con enfermedades en la sangre en México, panorama actual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”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donde se brindó una perspectiva, desde la visión de expertos en salud y de las organizaciones de la sociedad civil, sobre el </w:t>
      </w:r>
      <w:r w:rsidDel="00000000" w:rsidR="00000000" w:rsidRPr="00000000">
        <w:rPr>
          <w:rtl w:val="0"/>
        </w:rPr>
        <w:t xml:space="preserve">acceso a la terapia celular en pacientes pediátricos de nuestro país, los progresos que ha habido en los últimos años y aquellas barreras en las que en conjunto aún tenemos que colaborar por brindar un tratamiento integral y eficaz para  ellos.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Durante el evento, participaron: el </w:t>
      </w:r>
      <w:r w:rsidDel="00000000" w:rsidR="00000000" w:rsidRPr="00000000">
        <w:rPr>
          <w:rtl w:val="0"/>
        </w:rPr>
        <w:t xml:space="preserve">Dr. Martín Pérez García, Jefe de Unidad de Trasplante de Médula del Hospital Infantil Teletón de Oncología; Dr. Felix Gaytan Morales, Jefe de la Unidad de Trasplante de Médula Ósea del Hospital Infantil de México Federico Gómez; Laura Vidales, Fundadora y miembro del patronato de Aquí Nadie Se Rinde I.A.P y Representante de la alianza Conecta2 Por La Vida; Mayela García, Socia Fundadora de FUMENI y  Representante de la Iniciativa Nadie Es Menos; Dr. Óscar González Ramella, Encargado de la unidad de trasplante de médula ósea del Hospital Puerta de </w:t>
      </w:r>
      <w:r w:rsidDel="00000000" w:rsidR="00000000" w:rsidRPr="00000000">
        <w:rPr>
          <w:rtl w:val="0"/>
        </w:rPr>
        <w:t xml:space="preserve">Hierro y Sergio Medrano, Gerente general de Be The Match® México.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Contar con materiales educativos como el libro “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Información básica sobre el trasplante de células madre</w:t>
      </w:r>
      <w:r w:rsidDel="00000000" w:rsidR="00000000" w:rsidRPr="00000000">
        <w:rPr>
          <w:rtl w:val="0"/>
        </w:rPr>
        <w:t xml:space="preserve">”, </w:t>
      </w:r>
      <w:r w:rsidDel="00000000" w:rsidR="00000000" w:rsidRPr="00000000">
        <w:rPr>
          <w:b w:val="1"/>
          <w:rtl w:val="0"/>
        </w:rPr>
        <w:t xml:space="preserve">ayudará a los pacientes y sus seres queridos a entender mucho mejor</w:t>
      </w:r>
      <w:r w:rsidDel="00000000" w:rsidR="00000000" w:rsidRPr="00000000">
        <w:rPr>
          <w:rtl w:val="0"/>
        </w:rPr>
        <w:t xml:space="preserve"> el proceso que pudieran estar viviendo, encontrar información precisa de utilidad y saber a qué instancias recurrir para solicitar ayuda ampliada. 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Su </w:t>
      </w:r>
      <w:r w:rsidDel="00000000" w:rsidR="00000000" w:rsidRPr="00000000">
        <w:rPr>
          <w:b w:val="1"/>
          <w:rtl w:val="0"/>
        </w:rPr>
        <w:t xml:space="preserve">versión electrónica</w:t>
      </w:r>
      <w:r w:rsidDel="00000000" w:rsidR="00000000" w:rsidRPr="00000000">
        <w:rPr>
          <w:rtl w:val="0"/>
        </w:rPr>
        <w:t xml:space="preserve"> ya puede ser consultada y descargada </w:t>
      </w:r>
      <w:r w:rsidDel="00000000" w:rsidR="00000000" w:rsidRPr="00000000">
        <w:rPr>
          <w:rtl w:val="0"/>
        </w:rPr>
        <w:t xml:space="preserve">en este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con el fin de que sea compartida con la mayor cantidad de personas posible que actualmente estén pasando por el camino al trasplante, en el que </w:t>
      </w:r>
      <w:r w:rsidDel="00000000" w:rsidR="00000000" w:rsidRPr="00000000">
        <w:rPr>
          <w:b w:val="1"/>
          <w:rtl w:val="0"/>
        </w:rPr>
        <w:t xml:space="preserve">el amor y el cariño de todos, pero sobretodo el conocimiento</w:t>
      </w:r>
      <w:r w:rsidDel="00000000" w:rsidR="00000000" w:rsidRPr="00000000">
        <w:rPr>
          <w:rtl w:val="0"/>
        </w:rPr>
        <w:t xml:space="preserve"> es indispensable para que los pacientes salgan adelante y logren su recuperación.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En nuestro país, menos del 10% de los </w:t>
      </w:r>
      <w:r w:rsidDel="00000000" w:rsidR="00000000" w:rsidRPr="00000000">
        <w:rPr>
          <w:rtl w:val="0"/>
        </w:rPr>
        <w:t xml:space="preserve">pacientes en México que necesitan un trasplante lo consiguen lo cual, muchas veces, se debe a  la falta de donadores compatibles </w:t>
      </w:r>
      <w:r w:rsidDel="00000000" w:rsidR="00000000" w:rsidRPr="00000000">
        <w:rPr>
          <w:rtl w:val="0"/>
        </w:rPr>
        <w:t xml:space="preserve">por lo que además de difundir materiales como este nuevo libro, </w:t>
      </w:r>
      <w:r w:rsidDel="00000000" w:rsidR="00000000" w:rsidRPr="00000000">
        <w:rPr>
          <w:b w:val="1"/>
          <w:rtl w:val="0"/>
        </w:rPr>
        <w:t xml:space="preserve">es necesario que cada</w:t>
      </w:r>
      <w:r w:rsidDel="00000000" w:rsidR="00000000" w:rsidRPr="00000000">
        <w:rPr>
          <w:b w:val="1"/>
          <w:rtl w:val="0"/>
        </w:rPr>
        <w:t xml:space="preserve"> vez más personas se convenzan de querer salvar la vida de alguien</w:t>
      </w:r>
      <w:r w:rsidDel="00000000" w:rsidR="00000000" w:rsidRPr="00000000">
        <w:rPr>
          <w:rtl w:val="0"/>
        </w:rPr>
        <w:t xml:space="preserve"> volviéndose donador, con tan sólo solicitar su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kit de registro gratuito</w:t>
        </w:r>
      </w:hyperlink>
      <w:r w:rsidDel="00000000" w:rsidR="00000000" w:rsidRPr="00000000">
        <w:rPr>
          <w:rtl w:val="0"/>
        </w:rPr>
        <w:t xml:space="preserve">, muy fácil de llenar y devolver. 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Desde Be The Match</w:t>
      </w:r>
      <w:r w:rsidDel="00000000" w:rsidR="00000000" w:rsidRPr="00000000">
        <w:rPr>
          <w:b w:val="1"/>
          <w:rtl w:val="0"/>
        </w:rPr>
        <w:t xml:space="preserve">®</w:t>
      </w:r>
      <w:r w:rsidDel="00000000" w:rsidR="00000000" w:rsidRPr="00000000">
        <w:rPr>
          <w:rtl w:val="0"/>
        </w:rPr>
        <w:t xml:space="preserve"> México </w:t>
      </w:r>
      <w:r w:rsidDel="00000000" w:rsidR="00000000" w:rsidRPr="00000000">
        <w:rPr>
          <w:rtl w:val="0"/>
        </w:rPr>
        <w:t xml:space="preserve">seguiremos comprometidos en desarrollar materiales que brinden un apoyo </w:t>
      </w:r>
      <w:r w:rsidDel="00000000" w:rsidR="00000000" w:rsidRPr="00000000">
        <w:rPr>
          <w:rtl w:val="0"/>
        </w:rPr>
        <w:t xml:space="preserve">educativo a </w:t>
      </w:r>
      <w:r w:rsidDel="00000000" w:rsidR="00000000" w:rsidRPr="00000000">
        <w:rPr>
          <w:rtl w:val="0"/>
        </w:rPr>
        <w:t xml:space="preserve">quienes padecen alguna enfermedad de la sangre</w:t>
      </w:r>
      <w:r w:rsidDel="00000000" w:rsidR="00000000" w:rsidRPr="00000000">
        <w:rPr>
          <w:rtl w:val="0"/>
        </w:rPr>
        <w:t xml:space="preserve"> y les permita eliminar cualquier duda sobre su proceso.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Ayúdanos a difundir esta información y síguenos en redes sociales si requieres más información: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  <w:t xml:space="preserve">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  <w:t xml:space="preserve">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TikTok</w:t>
        </w:r>
      </w:hyperlink>
      <w:r w:rsidDel="00000000" w:rsidR="00000000" w:rsidRPr="00000000">
        <w:rPr>
          <w:rtl w:val="0"/>
        </w:rPr>
        <w:t xml:space="preserve"> y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color w:val="242323"/>
          <w:sz w:val="20"/>
          <w:szCs w:val="20"/>
        </w:rPr>
      </w:pP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Acerca de Be The Match® México</w:t>
      </w:r>
    </w:p>
    <w:p w:rsidR="00000000" w:rsidDel="00000000" w:rsidP="00000000" w:rsidRDefault="00000000" w:rsidRPr="00000000" w14:paraId="00000025">
      <w:pPr>
        <w:shd w:fill="ffffff" w:val="clear"/>
        <w:spacing w:after="200" w:before="200" w:lineRule="auto"/>
        <w:jc w:val="both"/>
        <w:rPr>
          <w:color w:val="242323"/>
          <w:sz w:val="20"/>
          <w:szCs w:val="20"/>
        </w:rPr>
      </w:pP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Be The Match® México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es una subsidiaria enteramente controlada por </w:t>
      </w: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Be The Match</w:t>
      </w:r>
      <w:r w:rsidDel="00000000" w:rsidR="00000000" w:rsidRPr="00000000">
        <w:rPr>
          <w:b w:val="1"/>
          <w:sz w:val="20"/>
          <w:szCs w:val="20"/>
          <w:rtl w:val="0"/>
        </w:rPr>
        <w:t xml:space="preserve">® </w:t>
      </w:r>
      <w:r w:rsidDel="00000000" w:rsidR="00000000" w:rsidRPr="00000000">
        <w:rPr>
          <w:sz w:val="20"/>
          <w:szCs w:val="20"/>
          <w:rtl w:val="0"/>
        </w:rPr>
        <w:t xml:space="preserve">es el registro de posibles donadores de médula ósea más grande y diverso del mundo, que ayuda a personas con enfermedades en la sangre a encontrar un donador genéticamente compatible para recibir el trasplante que necesitan para sobrevivir; además, brinda apoyo, acompañamiento y recursos económicos a pacientes y sus familias para cubrir parte de los costos del procedimiento de trasplante.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Nuestra organización es operada por el </w:t>
      </w: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National Marrow Donor Program® (NMDP®) (Programa Nacional de Donadores de Médula),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una organización sin fines de lucro que conecta a pacientes con sus respectivos donadores, educa a profesionales de la salud y realiza investigaciones a través de su </w:t>
      </w: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Centro Internacional de Investigación de Trasplantes de Sangre y Médula® (CIBMTR®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por sus siglas en inglés)</w:t>
      </w: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que ayuda a salvar más vidas.</w:t>
      </w:r>
    </w:p>
    <w:p w:rsidR="00000000" w:rsidDel="00000000" w:rsidP="00000000" w:rsidRDefault="00000000" w:rsidRPr="00000000" w14:paraId="00000026">
      <w:pPr>
        <w:shd w:fill="ffffff" w:val="clear"/>
        <w:spacing w:after="200" w:before="20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Para obtener más información, visita nuestro sitio web </w:t>
      </w:r>
      <w:hyperlink r:id="rId12">
        <w:r w:rsidDel="00000000" w:rsidR="00000000" w:rsidRPr="00000000">
          <w:rPr>
            <w:color w:val="bdcc2a"/>
            <w:sz w:val="20"/>
            <w:szCs w:val="20"/>
            <w:u w:val="single"/>
            <w:rtl w:val="0"/>
          </w:rPr>
          <w:t xml:space="preserve">www.BeTheMatch.org.mx</w:t>
        </w:r>
      </w:hyperlink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81163" cy="39650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1163" cy="3965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be-the-match-m%C3%A9xico/?originalSubdomain=mx" TargetMode="External"/><Relationship Id="rId10" Type="http://schemas.openxmlformats.org/officeDocument/2006/relationships/hyperlink" Target="https://www.tiktok.com/@bethematch_mx" TargetMode="External"/><Relationship Id="rId13" Type="http://schemas.openxmlformats.org/officeDocument/2006/relationships/header" Target="header1.xml"/><Relationship Id="rId12" Type="http://schemas.openxmlformats.org/officeDocument/2006/relationships/hyperlink" Target="http://bethematch.org.mx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channel/UC0qQ0Br_hKnWqyCHgX2Y0vQ" TargetMode="External"/><Relationship Id="rId5" Type="http://schemas.openxmlformats.org/officeDocument/2006/relationships/styles" Target="styles.xml"/><Relationship Id="rId6" Type="http://schemas.openxmlformats.org/officeDocument/2006/relationships/hyperlink" Target="https://bethematch.org.mx/pacientes/servicio-ayuda-pacientes/" TargetMode="External"/><Relationship Id="rId7" Type="http://schemas.openxmlformats.org/officeDocument/2006/relationships/hyperlink" Target="https://bethematch.org.mx/entregakits/" TargetMode="External"/><Relationship Id="rId8" Type="http://schemas.openxmlformats.org/officeDocument/2006/relationships/hyperlink" Target="https://www.instagram.com/bethematch_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