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jc w:val="center"/>
      </w:pPr>
      <w:bookmarkStart w:colFirst="0" w:colLast="0" w:name="h.gjdgxs" w:id="0"/>
      <w:bookmarkEnd w:id="0"/>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i w:val="1"/>
          <w:color w:val="000000"/>
          <w:sz w:val="24"/>
          <w:szCs w:val="24"/>
          <w:rtl w:val="0"/>
        </w:rPr>
        <w:t xml:space="preserve">POR SU LABOR FILANTRÓPICA, DANIEL CHÁVEZ MORÁN, FUNDADOR DE GRUPO VIDANTA, RECIB</w:t>
      </w:r>
      <w:r w:rsidDel="00000000" w:rsidR="00000000" w:rsidRPr="00000000">
        <w:rPr>
          <w:rFonts w:ascii="Arial" w:cs="Arial" w:eastAsia="Arial" w:hAnsi="Arial"/>
          <w:b w:val="1"/>
          <w:i w:val="1"/>
          <w:rtl w:val="0"/>
        </w:rPr>
        <w:t xml:space="preserve">IÓ</w:t>
      </w:r>
      <w:r w:rsidDel="00000000" w:rsidR="00000000" w:rsidRPr="00000000">
        <w:rPr>
          <w:rFonts w:ascii="Arial" w:cs="Arial" w:eastAsia="Arial" w:hAnsi="Arial"/>
          <w:b w:val="1"/>
          <w:i w:val="1"/>
          <w:color w:val="000000"/>
          <w:sz w:val="24"/>
          <w:szCs w:val="24"/>
          <w:rtl w:val="0"/>
        </w:rPr>
        <w:t xml:space="preserve"> EL PREMIO LIDERAZGO PARA LAS AMÉRICAS 2015</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0"/>
          <w:i w:val="1"/>
          <w:color w:val="000000"/>
          <w:sz w:val="22"/>
          <w:szCs w:val="22"/>
          <w:rtl w:val="0"/>
        </w:rPr>
        <w:t xml:space="preserve">A su vez, Fundación Vidanta otorg</w:t>
      </w:r>
      <w:r w:rsidDel="00000000" w:rsidR="00000000" w:rsidRPr="00000000">
        <w:rPr>
          <w:rFonts w:ascii="Arial" w:cs="Arial" w:eastAsia="Arial" w:hAnsi="Arial"/>
          <w:i w:val="1"/>
          <w:sz w:val="22"/>
          <w:szCs w:val="22"/>
          <w:rtl w:val="0"/>
        </w:rPr>
        <w:t xml:space="preserve">ó</w:t>
      </w:r>
      <w:r w:rsidDel="00000000" w:rsidR="00000000" w:rsidRPr="00000000">
        <w:rPr>
          <w:rFonts w:ascii="Arial" w:cs="Arial" w:eastAsia="Arial" w:hAnsi="Arial"/>
          <w:b w:val="0"/>
          <w:i w:val="1"/>
          <w:color w:val="000000"/>
          <w:sz w:val="22"/>
          <w:szCs w:val="22"/>
          <w:rtl w:val="0"/>
        </w:rPr>
        <w:t xml:space="preserve"> un reconocimiento a organizaciones que promueven iniciativas para reducir la pobreza, la desigualdad y la discriminación.</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1"/>
          <w:color w:val="000000"/>
          <w:sz w:val="22"/>
          <w:szCs w:val="22"/>
          <w:rtl w:val="0"/>
        </w:rPr>
        <w:t xml:space="preserve">México, D.F., a </w:t>
      </w:r>
      <w:r w:rsidDel="00000000" w:rsidR="00000000" w:rsidRPr="00000000">
        <w:rPr>
          <w:rFonts w:ascii="Arial" w:cs="Arial" w:eastAsia="Arial" w:hAnsi="Arial"/>
          <w:b w:val="1"/>
          <w:sz w:val="22"/>
          <w:szCs w:val="22"/>
          <w:rtl w:val="0"/>
        </w:rPr>
        <w:t xml:space="preserve">19</w:t>
      </w:r>
      <w:r w:rsidDel="00000000" w:rsidR="00000000" w:rsidRPr="00000000">
        <w:rPr>
          <w:rFonts w:ascii="Arial" w:cs="Arial" w:eastAsia="Arial" w:hAnsi="Arial"/>
          <w:b w:val="1"/>
          <w:color w:val="000000"/>
          <w:sz w:val="22"/>
          <w:szCs w:val="22"/>
          <w:rtl w:val="0"/>
        </w:rPr>
        <w:t xml:space="preserve"> de noviembre de 2015.–</w:t>
      </w:r>
      <w:r w:rsidDel="00000000" w:rsidR="00000000" w:rsidRPr="00000000">
        <w:rPr>
          <w:rFonts w:ascii="Arial" w:cs="Arial" w:eastAsia="Arial" w:hAnsi="Arial"/>
          <w:b w:val="0"/>
          <w:color w:val="000000"/>
          <w:sz w:val="22"/>
          <w:szCs w:val="22"/>
          <w:rtl w:val="0"/>
        </w:rPr>
        <w:t xml:space="preserve"> Para honrar el servicio público eficaz y permanente de los líderes más influyentes, </w:t>
      </w:r>
      <w:hyperlink r:id="rId5">
        <w:r w:rsidDel="00000000" w:rsidR="00000000" w:rsidRPr="00000000">
          <w:rPr>
            <w:rFonts w:ascii="Arial" w:cs="Arial" w:eastAsia="Arial" w:hAnsi="Arial"/>
            <w:b w:val="0"/>
            <w:color w:val="0000ff"/>
            <w:sz w:val="22"/>
            <w:szCs w:val="22"/>
            <w:u w:val="single"/>
            <w:rtl w:val="0"/>
          </w:rPr>
          <w:t xml:space="preserve">Diálogo Interamericano</w:t>
        </w:r>
      </w:hyperlink>
      <w:r w:rsidDel="00000000" w:rsidR="00000000" w:rsidRPr="00000000">
        <w:rPr>
          <w:rFonts w:ascii="Arial" w:cs="Arial" w:eastAsia="Arial" w:hAnsi="Arial"/>
          <w:b w:val="0"/>
          <w:color w:val="000000"/>
          <w:sz w:val="22"/>
          <w:szCs w:val="22"/>
          <w:rtl w:val="0"/>
        </w:rPr>
        <w:t xml:space="preserve"> –centro estadounidense de reflexión y análisis político y reconocido foro de debate de líderes globales sobre los grandes desafíos del Hemisferio Occidental– ofrec</w:t>
      </w:r>
      <w:r w:rsidDel="00000000" w:rsidR="00000000" w:rsidRPr="00000000">
        <w:rPr>
          <w:rFonts w:ascii="Arial" w:cs="Arial" w:eastAsia="Arial" w:hAnsi="Arial"/>
          <w:sz w:val="22"/>
          <w:szCs w:val="22"/>
          <w:rtl w:val="0"/>
        </w:rPr>
        <w:t xml:space="preserve">ió</w:t>
      </w:r>
      <w:r w:rsidDel="00000000" w:rsidR="00000000" w:rsidRPr="00000000">
        <w:rPr>
          <w:rFonts w:ascii="Arial" w:cs="Arial" w:eastAsia="Arial" w:hAnsi="Arial"/>
          <w:b w:val="0"/>
          <w:color w:val="000000"/>
          <w:sz w:val="22"/>
          <w:szCs w:val="22"/>
          <w:rtl w:val="0"/>
        </w:rPr>
        <w:t xml:space="preserve"> una gala </w:t>
      </w:r>
      <w:r w:rsidDel="00000000" w:rsidR="00000000" w:rsidRPr="00000000">
        <w:rPr>
          <w:rFonts w:ascii="Arial" w:cs="Arial" w:eastAsia="Arial" w:hAnsi="Arial"/>
          <w:sz w:val="22"/>
          <w:szCs w:val="22"/>
          <w:rtl w:val="0"/>
        </w:rPr>
        <w:t xml:space="preserve">el pasado 17 de noviembre</w:t>
      </w:r>
      <w:r w:rsidDel="00000000" w:rsidR="00000000" w:rsidRPr="00000000">
        <w:rPr>
          <w:rFonts w:ascii="Arial" w:cs="Arial" w:eastAsia="Arial" w:hAnsi="Arial"/>
          <w:b w:val="0"/>
          <w:color w:val="000000"/>
          <w:sz w:val="22"/>
          <w:szCs w:val="22"/>
          <w:rtl w:val="0"/>
        </w:rPr>
        <w:t xml:space="preserve"> para entregar el </w:t>
      </w:r>
      <w:r w:rsidDel="00000000" w:rsidR="00000000" w:rsidRPr="00000000">
        <w:rPr>
          <w:rFonts w:ascii="Arial" w:cs="Arial" w:eastAsia="Arial" w:hAnsi="Arial"/>
          <w:b w:val="1"/>
          <w:i w:val="1"/>
          <w:color w:val="000000"/>
          <w:sz w:val="22"/>
          <w:szCs w:val="22"/>
          <w:rtl w:val="0"/>
        </w:rPr>
        <w:t xml:space="preserve">Premio</w:t>
      </w:r>
      <w:r w:rsidDel="00000000" w:rsidR="00000000" w:rsidRPr="00000000">
        <w:rPr>
          <w:rFonts w:ascii="Arial" w:cs="Arial" w:eastAsia="Arial" w:hAnsi="Arial"/>
          <w:b w:val="0"/>
          <w:color w:val="000000"/>
          <w:sz w:val="22"/>
          <w:szCs w:val="22"/>
          <w:rtl w:val="0"/>
        </w:rPr>
        <w:t xml:space="preserve"> </w:t>
      </w:r>
      <w:r w:rsidDel="00000000" w:rsidR="00000000" w:rsidRPr="00000000">
        <w:rPr>
          <w:rFonts w:ascii="Arial" w:cs="Arial" w:eastAsia="Arial" w:hAnsi="Arial"/>
          <w:b w:val="1"/>
          <w:i w:val="1"/>
          <w:color w:val="000000"/>
          <w:sz w:val="22"/>
          <w:szCs w:val="22"/>
          <w:rtl w:val="0"/>
        </w:rPr>
        <w:t xml:space="preserve">Liderazgo para las Américas 2015</w:t>
      </w:r>
      <w:r w:rsidDel="00000000" w:rsidR="00000000" w:rsidRPr="00000000">
        <w:rPr>
          <w:rFonts w:ascii="Arial" w:cs="Arial" w:eastAsia="Arial" w:hAnsi="Arial"/>
          <w:b w:val="0"/>
          <w:color w:val="000000"/>
          <w:sz w:val="22"/>
          <w:szCs w:val="22"/>
          <w:rtl w:val="0"/>
        </w:rPr>
        <w:t xml:space="preserve"> a Daniel Chávez Morán, fundador de </w:t>
      </w:r>
      <w:hyperlink r:id="rId6">
        <w:r w:rsidDel="00000000" w:rsidR="00000000" w:rsidRPr="00000000">
          <w:rPr>
            <w:rFonts w:ascii="Arial" w:cs="Arial" w:eastAsia="Arial" w:hAnsi="Arial"/>
            <w:b w:val="1"/>
            <w:color w:val="0000ff"/>
            <w:sz w:val="22"/>
            <w:szCs w:val="22"/>
            <w:u w:val="single"/>
            <w:rtl w:val="0"/>
          </w:rPr>
          <w:t xml:space="preserve">Grupo Vidanta</w:t>
        </w:r>
      </w:hyperlink>
      <w:r w:rsidDel="00000000" w:rsidR="00000000" w:rsidRPr="00000000">
        <w:rPr>
          <w:rFonts w:ascii="Arial" w:cs="Arial" w:eastAsia="Arial" w:hAnsi="Arial"/>
          <w:b w:val="0"/>
          <w:color w:val="000000"/>
          <w:sz w:val="22"/>
          <w:szCs w:val="22"/>
          <w:rtl w:val="0"/>
        </w:rPr>
        <w:t xml:space="preserve">, por su compromiso cívico y su distinguida inversión filantrópica.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Nombrado en 2013 por la revista Forbes como uno de los 12 impulsores más potentes del turismo en México, Chávez Morán ha forjado alianzas sólidas con líderes mundiales del sector y mantenido su compromiso con la filantropía como un componente esencial de la misión de </w:t>
      </w:r>
      <w:r w:rsidDel="00000000" w:rsidR="00000000" w:rsidRPr="00000000">
        <w:rPr>
          <w:rFonts w:ascii="Arial" w:cs="Arial" w:eastAsia="Arial" w:hAnsi="Arial"/>
          <w:b w:val="1"/>
          <w:color w:val="000000"/>
          <w:sz w:val="22"/>
          <w:szCs w:val="22"/>
          <w:rtl w:val="0"/>
        </w:rPr>
        <w:t xml:space="preserve">Grupo Vidanta</w:t>
      </w:r>
      <w:r w:rsidDel="00000000" w:rsidR="00000000" w:rsidRPr="00000000">
        <w:rPr>
          <w:rFonts w:ascii="Arial" w:cs="Arial" w:eastAsia="Arial" w:hAnsi="Arial"/>
          <w:b w:val="0"/>
          <w:color w:val="000000"/>
          <w:sz w:val="22"/>
          <w:szCs w:val="22"/>
          <w:rtl w:val="0"/>
        </w:rPr>
        <w:t xml:space="preserve"> –desarrollador líder de </w:t>
      </w:r>
      <w:r w:rsidDel="00000000" w:rsidR="00000000" w:rsidRPr="00000000">
        <w:rPr>
          <w:rFonts w:ascii="Arial" w:cs="Arial" w:eastAsia="Arial" w:hAnsi="Arial"/>
          <w:b w:val="0"/>
          <w:i w:val="1"/>
          <w:color w:val="000000"/>
          <w:sz w:val="22"/>
          <w:szCs w:val="22"/>
          <w:rtl w:val="0"/>
        </w:rPr>
        <w:t xml:space="preserve">resorts</w:t>
      </w:r>
      <w:r w:rsidDel="00000000" w:rsidR="00000000" w:rsidRPr="00000000">
        <w:rPr>
          <w:rFonts w:ascii="Arial" w:cs="Arial" w:eastAsia="Arial" w:hAnsi="Arial"/>
          <w:b w:val="0"/>
          <w:color w:val="000000"/>
          <w:sz w:val="22"/>
          <w:szCs w:val="22"/>
          <w:rtl w:val="0"/>
        </w:rPr>
        <w:t xml:space="preserve"> e infraestructuras turísticas en México y Latinoamérica– para promover iniciativas que hagan del mundo un lugar mejor.</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 través de la </w:t>
      </w:r>
      <w:r w:rsidDel="00000000" w:rsidR="00000000" w:rsidRPr="00000000">
        <w:rPr>
          <w:rFonts w:ascii="Arial" w:cs="Arial" w:eastAsia="Arial" w:hAnsi="Arial"/>
          <w:b w:val="1"/>
          <w:color w:val="000000"/>
          <w:sz w:val="22"/>
          <w:szCs w:val="22"/>
          <w:rtl w:val="0"/>
        </w:rPr>
        <w:t xml:space="preserve">Fundación Vidanta</w:t>
      </w:r>
      <w:r w:rsidDel="00000000" w:rsidR="00000000" w:rsidRPr="00000000">
        <w:rPr>
          <w:rFonts w:ascii="Arial" w:cs="Arial" w:eastAsia="Arial" w:hAnsi="Arial"/>
          <w:b w:val="0"/>
          <w:color w:val="000000"/>
          <w:sz w:val="22"/>
          <w:szCs w:val="22"/>
          <w:rtl w:val="0"/>
        </w:rPr>
        <w:t xml:space="preserve">, Grupo Vidanta fomenta valores humanitarios y democráticos y la reducción de la pobreza y la desigualdad mediante la adjudicación de recursos financieros a individuos y organizaciones de la sociedad civil, labor que </w:t>
      </w:r>
      <w:r w:rsidDel="00000000" w:rsidR="00000000" w:rsidRPr="00000000">
        <w:rPr>
          <w:rFonts w:ascii="Arial" w:cs="Arial" w:eastAsia="Arial" w:hAnsi="Arial"/>
          <w:sz w:val="22"/>
          <w:szCs w:val="22"/>
          <w:rtl w:val="0"/>
        </w:rPr>
        <w:t xml:space="preserve">reconoció</w:t>
      </w:r>
      <w:r w:rsidDel="00000000" w:rsidR="00000000" w:rsidRPr="00000000">
        <w:rPr>
          <w:rFonts w:ascii="Arial" w:cs="Arial" w:eastAsia="Arial" w:hAnsi="Arial"/>
          <w:b w:val="0"/>
          <w:color w:val="000000"/>
          <w:sz w:val="22"/>
          <w:szCs w:val="22"/>
          <w:rtl w:val="0"/>
        </w:rPr>
        <w:t xml:space="preserve"> el </w:t>
      </w:r>
      <w:r w:rsidDel="00000000" w:rsidR="00000000" w:rsidRPr="00000000">
        <w:rPr>
          <w:rFonts w:ascii="Arial" w:cs="Arial" w:eastAsia="Arial" w:hAnsi="Arial"/>
          <w:sz w:val="22"/>
          <w:szCs w:val="22"/>
          <w:rtl w:val="0"/>
        </w:rPr>
        <w:t xml:space="preserve">pasado</w:t>
      </w:r>
      <w:r w:rsidDel="00000000" w:rsidR="00000000" w:rsidRPr="00000000">
        <w:rPr>
          <w:rFonts w:ascii="Arial" w:cs="Arial" w:eastAsia="Arial" w:hAnsi="Arial"/>
          <w:b w:val="0"/>
          <w:color w:val="000000"/>
          <w:sz w:val="22"/>
          <w:szCs w:val="22"/>
          <w:rtl w:val="0"/>
        </w:rPr>
        <w:t xml:space="preserve"> 18 de noviembre al entregar por sexta vez consecutiva el </w:t>
      </w:r>
      <w:r w:rsidDel="00000000" w:rsidR="00000000" w:rsidRPr="00000000">
        <w:rPr>
          <w:rFonts w:ascii="Arial" w:cs="Arial" w:eastAsia="Arial" w:hAnsi="Arial"/>
          <w:b w:val="1"/>
          <w:i w:val="1"/>
          <w:color w:val="000000"/>
          <w:sz w:val="22"/>
          <w:szCs w:val="22"/>
          <w:rtl w:val="0"/>
        </w:rPr>
        <w:t xml:space="preserve">Premio Fundación Vidanta “Contribuciones a la reducción de la pobreza y la desigualdad en América Latina y el Caribe, edición 2015”</w:t>
      </w:r>
      <w:r w:rsidDel="00000000" w:rsidR="00000000" w:rsidRPr="00000000">
        <w:rPr>
          <w:rFonts w:ascii="Arial" w:cs="Arial" w:eastAsia="Arial" w:hAnsi="Arial"/>
          <w:b w:val="0"/>
          <w:i w:val="1"/>
          <w:color w:val="000000"/>
          <w:sz w:val="22"/>
          <w:szCs w:val="22"/>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Esta distinción nació en 2009 de una iniciativa que asocia a la Organización de los Estados Americanos (OEA), a la Secretaría General Iberoamericana (SEGIB) y a la </w:t>
      </w:r>
      <w:r w:rsidDel="00000000" w:rsidR="00000000" w:rsidRPr="00000000">
        <w:rPr>
          <w:rFonts w:ascii="Arial" w:cs="Arial" w:eastAsia="Arial" w:hAnsi="Arial"/>
          <w:b w:val="1"/>
          <w:color w:val="000000"/>
          <w:sz w:val="22"/>
          <w:szCs w:val="22"/>
          <w:rtl w:val="0"/>
        </w:rPr>
        <w:t xml:space="preserve">Fundación Vidanta </w:t>
      </w:r>
      <w:r w:rsidDel="00000000" w:rsidR="00000000" w:rsidRPr="00000000">
        <w:rPr>
          <w:rFonts w:ascii="Arial" w:cs="Arial" w:eastAsia="Arial" w:hAnsi="Arial"/>
          <w:b w:val="0"/>
          <w:color w:val="000000"/>
          <w:sz w:val="22"/>
          <w:szCs w:val="22"/>
          <w:rtl w:val="0"/>
        </w:rPr>
        <w:t xml:space="preserve">con la finalidad de reconocer y apoyar trabajos sobresalientes que se realizan en América Latina y el Caribe para reducir la pobreza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color w:val="000000"/>
          <w:sz w:val="22"/>
          <w:szCs w:val="22"/>
          <w:rtl w:val="0"/>
        </w:rPr>
        <w:t xml:space="preserve">la desigualdad y combatir la discriminación.</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La entrega se </w:t>
      </w:r>
      <w:r w:rsidDel="00000000" w:rsidR="00000000" w:rsidRPr="00000000">
        <w:rPr>
          <w:rFonts w:ascii="Arial" w:cs="Arial" w:eastAsia="Arial" w:hAnsi="Arial"/>
          <w:sz w:val="22"/>
          <w:szCs w:val="22"/>
          <w:rtl w:val="0"/>
        </w:rPr>
        <w:t xml:space="preserve">llevó</w:t>
      </w:r>
      <w:r w:rsidDel="00000000" w:rsidR="00000000" w:rsidRPr="00000000">
        <w:rPr>
          <w:rFonts w:ascii="Arial" w:cs="Arial" w:eastAsia="Arial" w:hAnsi="Arial"/>
          <w:b w:val="0"/>
          <w:color w:val="000000"/>
          <w:sz w:val="22"/>
          <w:szCs w:val="22"/>
          <w:rtl w:val="0"/>
        </w:rPr>
        <w:t xml:space="preserve"> a cabo en el Salón de las Américas de la Organización de los Estados Americanos, en Washington D.C., en el marco de una ceremonia que cont</w:t>
      </w:r>
      <w:r w:rsidDel="00000000" w:rsidR="00000000" w:rsidRPr="00000000">
        <w:rPr>
          <w:rFonts w:ascii="Arial" w:cs="Arial" w:eastAsia="Arial" w:hAnsi="Arial"/>
          <w:sz w:val="22"/>
          <w:szCs w:val="22"/>
          <w:rtl w:val="0"/>
        </w:rPr>
        <w:t xml:space="preserve">ó</w:t>
      </w:r>
      <w:r w:rsidDel="00000000" w:rsidR="00000000" w:rsidRPr="00000000">
        <w:rPr>
          <w:rFonts w:ascii="Arial" w:cs="Arial" w:eastAsia="Arial" w:hAnsi="Arial"/>
          <w:b w:val="0"/>
          <w:color w:val="000000"/>
          <w:sz w:val="22"/>
          <w:szCs w:val="22"/>
          <w:rtl w:val="0"/>
        </w:rPr>
        <w:t xml:space="preserve"> con la participación del Embajador Néstor Méndez, secretario general adjunto de la OEA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color w:val="000000"/>
          <w:sz w:val="22"/>
          <w:szCs w:val="22"/>
          <w:rtl w:val="0"/>
        </w:rPr>
        <w:t xml:space="preserve"> el expresidente de Uruguay y presidente del Jurado del Premio en 2015, el Dr. Julio María Sanguinetti</w:t>
      </w:r>
      <w:r w:rsidDel="00000000" w:rsidR="00000000" w:rsidRPr="00000000">
        <w:rPr>
          <w:rFonts w:ascii="Arial" w:cs="Arial" w:eastAsia="Arial" w:hAnsi="Arial"/>
          <w:sz w:val="22"/>
          <w:szCs w:val="22"/>
          <w:rtl w:val="0"/>
        </w:rPr>
        <w:t xml:space="preserve">; y el</w:t>
      </w:r>
      <w:r w:rsidDel="00000000" w:rsidR="00000000" w:rsidRPr="00000000">
        <w:rPr>
          <w:rFonts w:ascii="Arial" w:cs="Arial" w:eastAsia="Arial" w:hAnsi="Arial"/>
          <w:b w:val="0"/>
          <w:color w:val="000000"/>
          <w:sz w:val="22"/>
          <w:szCs w:val="22"/>
          <w:rtl w:val="0"/>
        </w:rPr>
        <w:t xml:space="preserve"> Dr. Roberto Russell, presidente de la Fundación Vidanta</w:t>
      </w:r>
      <w:r w:rsidDel="00000000" w:rsidR="00000000" w:rsidRPr="00000000">
        <w:rPr>
          <w:rFonts w:ascii="Arial" w:cs="Arial" w:eastAsia="Arial" w:hAnsi="Arial"/>
          <w:sz w:val="22"/>
          <w:szCs w:val="22"/>
          <w:rtl w:val="0"/>
        </w:rPr>
        <w:t xml:space="preserve">, así como </w:t>
      </w:r>
      <w:r w:rsidDel="00000000" w:rsidR="00000000" w:rsidRPr="00000000">
        <w:rPr>
          <w:rFonts w:ascii="Arial" w:cs="Arial" w:eastAsia="Arial" w:hAnsi="Arial"/>
          <w:b w:val="0"/>
          <w:color w:val="000000"/>
          <w:sz w:val="22"/>
          <w:szCs w:val="22"/>
          <w:rtl w:val="0"/>
        </w:rPr>
        <w:t xml:space="preserve">de representantes de las instituciones que ganaron el Premio este año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color w:val="000000"/>
          <w:sz w:val="22"/>
          <w:szCs w:val="22"/>
          <w:rtl w:val="0"/>
        </w:rPr>
        <w:t xml:space="preserve"> la Asociación Civil Tiflonexos de la Argentina, de la Asociación Aprendo Contigo de Perú y de la Fundación Italo-Colombiana del Monte Tabor de Colombia.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sz w:val="22"/>
          <w:szCs w:val="22"/>
          <w:rtl w:val="0"/>
        </w:rPr>
        <w:t xml:space="preserve">El reconocimiento consistió en</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b w:val="0"/>
          <w:color w:val="000000"/>
          <w:sz w:val="22"/>
          <w:szCs w:val="22"/>
        </w:rPr>
      </w:pPr>
      <w:r w:rsidDel="00000000" w:rsidR="00000000" w:rsidRPr="00000000">
        <w:rPr>
          <w:rFonts w:ascii="Arial" w:cs="Arial" w:eastAsia="Arial" w:hAnsi="Arial"/>
          <w:b w:val="1"/>
          <w:color w:val="000000"/>
          <w:sz w:val="22"/>
          <w:szCs w:val="22"/>
          <w:rtl w:val="0"/>
        </w:rPr>
        <w:t xml:space="preserve">Primer premio (75 mil dólares):</w:t>
      </w:r>
      <w:r w:rsidDel="00000000" w:rsidR="00000000" w:rsidRPr="00000000">
        <w:rPr>
          <w:rFonts w:ascii="Arial" w:cs="Arial" w:eastAsia="Arial" w:hAnsi="Arial"/>
          <w:b w:val="0"/>
          <w:color w:val="000000"/>
          <w:sz w:val="22"/>
          <w:szCs w:val="22"/>
          <w:rtl w:val="0"/>
        </w:rPr>
        <w:t xml:space="preserve"> Para la </w:t>
      </w:r>
      <w:hyperlink r:id="rId7">
        <w:r w:rsidDel="00000000" w:rsidR="00000000" w:rsidRPr="00000000">
          <w:rPr>
            <w:rFonts w:ascii="Arial" w:cs="Arial" w:eastAsia="Arial" w:hAnsi="Arial"/>
            <w:b w:val="1"/>
            <w:color w:val="0000ff"/>
            <w:sz w:val="22"/>
            <w:szCs w:val="22"/>
            <w:u w:val="single"/>
            <w:rtl w:val="0"/>
          </w:rPr>
          <w:t xml:space="preserve">Asociación Civil Tifloxenos</w:t>
        </w:r>
      </w:hyperlink>
      <w:r w:rsidDel="00000000" w:rsidR="00000000" w:rsidRPr="00000000">
        <w:rPr>
          <w:rFonts w:ascii="Arial" w:cs="Arial" w:eastAsia="Arial" w:hAnsi="Arial"/>
          <w:b w:val="0"/>
          <w:color w:val="000000"/>
          <w:sz w:val="22"/>
          <w:szCs w:val="22"/>
          <w:rtl w:val="0"/>
        </w:rPr>
        <w:t xml:space="preserve"> (Argentina) por el programa Tiflolibros, bajo el cual ha formado la primera biblioteca digital de habla hispana para ciegos, que beneficia a 7 mil 500 personas invidentes o con baja visión y más de 300 instituciones que trabajan con personas con discapacidad visual, quienes acceden de forma directa a más de 50 mil libros.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b w:val="0"/>
          <w:color w:val="000000"/>
          <w:sz w:val="22"/>
          <w:szCs w:val="22"/>
        </w:rPr>
      </w:pPr>
      <w:bookmarkStart w:colFirst="0" w:colLast="0" w:name="h.30j0zll" w:id="1"/>
      <w:bookmarkEnd w:id="1"/>
      <w:r w:rsidDel="00000000" w:rsidR="00000000" w:rsidRPr="00000000">
        <w:rPr>
          <w:rFonts w:ascii="Arial" w:cs="Arial" w:eastAsia="Arial" w:hAnsi="Arial"/>
          <w:b w:val="1"/>
          <w:color w:val="000000"/>
          <w:sz w:val="22"/>
          <w:szCs w:val="22"/>
          <w:rtl w:val="0"/>
        </w:rPr>
        <w:t xml:space="preserve">Segundo premio (50 mil dólares): </w:t>
      </w:r>
      <w:r w:rsidDel="00000000" w:rsidR="00000000" w:rsidRPr="00000000">
        <w:rPr>
          <w:rFonts w:ascii="Arial" w:cs="Arial" w:eastAsia="Arial" w:hAnsi="Arial"/>
          <w:b w:val="0"/>
          <w:color w:val="000000"/>
          <w:sz w:val="22"/>
          <w:szCs w:val="22"/>
          <w:rtl w:val="0"/>
        </w:rPr>
        <w:t xml:space="preserve">Reconoce a la </w:t>
      </w:r>
      <w:hyperlink r:id="rId8">
        <w:r w:rsidDel="00000000" w:rsidR="00000000" w:rsidRPr="00000000">
          <w:rPr>
            <w:rFonts w:ascii="Arial" w:cs="Arial" w:eastAsia="Arial" w:hAnsi="Arial"/>
            <w:b w:val="1"/>
            <w:color w:val="0000ff"/>
            <w:sz w:val="22"/>
            <w:szCs w:val="22"/>
            <w:u w:val="single"/>
            <w:rtl w:val="0"/>
          </w:rPr>
          <w:t xml:space="preserve">Asociación Aprendo Contigo</w:t>
        </w:r>
      </w:hyperlink>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0"/>
          <w:color w:val="000000"/>
          <w:sz w:val="22"/>
          <w:szCs w:val="22"/>
          <w:rtl w:val="0"/>
        </w:rPr>
        <w:t xml:space="preserve">(Perú) por el proyecto de Aulas Hospitalarias que desarrolla servicios educativos y recreativos especializados en diversos hospitales de Perú, promoviendo el derecho a la educación de niños y jóvenes con necesidades médicas, hospitalizados o en tratamiento ambulatorio para que no pierdan la escolaridad.</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b w:val="0"/>
          <w:color w:val="000000"/>
          <w:sz w:val="22"/>
          <w:szCs w:val="22"/>
        </w:rPr>
      </w:pPr>
      <w:r w:rsidDel="00000000" w:rsidR="00000000" w:rsidRPr="00000000">
        <w:rPr>
          <w:rFonts w:ascii="Arial" w:cs="Arial" w:eastAsia="Arial" w:hAnsi="Arial"/>
          <w:b w:val="1"/>
          <w:color w:val="000000"/>
          <w:sz w:val="22"/>
          <w:szCs w:val="22"/>
          <w:rtl w:val="0"/>
        </w:rPr>
        <w:t xml:space="preserve">Tercer Premio (25 mil dólares):</w:t>
      </w:r>
      <w:r w:rsidDel="00000000" w:rsidR="00000000" w:rsidRPr="00000000">
        <w:rPr>
          <w:rFonts w:ascii="Arial" w:cs="Arial" w:eastAsia="Arial" w:hAnsi="Arial"/>
          <w:b w:val="0"/>
          <w:color w:val="000000"/>
          <w:sz w:val="22"/>
          <w:szCs w:val="22"/>
          <w:rtl w:val="0"/>
        </w:rPr>
        <w:t xml:space="preserve"> A la </w:t>
      </w:r>
      <w:hyperlink r:id="rId9">
        <w:r w:rsidDel="00000000" w:rsidR="00000000" w:rsidRPr="00000000">
          <w:rPr>
            <w:rFonts w:ascii="Arial" w:cs="Arial" w:eastAsia="Arial" w:hAnsi="Arial"/>
            <w:b w:val="1"/>
            <w:color w:val="0000ff"/>
            <w:sz w:val="22"/>
            <w:szCs w:val="22"/>
            <w:u w:val="single"/>
            <w:rtl w:val="0"/>
          </w:rPr>
          <w:t xml:space="preserve">Fundación Italo-Colombiana</w:t>
        </w:r>
      </w:hyperlink>
      <w:r w:rsidDel="00000000" w:rsidR="00000000" w:rsidRPr="00000000">
        <w:rPr>
          <w:rFonts w:ascii="Arial" w:cs="Arial" w:eastAsia="Arial" w:hAnsi="Arial"/>
          <w:b w:val="0"/>
          <w:color w:val="000000"/>
          <w:sz w:val="22"/>
          <w:szCs w:val="22"/>
          <w:rtl w:val="0"/>
        </w:rPr>
        <w:t xml:space="preserve"> del Monte Tabor (Colombia) por la iniciativa Intervención para el Mejoramiento de las Condiciones de la Salud de las Comunidades del Pacífico Colombiano, por la creación de un hospital flotante –el Barco Hospital San Rafaelle– que brinda asistencia médica a miles de personas que viven en áreas de difícil acceso geográfico y donde hay conflictos armado.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De esta manera, </w:t>
      </w:r>
      <w:r w:rsidDel="00000000" w:rsidR="00000000" w:rsidRPr="00000000">
        <w:rPr>
          <w:rFonts w:ascii="Arial" w:cs="Arial" w:eastAsia="Arial" w:hAnsi="Arial"/>
          <w:b w:val="1"/>
          <w:color w:val="000000"/>
          <w:sz w:val="22"/>
          <w:szCs w:val="22"/>
          <w:rtl w:val="0"/>
        </w:rPr>
        <w:t xml:space="preserve">Grupo Vidanta</w:t>
      </w:r>
      <w:r w:rsidDel="00000000" w:rsidR="00000000" w:rsidRPr="00000000">
        <w:rPr>
          <w:rFonts w:ascii="Arial" w:cs="Arial" w:eastAsia="Arial" w:hAnsi="Arial"/>
          <w:b w:val="0"/>
          <w:color w:val="000000"/>
          <w:sz w:val="22"/>
          <w:szCs w:val="22"/>
          <w:rtl w:val="0"/>
        </w:rPr>
        <w:t xml:space="preserve">, con el trabajo de </w:t>
      </w:r>
      <w:r w:rsidDel="00000000" w:rsidR="00000000" w:rsidRPr="00000000">
        <w:rPr>
          <w:rFonts w:ascii="Arial" w:cs="Arial" w:eastAsia="Arial" w:hAnsi="Arial"/>
          <w:b w:val="1"/>
          <w:color w:val="000000"/>
          <w:sz w:val="22"/>
          <w:szCs w:val="22"/>
          <w:rtl w:val="0"/>
        </w:rPr>
        <w:t xml:space="preserve">Fundación Vidanta</w:t>
      </w:r>
      <w:r w:rsidDel="00000000" w:rsidR="00000000" w:rsidRPr="00000000">
        <w:rPr>
          <w:rFonts w:ascii="Arial" w:cs="Arial" w:eastAsia="Arial" w:hAnsi="Arial"/>
          <w:b w:val="0"/>
          <w:color w:val="000000"/>
          <w:sz w:val="22"/>
          <w:szCs w:val="22"/>
          <w:rtl w:val="0"/>
        </w:rPr>
        <w:t xml:space="preserve">, reafirma su interés por contribuir a la innovación en estrategias que generan valores humanitarios y de solidaridad en la población en general, así como fomentar la filantropía y la responsabilidad social corporativa.</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Para más información sobre Fundación Vidanta, visita </w:t>
      </w:r>
      <w:hyperlink r:id="rId10">
        <w:r w:rsidDel="00000000" w:rsidR="00000000" w:rsidRPr="00000000">
          <w:rPr>
            <w:rFonts w:ascii="Arial" w:cs="Arial" w:eastAsia="Arial" w:hAnsi="Arial"/>
            <w:b w:val="0"/>
            <w:color w:val="0000ff"/>
            <w:sz w:val="22"/>
            <w:szCs w:val="22"/>
            <w:u w:val="single"/>
            <w:rtl w:val="0"/>
          </w:rPr>
          <w:t xml:space="preserve">http://www.fundacionvidanta.org/es/main</w:t>
        </w:r>
      </w:hyperlink>
      <w:hyperlink r:id="rId11">
        <w:r w:rsidDel="00000000" w:rsidR="00000000" w:rsidRPr="00000000">
          <w:rPr>
            <w:rtl w:val="0"/>
          </w:rPr>
        </w:r>
      </w:hyperlink>
    </w:p>
    <w:p w:rsidR="00000000" w:rsidDel="00000000" w:rsidP="00000000" w:rsidRDefault="00000000" w:rsidRPr="00000000">
      <w:pPr>
        <w:spacing w:after="200" w:before="0" w:line="276" w:lineRule="auto"/>
        <w:contextualSpacing w:val="0"/>
        <w:jc w:val="center"/>
      </w:pPr>
      <w:r w:rsidDel="00000000" w:rsidR="00000000" w:rsidRPr="00000000">
        <w:rPr>
          <w:rFonts w:ascii="Arial" w:cs="Arial" w:eastAsia="Arial" w:hAnsi="Arial"/>
          <w:b w:val="1"/>
          <w:i w:val="1"/>
          <w:color w:val="000000"/>
          <w:sz w:val="24"/>
          <w:szCs w:val="24"/>
          <w:rtl w:val="0"/>
        </w:rPr>
        <w:t xml:space="preserve"># # #</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Grupo Vidanta</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de lujo y hoteles en México y tiene al </w:t>
      </w:r>
      <w:r w:rsidDel="00000000" w:rsidR="00000000" w:rsidRPr="00000000">
        <w:rPr>
          <w:rFonts w:ascii="Arial" w:cs="Arial" w:eastAsia="Arial" w:hAnsi="Arial"/>
          <w:b w:val="0"/>
          <w:i w:val="1"/>
          <w:color w:val="000000"/>
          <w:sz w:val="20"/>
          <w:szCs w:val="20"/>
          <w:rtl w:val="0"/>
        </w:rPr>
        <w:t xml:space="preserve">G</w:t>
      </w:r>
      <w:r w:rsidDel="00000000" w:rsidR="00000000" w:rsidRPr="00000000">
        <w:rPr>
          <w:rFonts w:ascii="Arial" w:cs="Arial" w:eastAsia="Arial" w:hAnsi="Arial"/>
          <w:b w:val="0"/>
          <w:color w:val="000000"/>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0"/>
          <w:szCs w:val="20"/>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Vidanta y los </w:t>
      </w:r>
      <w:r w:rsidDel="00000000" w:rsidR="00000000" w:rsidRPr="00000000">
        <w:rPr>
          <w:rFonts w:ascii="Arial" w:cs="Arial" w:eastAsia="Arial" w:hAnsi="Arial"/>
          <w:b w:val="0"/>
          <w:i w:val="1"/>
          <w:color w:val="000000"/>
          <w:sz w:val="20"/>
          <w:szCs w:val="20"/>
          <w:rtl w:val="0"/>
        </w:rPr>
        <w:t xml:space="preserve">mega resorts </w:t>
      </w:r>
      <w:r w:rsidDel="00000000" w:rsidR="00000000" w:rsidRPr="00000000">
        <w:rPr>
          <w:rFonts w:ascii="Arial" w:cs="Arial" w:eastAsia="Arial" w:hAnsi="Arial"/>
          <w:b w:val="0"/>
          <w:color w:val="000000"/>
          <w:sz w:val="20"/>
          <w:szCs w:val="20"/>
          <w:rtl w:val="0"/>
        </w:rPr>
        <w:t xml:space="preserve">en las costas de los destinos más cotizados de México</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000000"/>
          <w:sz w:val="20"/>
          <w:szCs w:val="20"/>
          <w:rtl w:val="0"/>
        </w:rPr>
        <w:t xml:space="preserve">Nuevo Vallarta, Riviera Maya, Los Cabos, Acapulco, Puerto Peñasco, Puerto Vallarta y Mazatlán</w:t>
      </w:r>
      <w:r w:rsidDel="00000000" w:rsidR="00000000" w:rsidRPr="00000000">
        <w:rPr>
          <w:rFonts w:ascii="Arial" w:cs="Arial" w:eastAsia="Arial" w:hAnsi="Arial"/>
          <w:b w:val="0"/>
          <w:color w:val="000000"/>
          <w:sz w:val="20"/>
          <w:szCs w:val="20"/>
          <w:highlight w:val="white"/>
          <w:rtl w:val="0"/>
        </w:rPr>
        <w:t xml:space="preserve">— con marcas como </w:t>
      </w:r>
      <w:r w:rsidDel="00000000" w:rsidR="00000000" w:rsidRPr="00000000">
        <w:rPr>
          <w:rFonts w:ascii="Arial" w:cs="Arial" w:eastAsia="Arial" w:hAnsi="Arial"/>
          <w:b w:val="0"/>
          <w:i w:val="1"/>
          <w:color w:val="000000"/>
          <w:sz w:val="20"/>
          <w:szCs w:val="20"/>
          <w:rtl w:val="0"/>
        </w:rPr>
        <w:t xml:space="preserve">Grand Luxxe, The Grand Bliss, The Grand Mayan, The Bliss, Mayan Palace, Ocean Breeze </w:t>
      </w:r>
      <w:r w:rsidDel="00000000" w:rsidR="00000000" w:rsidRPr="00000000">
        <w:rPr>
          <w:rFonts w:ascii="Arial" w:cs="Arial" w:eastAsia="Arial" w:hAnsi="Arial"/>
          <w:b w:val="0"/>
          <w:color w:val="000000"/>
          <w:sz w:val="20"/>
          <w:szCs w:val="20"/>
          <w:rtl w:val="0"/>
        </w:rPr>
        <w:t xml:space="preserve">y</w:t>
      </w:r>
      <w:r w:rsidDel="00000000" w:rsidR="00000000" w:rsidRPr="00000000">
        <w:rPr>
          <w:rFonts w:ascii="Arial" w:cs="Arial" w:eastAsia="Arial" w:hAnsi="Arial"/>
          <w:b w:val="0"/>
          <w:i w:val="1"/>
          <w:color w:val="000000"/>
          <w:sz w:val="20"/>
          <w:szCs w:val="20"/>
          <w:rtl w:val="0"/>
        </w:rPr>
        <w:t xml:space="preserve"> Sea Garden,</w:t>
      </w:r>
      <w:r w:rsidDel="00000000" w:rsidR="00000000" w:rsidRPr="00000000">
        <w:rPr>
          <w:rFonts w:ascii="Arial" w:cs="Arial" w:eastAsia="Arial" w:hAnsi="Arial"/>
          <w:b w:val="0"/>
          <w:color w:val="000000"/>
          <w:sz w:val="20"/>
          <w:szCs w:val="20"/>
          <w:rtl w:val="0"/>
        </w:rPr>
        <w:t xml:space="preserve"> así como otras en desarrollo.</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fue fundado por Daniel Chávez Morán en 1974 y opera dos fundaciones para enriquecer la vida de los latinoamericanos. Para más información, visita</w:t>
      </w:r>
      <w:hyperlink r:id="rId12">
        <w:r w:rsidDel="00000000" w:rsidR="00000000" w:rsidRPr="00000000">
          <w:rPr>
            <w:rFonts w:ascii="Arial" w:cs="Arial" w:eastAsia="Arial" w:hAnsi="Arial"/>
            <w:b w:val="0"/>
            <w:color w:val="000000"/>
            <w:sz w:val="20"/>
            <w:szCs w:val="20"/>
            <w:rtl w:val="0"/>
          </w:rPr>
          <w:t xml:space="preserve"> </w:t>
        </w:r>
      </w:hyperlink>
      <w:hyperlink r:id="rId13">
        <w:r w:rsidDel="00000000" w:rsidR="00000000" w:rsidRPr="00000000">
          <w:rPr>
            <w:rFonts w:ascii="Arial" w:cs="Arial" w:eastAsia="Arial" w:hAnsi="Arial"/>
            <w:b w:val="0"/>
            <w:color w:val="1155cc"/>
            <w:sz w:val="20"/>
            <w:szCs w:val="20"/>
            <w:u w:val="single"/>
            <w:rtl w:val="0"/>
          </w:rPr>
          <w:t xml:space="preserve">http://vidanta.com/</w:t>
        </w:r>
      </w:hyperlink>
      <w:hyperlink r:id="rId14">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15">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4"/>
          <w:szCs w:val="24"/>
          <w:rtl w:val="0"/>
        </w:rPr>
        <w:t xml:space="preserve">Contacto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Sandy Machuca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Another Company</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6392-1100 ext. 2408</w:t>
      </w:r>
      <w:r w:rsidDel="00000000" w:rsidR="00000000" w:rsidRPr="00000000">
        <w:rPr>
          <w:rtl w:val="0"/>
        </w:rPr>
      </w:r>
    </w:p>
    <w:p w:rsidR="00000000" w:rsidDel="00000000" w:rsidP="00000000" w:rsidRDefault="00000000" w:rsidRPr="00000000">
      <w:pPr>
        <w:spacing w:after="0" w:before="0" w:line="276" w:lineRule="auto"/>
        <w:contextualSpacing w:val="0"/>
        <w:jc w:val="both"/>
      </w:pPr>
      <w:hyperlink r:id="rId16">
        <w:r w:rsidDel="00000000" w:rsidR="00000000" w:rsidRPr="00000000">
          <w:rPr>
            <w:rFonts w:ascii="Arial" w:cs="Arial" w:eastAsia="Arial" w:hAnsi="Arial"/>
            <w:b w:val="0"/>
            <w:color w:val="1155cc"/>
            <w:sz w:val="24"/>
            <w:szCs w:val="24"/>
            <w:u w:val="single"/>
            <w:rtl w:val="0"/>
          </w:rPr>
          <w:t xml:space="preserve">sandy@anothercompany.com.mx</w:t>
        </w:r>
      </w:hyperlink>
      <w:hyperlink r:id="rId17">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18">
        <w:r w:rsidDel="00000000" w:rsidR="00000000" w:rsidRPr="00000000">
          <w:rPr>
            <w:rtl w:val="0"/>
          </w:rPr>
        </w:r>
      </w:hyperlink>
    </w:p>
    <w:p w:rsidR="00000000" w:rsidDel="00000000" w:rsidP="00000000" w:rsidRDefault="00000000" w:rsidRPr="00000000">
      <w:pPr>
        <w:spacing w:after="200" w:before="0" w:line="276" w:lineRule="auto"/>
        <w:contextualSpacing w:val="0"/>
      </w:pPr>
      <w:hyperlink r:id="rId19">
        <w:r w:rsidDel="00000000" w:rsidR="00000000" w:rsidRPr="00000000">
          <w:rPr>
            <w:rtl w:val="0"/>
          </w:rPr>
        </w:r>
      </w:hyperlink>
    </w:p>
    <w:p w:rsidR="00000000" w:rsidDel="00000000" w:rsidP="00000000" w:rsidRDefault="00000000" w:rsidRPr="00000000">
      <w:pPr>
        <w:spacing w:after="200" w:before="0" w:line="276" w:lineRule="auto"/>
        <w:contextualSpacing w:val="0"/>
      </w:pPr>
      <w:hyperlink r:id="rId20">
        <w:r w:rsidDel="00000000" w:rsidR="00000000" w:rsidRPr="00000000">
          <w:rPr>
            <w:rtl w:val="0"/>
          </w:rPr>
        </w:r>
      </w:hyperlink>
    </w:p>
    <w:sectPr>
      <w:headerReference r:id="rId21"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pPr>
    <w:r w:rsidDel="00000000" w:rsidR="00000000" w:rsidRPr="00000000">
      <w:drawing>
        <wp:inline distB="0" distT="0" distL="0" distR="0">
          <wp:extent cx="2210224" cy="678405"/>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2210224" cy="678405"/>
                  </a:xfrm>
                  <a:prstGeom prst="rect"/>
                  <a:ln/>
                </pic:spPr>
              </pic:pic>
            </a:graphicData>
          </a:graphic>
        </wp:inline>
      </w:drawing>
    </w:r>
    <w:hyperlink r:id="rId2">
      <w:r w:rsidDel="00000000" w:rsidR="00000000" w:rsidRPr="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andy@anothercompany.com.mx" TargetMode="External"/><Relationship Id="rId11" Type="http://schemas.openxmlformats.org/officeDocument/2006/relationships/hyperlink" Target="http://www.fundacionvidanta.org/es/main" TargetMode="External"/><Relationship Id="rId10" Type="http://schemas.openxmlformats.org/officeDocument/2006/relationships/hyperlink" Target="http://www.fundacionvidanta.org/es/main" TargetMode="External"/><Relationship Id="rId21" Type="http://schemas.openxmlformats.org/officeDocument/2006/relationships/header" Target="header1.xml"/><Relationship Id="rId13" Type="http://schemas.openxmlformats.org/officeDocument/2006/relationships/hyperlink" Target="http://vidanta.com/" TargetMode="External"/><Relationship Id="rId12" Type="http://schemas.openxmlformats.org/officeDocument/2006/relationships/hyperlink" Target="http:///h"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ficmontetabor.com/la-fundacion/" TargetMode="External"/><Relationship Id="rId15" Type="http://schemas.openxmlformats.org/officeDocument/2006/relationships/hyperlink" Target="http://vidanta.com/" TargetMode="External"/><Relationship Id="rId14" Type="http://schemas.openxmlformats.org/officeDocument/2006/relationships/hyperlink" Target="http://vidanta.com/" TargetMode="External"/><Relationship Id="rId17" Type="http://schemas.openxmlformats.org/officeDocument/2006/relationships/hyperlink" Target="mailto:sandy@anothercompany.com.mx" TargetMode="External"/><Relationship Id="rId16" Type="http://schemas.openxmlformats.org/officeDocument/2006/relationships/hyperlink" Target="mailto:sandy@anothercompany.com.mx" TargetMode="External"/><Relationship Id="rId5" Type="http://schemas.openxmlformats.org/officeDocument/2006/relationships/hyperlink" Target="http://www.thedialogue.org/event/gala/" TargetMode="External"/><Relationship Id="rId19" Type="http://schemas.openxmlformats.org/officeDocument/2006/relationships/hyperlink" Target="mailto:sandy@anothercompany.com.mx" TargetMode="External"/><Relationship Id="rId6" Type="http://schemas.openxmlformats.org/officeDocument/2006/relationships/hyperlink" Target="http://grupovidanta.com" TargetMode="External"/><Relationship Id="rId18" Type="http://schemas.openxmlformats.org/officeDocument/2006/relationships/hyperlink" Target="mailto:sandy@anothercompany.com.mx" TargetMode="External"/><Relationship Id="rId7" Type="http://schemas.openxmlformats.org/officeDocument/2006/relationships/hyperlink" Target="http://www.tiflonexos.com.ar/" TargetMode="External"/><Relationship Id="rId8" Type="http://schemas.openxmlformats.org/officeDocument/2006/relationships/hyperlink" Target="http://www.aprendoconti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 Id="rId2" Type="http://schemas.openxmlformats.org/officeDocument/2006/relationships/hyperlink" Target="mailto:sandy@anothercompany.com.mx" TargetMode="External"/></Relationships>
</file>