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Gustavo</w:t>
      </w:r>
      <w:r w:rsidDel="00000000" w:rsidR="00000000" w:rsidRPr="00000000">
        <w:rPr>
          <w:b w:val="1"/>
          <w:sz w:val="28"/>
          <w:szCs w:val="28"/>
          <w:rtl w:val="0"/>
        </w:rPr>
        <w:t xml:space="preserve"> Ortega-Oyarzun, el embajador global de Zignum, muestra las ventajas del mezcal para la coctelería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El mixólogo ofreció su experiencia internacional en las tradicionales clínicas </w:t>
      </w:r>
      <w:r w:rsidDel="00000000" w:rsidR="00000000" w:rsidRPr="00000000">
        <w:rPr>
          <w:i w:val="1"/>
          <w:rtl w:val="0"/>
        </w:rPr>
        <w:t xml:space="preserve">de Dodo Café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Para derrumbar prejuicios es necesario tener conocimiento y eso fue lo que impartió el mixólogo Gustavo Ortega-Oyarzun en una clínica de mixología con mezcal. El embajador global de mezcal Zignum se presentó en las ya célebres </w:t>
      </w:r>
      <w:r w:rsidDel="00000000" w:rsidR="00000000" w:rsidRPr="00000000">
        <w:rPr>
          <w:i w:val="1"/>
          <w:rtl w:val="0"/>
        </w:rPr>
        <w:t xml:space="preserve">master classes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rtl w:val="0"/>
        </w:rPr>
        <w:t xml:space="preserve">Dodo Café</w:t>
      </w:r>
      <w:r w:rsidDel="00000000" w:rsidR="00000000" w:rsidRPr="00000000">
        <w:rPr>
          <w:rtl w:val="0"/>
        </w:rPr>
        <w:t xml:space="preserve">, en Querétaro, para mostrar a los invitados el arte de preparar cocteles con mezcal y cómo esta práctica se está convirtiendo en una tendencia internacional.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Como embajador global de Zignum y todos los mezcales de Casa Armando Guillermo Prieto (CAGP), la planta productora de mezcal más grande de México, Gustavo se ha dedicado a viajar por el mundo para mostrar la calidad de la bebida tradicional mexicana. Ha impartido clases magistrales en Dublín, Praga, Londres, Barcelona, Berlín, Milán, Miami y Nueva York, entre otras ciudades. En Nueva York presta sus servicios con el bar The Black Ant y en Orlando participa en el Pabellón México de Epcot Center en Walt Disney World.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“Dodo Café siempre se ha preocupado por exaltar la figura del bartender. Estar aquí con ellos y enseñar que el mezcal Zignum es una gran bebida para mezclar, me da mucha satisfacción”, dijo Ortega-Oyarzun. Desde pequeño, en la cocina de su madre en Celaya, aprendió la importancia de utilizar productos frescos y cómo equilibrar sabores. Esa combinación de conocimiento doméstico y su formación en arquitectura y diseño gráfico es la que utiliza para la invención de sus</w:t>
      </w:r>
      <w:r w:rsidDel="00000000" w:rsidR="00000000" w:rsidRPr="00000000">
        <w:rPr>
          <w:rtl w:val="0"/>
        </w:rPr>
        <w:t xml:space="preserve"> bebidas.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“Alrededor del mundo la gente se está enamorando del mezcal y está descubriendo nuevas formas de preparar cocteles. </w:t>
      </w:r>
      <w:r w:rsidDel="00000000" w:rsidR="00000000" w:rsidRPr="00000000">
        <w:rPr>
          <w:rtl w:val="0"/>
        </w:rPr>
        <w:t xml:space="preserve">Aunque parezca extraño, aquí en México ha sido más difícil enseñar que no solo se bebe </w:t>
      </w:r>
      <w:r w:rsidDel="00000000" w:rsidR="00000000" w:rsidRPr="00000000">
        <w:rPr>
          <w:rtl w:val="0"/>
        </w:rPr>
        <w:t xml:space="preserve">derecho</w:t>
      </w:r>
      <w:r w:rsidDel="00000000" w:rsidR="00000000" w:rsidRPr="00000000">
        <w:rPr>
          <w:rtl w:val="0"/>
        </w:rPr>
        <w:t xml:space="preserve">, sino que tiene una grandiosa capacidad para mezclarse. Por eso disfruto tanto estos encuentros con mexicanos que conocen el mezcal y se dejan sorprender por sus nuevos sabores”, agregó Ortega-Oyarzun.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Durante la clínica, los asistentes aprendieron a preparar diferentes bebidas a base de mezcal Zignum, el más premiado del mundo. Los más destacados que el mixólogo enseñó fueron “Las flores”, donde mezcló Zignum Silver con licor de flor de saúco y cerveza de jengibre; y el coctel “Las batallas”, con Zignum Añejo, licor de naranja con cognac y puré de maracuyá.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Ortega-Oyarzun también presentó bebidas con otros mezcales de CAGP. El coctel con El Señorío, bautizado “Una mañana”, fue una mezcla de mezcal con maíz criollo de Oaxaca y 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limón persa rostizado; mientras que “El baile y el salón” fue el coctel preparado con El Recuerdo de Oaxaca, Cocchi Americano y vermut seco. Después</w:t>
      </w:r>
      <w:r w:rsidDel="00000000" w:rsidR="00000000" w:rsidRPr="00000000">
        <w:rPr>
          <w:rtl w:val="0"/>
        </w:rPr>
        <w:t xml:space="preserve"> de la </w:t>
      </w:r>
      <w:r w:rsidDel="00000000" w:rsidR="00000000" w:rsidRPr="00000000">
        <w:rPr>
          <w:i w:val="1"/>
          <w:rtl w:val="0"/>
        </w:rPr>
        <w:t xml:space="preserve">master class</w:t>
      </w:r>
      <w:r w:rsidDel="00000000" w:rsidR="00000000" w:rsidRPr="00000000">
        <w:rPr>
          <w:rtl w:val="0"/>
        </w:rPr>
        <w:t xml:space="preserve">, el evento se complementó con un </w:t>
      </w:r>
      <w:r w:rsidDel="00000000" w:rsidR="00000000" w:rsidRPr="00000000">
        <w:rPr>
          <w:i w:val="1"/>
          <w:rtl w:val="0"/>
        </w:rPr>
        <w:t xml:space="preserve">guest bartending</w:t>
      </w:r>
      <w:r w:rsidDel="00000000" w:rsidR="00000000" w:rsidRPr="00000000">
        <w:rPr>
          <w:rtl w:val="0"/>
        </w:rPr>
        <w:t xml:space="preserve">, donde Gustavo Ortega-Oyarzun sorprendió a los clientes de Dodo Café con más bebidas increíbes hechas a partir del mezcal Zi</w:t>
      </w:r>
      <w:r w:rsidDel="00000000" w:rsidR="00000000" w:rsidRPr="00000000">
        <w:rPr>
          <w:rtl w:val="0"/>
        </w:rPr>
        <w:t xml:space="preserve">gnum.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Acerca de Zignum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l único mezcal de destilado 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premium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que presenta el agave en su forma más pura. Es el mezcal más premiado a nivel internacional, con numerosos reconocimientos en los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International Wine &amp; Spirit Competition, San Francisco World Spirit Competition,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SIP Awards y Beverage Tasting Institute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entre otros.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Sin olvidar sus raíces culturales, el proceso perfeccionado de Zignum, ofrece el mezcal más puro del mundo a todos los amantes de las bebidas tradicionales mexicanas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a través de sus tres variantes: Silver, Reposado y Añejo. Zignum está presente en México, </w:t>
      </w:r>
      <w:r w:rsidDel="00000000" w:rsidR="00000000" w:rsidRPr="00000000">
        <w:rPr>
          <w:sz w:val="18"/>
          <w:szCs w:val="18"/>
          <w:rtl w:val="0"/>
        </w:rPr>
        <w:t xml:space="preserve">España, Inglaterra, Portugal, República Checa, Polonia, Italia, Luxemburgo, Dubai, Nueva Zelanda y Estados Unidos.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373737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0000ff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Para más información sobre Zignum Mezcal, por favor ingrese a</w:t>
      </w:r>
      <w:r w:rsidDel="00000000" w:rsidR="00000000" w:rsidRPr="00000000">
        <w:rPr>
          <w:color w:val="373737"/>
          <w:sz w:val="18"/>
          <w:szCs w:val="18"/>
          <w:highlight w:val="white"/>
          <w:rtl w:val="0"/>
        </w:rPr>
        <w:t xml:space="preserve"> </w:t>
      </w:r>
      <w:hyperlink r:id="rId5">
        <w:r w:rsidDel="00000000" w:rsidR="00000000" w:rsidRPr="00000000">
          <w:rPr>
            <w:color w:val="0000ff"/>
            <w:sz w:val="18"/>
            <w:szCs w:val="18"/>
            <w:highlight w:val="white"/>
            <w:u w:val="single"/>
            <w:rtl w:val="0"/>
          </w:rPr>
          <w:t xml:space="preserve">www.zignummezcal.com.mx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0000f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Acerca de Casa Armando Guillermo Prieto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Fundada en 2007, tiene la firme intención de participar en la industria de bebidas alcohólicas a nivel nacional e internacional, el compromiso tenaz de respetar los recursos naturales de la zona y el deseo de enaltecer el acervo cultural de la región. Es una empresa 100 por ciento mexicana, ubicada en Tlacolula de Matamoros, Oaxaca; cuenta con la mayor planta de mezcal del mundo, produce alrededor de 14 mil litros diarios y su área de maduración está conformada por 1114 barricas de roble blanco y 250 de roble francés. Su producto estrella es el mezcal Zignum, el más premiado a nivel internacional; también ofrece otras marcas artesanales como El Recuerdo de Oaxaca y el Señorío y posee certificados Kosher y de Industria Limpia.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373737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Para conocer más sobre la Casa Armando Guillermo Prieto, por favor visite</w:t>
      </w:r>
      <w:r w:rsidDel="00000000" w:rsidR="00000000" w:rsidRPr="00000000">
        <w:rPr>
          <w:color w:val="373737"/>
          <w:sz w:val="18"/>
          <w:szCs w:val="18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color w:val="0000ff"/>
            <w:sz w:val="18"/>
            <w:szCs w:val="18"/>
            <w:highlight w:val="white"/>
            <w:u w:val="single"/>
            <w:rtl w:val="0"/>
          </w:rPr>
          <w:t xml:space="preserve">www.casaagp.com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373737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Recetario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rtl w:val="0"/>
        </w:rPr>
        <w:t xml:space="preserve">octeles 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</w:t>
      </w:r>
      <w:r w:rsidDel="00000000" w:rsidR="00000000" w:rsidRPr="00000000">
        <w:rPr>
          <w:b w:val="1"/>
          <w:sz w:val="18"/>
          <w:szCs w:val="18"/>
          <w:rtl w:val="0"/>
        </w:rPr>
        <w:t xml:space="preserve">as flores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Ingredientes: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oz Zignum Silver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0.75 oz Licor de flor de saúco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0.5 oz Reducción de toronja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0.5 oz  Jugo de limón real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Rellenado con cerveza de jengibre infusionado con pitiona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Amargo de mole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Decoración con menta, cáscara de toronja y sal de jamaica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Preparación: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Agitar los ingredientes y servir directo en vaso Collins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Las batallas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Ingredientes: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1.5 oz Zignum Añejo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0.75 Licor de naranja con cognac (Grand Marnier)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oz Puré de maracuyá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0.5 oz  Destilado con infusión de poleo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0.75 oz Crema de pepino con coco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0.5 oz Jugo de limón real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Puño de cilantro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Sal de hormiga negra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Preparación: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Agitar los ingredientes y servir sobre hielo frappé en vaso Collins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El baile y el salon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Ingredientes: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1.5 oz El Recuerdo de Oaxaca Joven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oz Cocchi Americano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oz Vermut seco infusionado con cáscara de guanábana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Compresión de sandía, sal de chile poblano y cáscara de naranja como decoración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Preparación: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Revolver los ingredientes y servir en un vaso Rocas con un hielo grande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Una mañana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Ingredientes: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oz El Señorío Reposado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oz Maíz criollo de Oaxaca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0.5 oz Limón persa rostizado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0.5 oz Cordial de mandarina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0.25 oz Néctar de agave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Espuma de pitahaya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spacing w:line="240" w:lineRule="auto"/>
        <w:ind w:left="720" w:hanging="360"/>
        <w:contextualSpacing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Sal de gusano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Preparación</w:t>
      </w:r>
      <w:r w:rsidDel="00000000" w:rsidR="00000000" w:rsidRPr="00000000">
        <w:rPr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>
      <w:pPr>
        <w:pBdr/>
        <w:shd w:fill="ffffff" w:val="clear"/>
        <w:spacing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Quemar una hoja de maíz seco y colocar un vaso </w:t>
      </w:r>
      <w:r w:rsidDel="00000000" w:rsidR="00000000" w:rsidRPr="00000000">
        <w:rPr>
          <w:sz w:val="18"/>
          <w:szCs w:val="18"/>
          <w:rtl w:val="0"/>
        </w:rPr>
        <w:t xml:space="preserve">Coupe</w:t>
      </w:r>
      <w:r w:rsidDel="00000000" w:rsidR="00000000" w:rsidRPr="00000000">
        <w:rPr>
          <w:sz w:val="18"/>
          <w:szCs w:val="18"/>
          <w:rtl w:val="0"/>
        </w:rPr>
        <w:t xml:space="preserve"> sobre la flama para conservar el humo. Agitar los ingredientes y colar dos veces antes de servir.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0" locked="0" relativeHeight="0" simplePos="0">
          <wp:simplePos x="0" y="0"/>
          <wp:positionH relativeFrom="margin">
            <wp:posOffset>1933575</wp:posOffset>
          </wp:positionH>
          <wp:positionV relativeFrom="paragraph">
            <wp:posOffset>314325</wp:posOffset>
          </wp:positionV>
          <wp:extent cx="1709738" cy="693211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6932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zignummezcal.com.mx" TargetMode="External"/><Relationship Id="rId6" Type="http://schemas.openxmlformats.org/officeDocument/2006/relationships/hyperlink" Target="http://www.casaagp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