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5DE082B" w:rsidP="5503E6A1" w:rsidRDefault="72B7D3B6" w14:paraId="283ED0FD" w14:textId="052C9ACE">
      <w:pPr>
        <w:jc w:val="center"/>
        <w:rPr>
          <w:rFonts w:ascii="Aptos" w:hAnsi="Aptos" w:eastAsia="Aptos" w:cs="Aptos"/>
          <w:i/>
          <w:iCs/>
          <w:sz w:val="20"/>
          <w:szCs w:val="20"/>
        </w:rPr>
      </w:pPr>
      <w:r w:rsidRPr="5503E6A1">
        <w:rPr>
          <w:rFonts w:ascii="Aptos" w:hAnsi="Aptos" w:eastAsia="Aptos" w:cs="Aptos"/>
          <w:b/>
          <w:bCs/>
          <w:sz w:val="32"/>
          <w:szCs w:val="32"/>
        </w:rPr>
        <w:t>Splenda</w:t>
      </w:r>
      <w:r w:rsidR="00335914">
        <w:rPr>
          <w:rFonts w:ascii="Aptos" w:hAnsi="Aptos" w:eastAsia="Aptos" w:cs="Aptos"/>
          <w:b/>
          <w:bCs/>
          <w:sz w:val="32"/>
          <w:szCs w:val="32"/>
        </w:rPr>
        <w:t>®</w:t>
      </w:r>
      <w:r w:rsidRPr="5503E6A1">
        <w:rPr>
          <w:rFonts w:ascii="Aptos" w:hAnsi="Aptos" w:eastAsia="Aptos" w:cs="Aptos"/>
          <w:b/>
          <w:bCs/>
          <w:sz w:val="32"/>
          <w:szCs w:val="32"/>
        </w:rPr>
        <w:t xml:space="preserve"> invita a disfrutar el café con equilibrio, para que cada taza sea un momento consciente</w:t>
      </w:r>
    </w:p>
    <w:p w:rsidR="65DE082B" w:rsidP="5503E6A1" w:rsidRDefault="5AC00BB2" w14:paraId="361445E2" w14:textId="10931A2F">
      <w:pPr>
        <w:pStyle w:val="ListParagraph"/>
        <w:numPr>
          <w:ilvl w:val="0"/>
          <w:numId w:val="2"/>
        </w:numPr>
        <w:rPr>
          <w:rFonts w:ascii="Aptos" w:hAnsi="Aptos" w:eastAsia="Aptos" w:cs="Aptos"/>
          <w:i/>
          <w:iCs/>
        </w:rPr>
      </w:pPr>
      <w:commentRangeStart w:id="0"/>
      <w:r w:rsidRPr="5503E6A1">
        <w:rPr>
          <w:rFonts w:ascii="Aptos" w:hAnsi="Aptos" w:eastAsia="Aptos" w:cs="Aptos"/>
          <w:i/>
          <w:iCs/>
          <w:sz w:val="20"/>
          <w:szCs w:val="20"/>
        </w:rPr>
        <w:t>E</w:t>
      </w:r>
      <w:r w:rsidRPr="5503E6A1" w:rsidR="18766EE6">
        <w:rPr>
          <w:rFonts w:ascii="Aptos" w:hAnsi="Aptos" w:eastAsia="Aptos" w:cs="Aptos"/>
          <w:i/>
          <w:iCs/>
          <w:sz w:val="20"/>
          <w:szCs w:val="20"/>
        </w:rPr>
        <w:t>n el Día Internacional del Café celebramos el valor de esos instantes que se vuelven memorables</w:t>
      </w:r>
      <w:r w:rsidRPr="5503E6A1" w:rsidR="1B3C171A">
        <w:rPr>
          <w:rFonts w:ascii="Aptos" w:hAnsi="Aptos" w:eastAsia="Aptos" w:cs="Aptos"/>
          <w:i/>
          <w:iCs/>
          <w:sz w:val="20"/>
          <w:szCs w:val="20"/>
        </w:rPr>
        <w:t xml:space="preserve"> para</w:t>
      </w:r>
      <w:r w:rsidRPr="5503E6A1" w:rsidR="18766EE6">
        <w:rPr>
          <w:rFonts w:ascii="Aptos" w:hAnsi="Aptos" w:eastAsia="Aptos" w:cs="Aptos"/>
          <w:i/>
          <w:iCs/>
          <w:sz w:val="20"/>
          <w:szCs w:val="20"/>
        </w:rPr>
        <w:t xml:space="preserve"> millones de mexicanos</w:t>
      </w:r>
      <w:r w:rsidRPr="5503E6A1" w:rsidR="7429BA78">
        <w:rPr>
          <w:rFonts w:ascii="Aptos" w:hAnsi="Aptos" w:eastAsia="Aptos" w:cs="Aptos"/>
          <w:i/>
          <w:iCs/>
          <w:sz w:val="20"/>
          <w:szCs w:val="20"/>
        </w:rPr>
        <w:t>.</w:t>
      </w:r>
    </w:p>
    <w:p w:rsidR="65DE082B" w:rsidP="5503E6A1" w:rsidRDefault="7429BA78" w14:paraId="43C7539D" w14:textId="786B9DD7">
      <w:pPr>
        <w:pStyle w:val="ListParagraph"/>
        <w:numPr>
          <w:ilvl w:val="0"/>
          <w:numId w:val="2"/>
        </w:numPr>
        <w:rPr>
          <w:rFonts w:ascii="Aptos" w:hAnsi="Aptos" w:eastAsia="Aptos" w:cs="Aptos"/>
          <w:i/>
          <w:iCs/>
        </w:rPr>
      </w:pPr>
      <w:r w:rsidRPr="5503E6A1">
        <w:rPr>
          <w:rFonts w:ascii="Aptos" w:hAnsi="Aptos" w:eastAsia="Aptos" w:cs="Aptos"/>
          <w:i/>
          <w:iCs/>
          <w:sz w:val="20"/>
          <w:szCs w:val="20"/>
        </w:rPr>
        <w:t xml:space="preserve">En México, las personas </w:t>
      </w:r>
      <w:r w:rsidRPr="5503E6A1" w:rsidR="18766EE6">
        <w:rPr>
          <w:rFonts w:ascii="Aptos" w:hAnsi="Aptos" w:eastAsia="Aptos" w:cs="Aptos"/>
          <w:i/>
          <w:iCs/>
          <w:sz w:val="20"/>
          <w:szCs w:val="20"/>
        </w:rPr>
        <w:t xml:space="preserve">consumen en promedio entre </w:t>
      </w:r>
      <w:hyperlink r:id="rId10">
        <w:r w:rsidRPr="5503E6A1" w:rsidR="18766EE6">
          <w:rPr>
            <w:rStyle w:val="Hyperlink"/>
            <w:rFonts w:ascii="Aptos" w:hAnsi="Aptos" w:eastAsia="Aptos" w:cs="Aptos"/>
            <w:i/>
            <w:iCs/>
            <w:sz w:val="20"/>
            <w:szCs w:val="20"/>
          </w:rPr>
          <w:t>1.3 y 1.7 kg de café al año</w:t>
        </w:r>
        <w:r w:rsidRPr="5503E6A1" w:rsidR="4AA78CBF">
          <w:rPr>
            <w:rStyle w:val="Hyperlink"/>
            <w:rFonts w:ascii="Aptos" w:hAnsi="Aptos" w:eastAsia="Aptos" w:cs="Aptos"/>
            <w:i/>
            <w:iCs/>
            <w:sz w:val="20"/>
            <w:szCs w:val="20"/>
          </w:rPr>
          <w:t>.</w:t>
        </w:r>
      </w:hyperlink>
      <w:commentRangeEnd w:id="0"/>
      <w:r w:rsidR="65DE082B">
        <w:commentReference w:id="0"/>
      </w:r>
    </w:p>
    <w:p w:rsidR="5FE250C1" w:rsidP="5503E6A1" w:rsidRDefault="4AA78CBF" w14:paraId="00F84E4B" w14:textId="0BF1D2DD">
      <w:p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79A0CFC3" w:rsidR="4AA78CBF">
        <w:rPr>
          <w:rFonts w:ascii="Aptos" w:hAnsi="Aptos" w:eastAsia="Aptos" w:cs="Aptos"/>
          <w:b w:val="1"/>
          <w:bCs w:val="1"/>
          <w:sz w:val="20"/>
          <w:szCs w:val="20"/>
        </w:rPr>
        <w:t xml:space="preserve">Ciudad de México a </w:t>
      </w:r>
      <w:r w:rsidRPr="79A0CFC3" w:rsidR="50B86D18">
        <w:rPr>
          <w:rFonts w:ascii="Aptos" w:hAnsi="Aptos" w:eastAsia="Aptos" w:cs="Aptos"/>
          <w:b w:val="1"/>
          <w:bCs w:val="1"/>
          <w:sz w:val="20"/>
          <w:szCs w:val="20"/>
        </w:rPr>
        <w:t>01</w:t>
      </w:r>
      <w:r w:rsidRPr="79A0CFC3" w:rsidR="4AA78CBF">
        <w:rPr>
          <w:rFonts w:ascii="Aptos" w:hAnsi="Aptos" w:eastAsia="Aptos" w:cs="Aptos"/>
          <w:b w:val="1"/>
          <w:bCs w:val="1"/>
          <w:sz w:val="20"/>
          <w:szCs w:val="20"/>
        </w:rPr>
        <w:t xml:space="preserve"> de </w:t>
      </w:r>
      <w:r w:rsidRPr="79A0CFC3" w:rsidR="2EA31598">
        <w:rPr>
          <w:rFonts w:ascii="Aptos" w:hAnsi="Aptos" w:eastAsia="Aptos" w:cs="Aptos"/>
          <w:b w:val="1"/>
          <w:bCs w:val="1"/>
          <w:sz w:val="20"/>
          <w:szCs w:val="20"/>
        </w:rPr>
        <w:t>octubre</w:t>
      </w:r>
      <w:r w:rsidRPr="79A0CFC3" w:rsidR="4AA78CBF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 w:rsidRPr="79A0CFC3" w:rsidR="4AA78CBF">
        <w:rPr>
          <w:rFonts w:ascii="Aptos" w:hAnsi="Aptos" w:eastAsia="Aptos" w:cs="Aptos"/>
          <w:b w:val="1"/>
          <w:bCs w:val="1"/>
          <w:sz w:val="20"/>
          <w:szCs w:val="20"/>
        </w:rPr>
        <w:t xml:space="preserve">de 2025.- </w:t>
      </w:r>
      <w:r w:rsidRPr="79A0CFC3" w:rsidR="65DE082B">
        <w:rPr>
          <w:rFonts w:ascii="Aptos" w:hAnsi="Aptos" w:eastAsia="Aptos" w:cs="Aptos"/>
          <w:sz w:val="20"/>
          <w:szCs w:val="20"/>
        </w:rPr>
        <w:t>El 1 de octubre conmemoramos el Día Internacional del Café, una fecha que une a los amantes de esta bebida en todo el planeta para celebrar la diversidad, la calidad y la pasión que existen detrás de cada taza. También es una oportunidad para reconocer el trabajo de millones de agricultores que hacen posible que este ritual cotidiano llegue a nuestras manos.</w:t>
      </w:r>
    </w:p>
    <w:p w:rsidR="5FE250C1" w:rsidP="34BE83C8" w:rsidRDefault="65DE082B" w14:paraId="60EA6798" w14:textId="2B17062D">
      <w:p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34BE83C8">
        <w:rPr>
          <w:rFonts w:ascii="Aptos" w:hAnsi="Aptos" w:eastAsia="Aptos" w:cs="Aptos"/>
          <w:sz w:val="20"/>
          <w:szCs w:val="20"/>
        </w:rPr>
        <w:t>Más allá de su lugar en la cultura, el café ha sido objeto de numerosos estudios que destacan algunos de sus aportes más reconocidos:</w:t>
      </w:r>
    </w:p>
    <w:p w:rsidR="5FE250C1" w:rsidP="34BE83C8" w:rsidRDefault="65DE082B" w14:paraId="7EF692D5" w14:textId="3C0A224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34BE83C8">
        <w:rPr>
          <w:rFonts w:ascii="Aptos" w:hAnsi="Aptos" w:eastAsia="Aptos" w:cs="Aptos"/>
          <w:sz w:val="20"/>
          <w:szCs w:val="20"/>
        </w:rPr>
        <w:t>Energía y concentración: gracias a su contenido de cafeína, se le asocia con mantenernos atentos y enfocados, lo que lo convierte en un aliado en la rutina diaria.</w:t>
      </w:r>
    </w:p>
    <w:p w:rsidR="5FE250C1" w:rsidP="34BE83C8" w:rsidRDefault="65DE082B" w14:paraId="75176D46" w14:textId="6A6B3872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5503E6A1">
        <w:rPr>
          <w:rFonts w:ascii="Aptos" w:hAnsi="Aptos" w:eastAsia="Aptos" w:cs="Aptos"/>
          <w:sz w:val="20"/>
          <w:szCs w:val="20"/>
        </w:rPr>
        <w:t xml:space="preserve">Antioxidantes naturales: compuestos como los polifenoles, presentes en el café, han sido vinculados con la protección de las células frente al daño oxidativo. </w:t>
      </w:r>
      <w:hyperlink r:id="rId15">
        <w:r w:rsidRPr="5503E6A1">
          <w:rPr>
            <w:rStyle w:val="Hyperlink"/>
            <w:rFonts w:ascii="Aptos" w:hAnsi="Aptos" w:eastAsia="Aptos" w:cs="Aptos"/>
            <w:sz w:val="20"/>
            <w:szCs w:val="20"/>
          </w:rPr>
          <w:t>Estudios recientes señalan que estos compuestos podrían contribuir a la salud vascula</w:t>
        </w:r>
        <w:r w:rsidRPr="5503E6A1" w:rsidR="1E202612">
          <w:rPr>
            <w:rStyle w:val="Hyperlink"/>
            <w:rFonts w:ascii="Aptos" w:hAnsi="Aptos" w:eastAsia="Aptos" w:cs="Aptos"/>
            <w:sz w:val="20"/>
            <w:szCs w:val="20"/>
          </w:rPr>
          <w:t>r</w:t>
        </w:r>
      </w:hyperlink>
      <w:r w:rsidRPr="5503E6A1" w:rsidR="1E202612">
        <w:rPr>
          <w:rFonts w:ascii="Aptos" w:hAnsi="Aptos" w:eastAsia="Aptos" w:cs="Aptos"/>
          <w:sz w:val="20"/>
          <w:szCs w:val="20"/>
        </w:rPr>
        <w:t>.</w:t>
      </w:r>
    </w:p>
    <w:p w:rsidR="21F79ABF" w:rsidP="5503E6A1" w:rsidRDefault="21F79ABF" w14:paraId="16D3F02C" w14:textId="44FFE9E5">
      <w:p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5503E6A1">
        <w:rPr>
          <w:rFonts w:ascii="Aptos" w:hAnsi="Aptos" w:eastAsia="Aptos" w:cs="Aptos"/>
          <w:sz w:val="20"/>
          <w:szCs w:val="20"/>
        </w:rPr>
        <w:t>A pesar de los beneficios del café, en muchos casos se acompaña con azúcar, lo que incrementa el consumo diario sin que lo notemos. La OMS</w:t>
      </w:r>
      <w:r w:rsidR="00335914">
        <w:rPr>
          <w:rFonts w:ascii="Aptos" w:hAnsi="Aptos" w:eastAsia="Aptos" w:cs="Aptos"/>
          <w:sz w:val="20"/>
          <w:szCs w:val="20"/>
        </w:rPr>
        <w:t xml:space="preserve"> (Organización Mundial de la Salud)</w:t>
      </w:r>
      <w:r w:rsidRPr="5503E6A1">
        <w:rPr>
          <w:rFonts w:ascii="Aptos" w:hAnsi="Aptos" w:eastAsia="Aptos" w:cs="Aptos"/>
          <w:sz w:val="20"/>
          <w:szCs w:val="20"/>
        </w:rPr>
        <w:t xml:space="preserve"> recomienda que la ingesta de azúcares libres no supere el 10% de la energía total diaria (alrededor de 5 a 6 cucharaditas para un adulto promedio</w:t>
      </w:r>
      <w:r w:rsidR="00335914">
        <w:rPr>
          <w:rFonts w:ascii="Aptos" w:hAnsi="Aptos" w:eastAsia="Aptos" w:cs="Aptos"/>
          <w:sz w:val="20"/>
          <w:szCs w:val="20"/>
        </w:rPr>
        <w:t xml:space="preserve"> en una dieta de 2,000kcal</w:t>
      </w:r>
      <w:r w:rsidRPr="5503E6A1">
        <w:rPr>
          <w:rFonts w:ascii="Aptos" w:hAnsi="Aptos" w:eastAsia="Aptos" w:cs="Aptos"/>
          <w:sz w:val="20"/>
          <w:szCs w:val="20"/>
        </w:rPr>
        <w:t>), sin embargo, en la práctica solemos rebasar esa cantidad con facilidad.</w:t>
      </w:r>
    </w:p>
    <w:p w:rsidR="21F79ABF" w:rsidP="5503E6A1" w:rsidRDefault="21F79ABF" w14:paraId="4C0814D7" w14:textId="3804C250">
      <w:p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5503E6A1">
        <w:rPr>
          <w:rFonts w:ascii="Aptos" w:hAnsi="Aptos" w:eastAsia="Aptos" w:cs="Aptos"/>
          <w:sz w:val="20"/>
          <w:szCs w:val="20"/>
        </w:rPr>
        <w:t>Este dato nos invita a reflexionar: incluso en elecciones tan cotidianas como endulzar el café, podemos marcar la diferencia en nuestra salud y bienestar.</w:t>
      </w:r>
    </w:p>
    <w:p w:rsidR="21F79ABF" w:rsidP="5503E6A1" w:rsidRDefault="21F79ABF" w14:paraId="76A06398" w14:textId="105DE6BA">
      <w:p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79A0CFC3" w:rsidR="21F79ABF">
        <w:rPr>
          <w:rFonts w:ascii="Aptos" w:hAnsi="Aptos" w:eastAsia="Aptos" w:cs="Aptos"/>
          <w:sz w:val="20"/>
          <w:szCs w:val="20"/>
        </w:rPr>
        <w:t xml:space="preserve">Hoy, más que nunca, buscamos elecciones que reflejen nuestro deseo de equilibrio. El café, con todos sus aportes, es parte de ese camino hacia un estilo de vida consciente. Y una manera de complementar estos beneficios es con los </w:t>
      </w:r>
      <w:proofErr w:type="spellStart"/>
      <w:r w:rsidRPr="79A0CFC3" w:rsidR="21F79ABF">
        <w:rPr>
          <w:rFonts w:ascii="Aptos" w:hAnsi="Aptos" w:eastAsia="Aptos" w:cs="Aptos"/>
          <w:sz w:val="20"/>
          <w:szCs w:val="20"/>
        </w:rPr>
        <w:t>creamers</w:t>
      </w:r>
      <w:proofErr w:type="spellEnd"/>
      <w:r w:rsidRPr="79A0CFC3" w:rsidR="21F79ABF">
        <w:rPr>
          <w:rFonts w:ascii="Aptos" w:hAnsi="Aptos" w:eastAsia="Aptos" w:cs="Aptos"/>
          <w:sz w:val="20"/>
          <w:szCs w:val="20"/>
        </w:rPr>
        <w:t xml:space="preserve"> de Splenda®, que ofrecen un toque especial a cada taza sin dejar de lado esas decisiones que nos hacen sentir bien.</w:t>
      </w:r>
    </w:p>
    <w:p w:rsidR="2B831ED4" w:rsidP="79A0CFC3" w:rsidRDefault="2B831ED4" w14:paraId="223A5619" w14:textId="7AF7A6EA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</w:pPr>
      <w:r w:rsidRPr="79A0CFC3" w:rsidR="2B831ED4"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  <w:t xml:space="preserve">Su practicidad y sabor los convierten en el aliado perfecto para transformar un café cualquiera en un momento especial. </w:t>
      </w:r>
      <w:r w:rsidRPr="79A0CFC3" w:rsidR="2B831ED4"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  <w:t xml:space="preserve">Y si hay un café que realmente disfrutamos con intención, es el de la tarde. Ese instante en el que bajamos el ritmo, hacemos una pausa y encontramos el equilibrio que necesitamos. Con </w:t>
      </w:r>
      <w:r w:rsidRPr="79A0CFC3" w:rsidR="2B831ED4"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  <w:t>Splenda</w:t>
      </w:r>
      <w:r w:rsidRPr="79A0CFC3" w:rsidR="2B831ED4"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  <w:t xml:space="preserve">® </w:t>
      </w:r>
      <w:r w:rsidRPr="79A0CFC3" w:rsidR="2B831ED4"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  <w:t>Creamers</w:t>
      </w:r>
      <w:r w:rsidRPr="79A0CFC3" w:rsidR="2B831ED4"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MX"/>
        </w:rPr>
        <w:t>, esa taza va más allá de ser un simple café: se vuelve un ritual que acompaña, reconforta y eleva la experiencia de la tarde, convirtiéndola en el momento ideal para disfrutar con ligereza y consciencia.</w:t>
      </w:r>
    </w:p>
    <w:p w:rsidR="79A0CFC3" w:rsidP="79A0CFC3" w:rsidRDefault="79A0CFC3" w14:paraId="54D3F0D6" w14:textId="410E522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MX"/>
        </w:rPr>
      </w:pPr>
    </w:p>
    <w:p w:rsidR="79609740" w:rsidP="5503E6A1" w:rsidRDefault="79609740" w14:paraId="37A0305A" w14:textId="4670200E">
      <w:pPr>
        <w:spacing w:before="240" w:after="240"/>
        <w:jc w:val="both"/>
        <w:rPr>
          <w:rFonts w:ascii="Aptos" w:hAnsi="Aptos" w:eastAsia="Aptos" w:cs="Aptos"/>
          <w:sz w:val="20"/>
          <w:szCs w:val="20"/>
        </w:rPr>
      </w:pPr>
      <w:r w:rsidRPr="79A0CFC3" w:rsidR="79609740">
        <w:rPr>
          <w:rFonts w:ascii="Aptos" w:hAnsi="Aptos" w:eastAsia="Aptos" w:cs="Aptos"/>
          <w:sz w:val="20"/>
          <w:szCs w:val="20"/>
        </w:rPr>
        <w:t>El Día del Café es una oportunidad para regalarte un respiro, brindar por las conversaciones que nos enriquecen y reconocer que en lo simple también encontramos inspiración</w:t>
      </w:r>
      <w:r w:rsidRPr="79A0CFC3" w:rsidR="1AF6963C">
        <w:rPr>
          <w:rFonts w:ascii="Aptos" w:hAnsi="Aptos" w:eastAsia="Aptos" w:cs="Aptos"/>
          <w:sz w:val="20"/>
          <w:szCs w:val="20"/>
        </w:rPr>
        <w:t>, c</w:t>
      </w:r>
      <w:r w:rsidRPr="79A0CFC3" w:rsidR="79609740">
        <w:rPr>
          <w:rFonts w:ascii="Aptos" w:hAnsi="Aptos" w:eastAsia="Aptos" w:cs="Aptos"/>
          <w:sz w:val="20"/>
          <w:szCs w:val="20"/>
        </w:rPr>
        <w:t xml:space="preserve">on Splenda® </w:t>
      </w:r>
      <w:proofErr w:type="spellStart"/>
      <w:r w:rsidRPr="79A0CFC3" w:rsidR="79609740">
        <w:rPr>
          <w:rFonts w:ascii="Aptos" w:hAnsi="Aptos" w:eastAsia="Aptos" w:cs="Aptos"/>
          <w:sz w:val="20"/>
          <w:szCs w:val="20"/>
        </w:rPr>
        <w:t>Creamers</w:t>
      </w:r>
      <w:proofErr w:type="spellEnd"/>
      <w:r w:rsidRPr="79A0CFC3" w:rsidR="79609740">
        <w:rPr>
          <w:rFonts w:ascii="Aptos" w:hAnsi="Aptos" w:eastAsia="Aptos" w:cs="Aptos"/>
          <w:sz w:val="20"/>
          <w:szCs w:val="20"/>
        </w:rPr>
        <w:t>, cada taza puede convertirse en un reflejo de un estilo de vida consciente, auténtico y lleno de intenció</w:t>
      </w:r>
      <w:commentRangeStart w:id="1"/>
      <w:r w:rsidRPr="79A0CFC3" w:rsidR="79609740">
        <w:rPr>
          <w:rFonts w:ascii="Aptos" w:hAnsi="Aptos" w:eastAsia="Aptos" w:cs="Aptos"/>
          <w:sz w:val="20"/>
          <w:szCs w:val="20"/>
        </w:rPr>
        <w:t>n.</w:t>
      </w:r>
      <w:commentRangeEnd w:id="1"/>
      <w:r>
        <w:rPr>
          <w:rStyle w:val="CommentReference"/>
        </w:rPr>
        <w:commentReference w:id="1"/>
      </w:r>
    </w:p>
    <w:p w:rsidR="79A0CFC3" w:rsidP="79A0CFC3" w:rsidRDefault="79A0CFC3" w14:paraId="5B0C9AD4" w14:textId="7F3145BA">
      <w:pPr>
        <w:spacing w:line="278" w:lineRule="auto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  <w:lang w:val="es-419"/>
        </w:rPr>
      </w:pPr>
    </w:p>
    <w:p w:rsidR="091FD299" w:rsidP="74A171AB" w:rsidRDefault="091FD299" w14:paraId="358A2738" w14:textId="4B0B83CB">
      <w:pPr>
        <w:spacing w:line="278" w:lineRule="auto"/>
        <w:jc w:val="both"/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s-419"/>
        </w:rPr>
      </w:pPr>
      <w:r w:rsidRPr="74A171AB"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s-419"/>
        </w:rPr>
        <w:t>Sobre Splenda</w:t>
      </w:r>
    </w:p>
    <w:p w:rsidR="1D24385C" w:rsidP="74A171AB" w:rsidRDefault="1D24385C" w14:paraId="7A91B2A6" w14:textId="35AA6407">
      <w:pPr>
        <w:spacing w:after="0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419"/>
        </w:rPr>
      </w:pPr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t xml:space="preserve">Splenda ofrece la siguiente línea de productos que te ayudan a reducir el consumo de azúcar diaria: </w:t>
      </w:r>
    </w:p>
    <w:p w:rsidR="1D24385C" w:rsidP="74A171AB" w:rsidRDefault="1D24385C" w14:paraId="4F875520" w14:textId="4B17E663">
      <w:pPr>
        <w:spacing w:after="0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419"/>
        </w:rPr>
      </w:pPr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lastRenderedPageBreak/>
        <w:t xml:space="preserve">Splenda® Original. – El mejor sabor con menos calorías para que puedas disfrutar la dulzura que te gusta. </w:t>
      </w:r>
    </w:p>
    <w:p w:rsidR="1D24385C" w:rsidP="74A171AB" w:rsidRDefault="1D24385C" w14:paraId="3FB79051" w14:textId="5BC5C165">
      <w:pPr>
        <w:spacing w:after="0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419"/>
        </w:rPr>
      </w:pPr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t xml:space="preserve">Splenda® Stevia. – Hecho con </w:t>
      </w:r>
      <w:proofErr w:type="spellStart"/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t>stevia</w:t>
      </w:r>
      <w:proofErr w:type="spellEnd"/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t xml:space="preserve"> de alta pureza de origen 100% natural. </w:t>
      </w:r>
    </w:p>
    <w:p w:rsidR="1D24385C" w:rsidP="74A171AB" w:rsidRDefault="1D24385C" w14:paraId="7BD67A10" w14:textId="19F0DB30">
      <w:pPr>
        <w:spacing w:after="0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419"/>
        </w:rPr>
      </w:pPr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t xml:space="preserve">Splenda® Azúcar y Splenda® Mascabado. – Rinden el doble que el azúcar y consumes 50% menos calorías. </w:t>
      </w:r>
    </w:p>
    <w:p w:rsidR="1D24385C" w:rsidP="74A171AB" w:rsidRDefault="1D24385C" w14:paraId="61FAC553" w14:textId="271592E4">
      <w:pPr>
        <w:spacing w:after="0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419"/>
        </w:rPr>
      </w:pPr>
      <w:r w:rsidRPr="74A171AB">
        <w:rPr>
          <w:rFonts w:ascii="Arial" w:hAnsi="Arial" w:eastAsia="Arial" w:cs="Arial"/>
          <w:color w:val="000000" w:themeColor="text1"/>
          <w:sz w:val="16"/>
          <w:szCs w:val="16"/>
          <w:lang w:val="es-419"/>
        </w:rPr>
        <w:t>Splenda® Original y Splenda® Stevia líquidos. – Mejor sabor con cero azúcares y cero calorías. Ideal para llevarlo contigo a donde quieras. Splenda ® Balance- nutritivos complementos con proteínas y Splenda® concentrados de polvo de diferentes sabores para disfrutar de un agua refrescante.</w:t>
      </w:r>
    </w:p>
    <w:p w:rsidR="74A171AB" w:rsidP="74A171AB" w:rsidRDefault="74A171AB" w14:paraId="4A7CDC0A" w14:textId="799B0991">
      <w:pPr>
        <w:spacing w:after="0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419"/>
        </w:rPr>
      </w:pPr>
    </w:p>
    <w:p w:rsidR="74A171AB" w:rsidP="74A171AB" w:rsidRDefault="74A171AB" w14:paraId="19929B0A" w14:textId="591C29D3">
      <w:pPr>
        <w:spacing w:before="240" w:after="240"/>
        <w:jc w:val="both"/>
        <w:rPr>
          <w:rFonts w:ascii="Aptos" w:hAnsi="Aptos" w:eastAsia="Aptos" w:cs="Aptos"/>
        </w:rPr>
      </w:pPr>
    </w:p>
    <w:p w:rsidR="5FE250C1" w:rsidP="3190F7FC" w:rsidRDefault="5FE250C1" w14:paraId="2DC05FAB" w14:textId="09970009">
      <w:pPr>
        <w:jc w:val="both"/>
        <w:rPr>
          <w:rFonts w:ascii="Aptos" w:hAnsi="Aptos" w:eastAsia="Aptos" w:cs="Aptos"/>
        </w:rPr>
      </w:pPr>
    </w:p>
    <w:sectPr w:rsidR="5FE250C1">
      <w:headerReference w:type="default" r:id="rId16"/>
      <w:footerReference w:type="default" r:id="rId1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S" w:author="Carlos Enrique Castañeda Sánchez" w:date="2025-09-25T10:14:00Z" w:id="0">
    <w:p w:rsidR="00335914" w:rsidRDefault="00335914" w14:paraId="7BF889F4" w14:textId="6E10FDC9">
      <w:r>
        <w:annotationRef/>
      </w:r>
      <w:r w:rsidRPr="173BB6A4">
        <w:t>Algún dato del consumo de café en mx?</w:t>
      </w:r>
    </w:p>
  </w:comment>
  <w:comment w:initials="CS" w:author="Carlos Enrique Castañeda Sánchez" w:date="2025-09-25T10:15:00Z" w:id="1">
    <w:p w:rsidR="00335914" w:rsidRDefault="00335914" w14:paraId="23EC9AAC" w14:textId="0AB04AC5">
      <w:r>
        <w:annotationRef/>
      </w:r>
      <w:r w:rsidRPr="6632B0CD">
        <w:t>Agregar boiler plate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F889F4" w15:done="1"/>
  <w15:commentEx w15:paraId="23EC9AA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0ED021" w16cex:dateUtc="2025-09-25T16:14:00Z"/>
  <w16cex:commentExtensible w16cex:durableId="23AA3CBB" w16cex:dateUtc="2025-09-25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F889F4" w16cid:durableId="3D0ED021"/>
  <w16cid:commentId w16cid:paraId="23EC9AAC" w16cid:durableId="23AA3C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354" w:rsidP="001B2354" w:rsidRDefault="001B2354" w14:paraId="0A37501D" w14:textId="77777777">
      <w:pPr>
        <w:spacing w:after="0" w:line="240" w:lineRule="auto"/>
      </w:pPr>
      <w:r>
        <w:separator/>
      </w:r>
    </w:p>
  </w:endnote>
  <w:endnote w:type="continuationSeparator" w:id="0">
    <w:p w:rsidR="001B2354" w:rsidP="001B2354" w:rsidRDefault="001B2354" w14:paraId="5DAB6C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503F78" w:rsidTr="35503F78" w14:paraId="27183DC7" w14:textId="77777777">
      <w:trPr>
        <w:trHeight w:val="300"/>
      </w:trPr>
      <w:tc>
        <w:tcPr>
          <w:tcW w:w="2830" w:type="dxa"/>
        </w:tcPr>
        <w:p w:rsidR="35503F78" w:rsidP="35503F78" w:rsidRDefault="35503F78" w14:paraId="101C724C" w14:textId="6F4A4CB0">
          <w:pPr>
            <w:pStyle w:val="Header"/>
            <w:ind w:left="-115"/>
          </w:pPr>
        </w:p>
      </w:tc>
      <w:tc>
        <w:tcPr>
          <w:tcW w:w="2830" w:type="dxa"/>
        </w:tcPr>
        <w:p w:rsidR="35503F78" w:rsidP="35503F78" w:rsidRDefault="35503F78" w14:paraId="62159CC9" w14:textId="53F4C6B2">
          <w:pPr>
            <w:pStyle w:val="Header"/>
            <w:jc w:val="center"/>
          </w:pPr>
        </w:p>
      </w:tc>
      <w:tc>
        <w:tcPr>
          <w:tcW w:w="2830" w:type="dxa"/>
        </w:tcPr>
        <w:p w:rsidR="35503F78" w:rsidP="35503F78" w:rsidRDefault="35503F78" w14:paraId="63AC7CAC" w14:textId="5BB938BC">
          <w:pPr>
            <w:pStyle w:val="Header"/>
            <w:ind w:right="-115"/>
            <w:jc w:val="right"/>
          </w:pPr>
        </w:p>
      </w:tc>
    </w:tr>
  </w:tbl>
  <w:p w:rsidR="35503F78" w:rsidP="35503F78" w:rsidRDefault="35503F78" w14:paraId="170771E5" w14:textId="18C9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354" w:rsidP="001B2354" w:rsidRDefault="001B2354" w14:paraId="02EB378F" w14:textId="77777777">
      <w:pPr>
        <w:spacing w:after="0" w:line="240" w:lineRule="auto"/>
      </w:pPr>
      <w:r>
        <w:separator/>
      </w:r>
    </w:p>
  </w:footnote>
  <w:footnote w:type="continuationSeparator" w:id="0">
    <w:p w:rsidR="001B2354" w:rsidP="001B2354" w:rsidRDefault="001B2354" w14:paraId="6A05A8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95"/>
      <w:gridCol w:w="5385"/>
      <w:gridCol w:w="1410"/>
    </w:tblGrid>
    <w:tr w:rsidR="35503F78" w:rsidTr="35503F78" w14:paraId="3BAD5D18" w14:textId="77777777">
      <w:trPr>
        <w:trHeight w:val="300"/>
      </w:trPr>
      <w:tc>
        <w:tcPr>
          <w:tcW w:w="1695" w:type="dxa"/>
        </w:tcPr>
        <w:p w:rsidR="35503F78" w:rsidP="35503F78" w:rsidRDefault="35503F78" w14:paraId="532B7129" w14:textId="73BA0936">
          <w:pPr>
            <w:pStyle w:val="Header"/>
            <w:ind w:left="-115"/>
          </w:pPr>
        </w:p>
      </w:tc>
      <w:tc>
        <w:tcPr>
          <w:tcW w:w="5385" w:type="dxa"/>
        </w:tcPr>
        <w:p w:rsidR="35503F78" w:rsidP="35503F78" w:rsidRDefault="35503F78" w14:paraId="40B72017" w14:textId="2996013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3CCA1D3" wp14:editId="49D95CBC">
                <wp:extent cx="1653286" cy="494085"/>
                <wp:effectExtent l="0" t="0" r="0" b="0"/>
                <wp:docPr id="1782332636" name="Picture 1782332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3286" cy="494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0" w:type="dxa"/>
        </w:tcPr>
        <w:p w:rsidR="35503F78" w:rsidP="35503F78" w:rsidRDefault="35503F78" w14:paraId="5FA74211" w14:textId="2B9A1491">
          <w:pPr>
            <w:pStyle w:val="Header"/>
            <w:ind w:right="-115"/>
            <w:jc w:val="right"/>
          </w:pPr>
        </w:p>
      </w:tc>
    </w:tr>
  </w:tbl>
  <w:p w:rsidR="35503F78" w:rsidP="35503F78" w:rsidRDefault="35503F78" w14:paraId="2DD0BD48" w14:textId="56FD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9ACC"/>
    <w:multiLevelType w:val="hybridMultilevel"/>
    <w:tmpl w:val="DB18E832"/>
    <w:lvl w:ilvl="0" w:tplc="5EFC7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606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5EB2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002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272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A86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460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040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66E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CA173F"/>
    <w:multiLevelType w:val="hybridMultilevel"/>
    <w:tmpl w:val="046637D8"/>
    <w:lvl w:ilvl="0" w:tplc="A754E1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9203D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247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CC55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36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9C1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7C9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CA2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305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F365C6"/>
    <w:multiLevelType w:val="hybridMultilevel"/>
    <w:tmpl w:val="CDD640E2"/>
    <w:lvl w:ilvl="0" w:tplc="AB9057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FCC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1AE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4F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84E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DAA2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6C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AEC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A45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0850651">
    <w:abstractNumId w:val="1"/>
  </w:num>
  <w:num w:numId="2" w16cid:durableId="480313573">
    <w:abstractNumId w:val="2"/>
  </w:num>
  <w:num w:numId="3" w16cid:durableId="2116222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os Enrique Castañeda Sánchez">
    <w15:presenceInfo w15:providerId="AD" w15:userId="S::carlos.castaneda@another.co::974fbfbd-5f15-4163-8a50-7e51a5fd89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1B2354"/>
    <w:rsid w:val="00251017"/>
    <w:rsid w:val="002F26C2"/>
    <w:rsid w:val="00335914"/>
    <w:rsid w:val="05BC9041"/>
    <w:rsid w:val="0606B19C"/>
    <w:rsid w:val="091FD299"/>
    <w:rsid w:val="1085A7EF"/>
    <w:rsid w:val="12321B47"/>
    <w:rsid w:val="18766EE6"/>
    <w:rsid w:val="18834892"/>
    <w:rsid w:val="1895D486"/>
    <w:rsid w:val="1AF6963C"/>
    <w:rsid w:val="1B3C171A"/>
    <w:rsid w:val="1CA63A9F"/>
    <w:rsid w:val="1D24385C"/>
    <w:rsid w:val="1E202612"/>
    <w:rsid w:val="21F79ABF"/>
    <w:rsid w:val="244F3480"/>
    <w:rsid w:val="2802BA41"/>
    <w:rsid w:val="2B831ED4"/>
    <w:rsid w:val="2D07353A"/>
    <w:rsid w:val="2D864587"/>
    <w:rsid w:val="2EA31598"/>
    <w:rsid w:val="2EA5AFE4"/>
    <w:rsid w:val="30499836"/>
    <w:rsid w:val="3190F7FC"/>
    <w:rsid w:val="31C6240D"/>
    <w:rsid w:val="34BE83C8"/>
    <w:rsid w:val="35503F78"/>
    <w:rsid w:val="35C82B27"/>
    <w:rsid w:val="382134A3"/>
    <w:rsid w:val="38ED6321"/>
    <w:rsid w:val="423D4610"/>
    <w:rsid w:val="4439F74A"/>
    <w:rsid w:val="486D7A67"/>
    <w:rsid w:val="496FD392"/>
    <w:rsid w:val="4AA78CBF"/>
    <w:rsid w:val="4AADC52B"/>
    <w:rsid w:val="4D70379A"/>
    <w:rsid w:val="50B86D18"/>
    <w:rsid w:val="529344C0"/>
    <w:rsid w:val="52E310B8"/>
    <w:rsid w:val="539B594A"/>
    <w:rsid w:val="541F442E"/>
    <w:rsid w:val="5503E6A1"/>
    <w:rsid w:val="55C85AB3"/>
    <w:rsid w:val="586ED49D"/>
    <w:rsid w:val="5AC00BB2"/>
    <w:rsid w:val="5B0E544C"/>
    <w:rsid w:val="5B119E54"/>
    <w:rsid w:val="5FE250C1"/>
    <w:rsid w:val="5FF347BA"/>
    <w:rsid w:val="65DE082B"/>
    <w:rsid w:val="6E763A18"/>
    <w:rsid w:val="722C89C4"/>
    <w:rsid w:val="7286BCA7"/>
    <w:rsid w:val="72B7D3B6"/>
    <w:rsid w:val="73C9C46B"/>
    <w:rsid w:val="7429BA78"/>
    <w:rsid w:val="74A171AB"/>
    <w:rsid w:val="79609740"/>
    <w:rsid w:val="79A0CFC3"/>
    <w:rsid w:val="7B43C80A"/>
    <w:rsid w:val="7C4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FD392"/>
  <w15:chartTrackingRefBased/>
  <w15:docId w15:val="{257DE49E-9E5D-48C7-8B68-A20DB05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2354"/>
  </w:style>
  <w:style w:type="paragraph" w:styleId="Footer">
    <w:name w:val="footer"/>
    <w:basedOn w:val="Normal"/>
    <w:link w:val="FooterCh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235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mdpi.com/2072-6643/16/24/4257?utm_source=chatgpt.com" TargetMode="External"/><Relationship Id="rId10" Type="http://schemas.openxmlformats.org/officeDocument/2006/relationships/hyperlink" Target="https://www.eleconomista.com.mx/bistronomie/60-cafe-mexico-soluble-premium-quiere-destronarlo-20250814-772551.html?utm_source=chatgpt.co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f6a09-f042-4e40-8593-69d905a63525">
      <Terms xmlns="http://schemas.microsoft.com/office/infopath/2007/PartnerControls"/>
    </lcf76f155ced4ddcb4097134ff3c332f>
    <_Flow_SignoffStatus xmlns="98af6a09-f042-4e40-8593-69d905a63525" xsi:nil="true"/>
    <TaxCatchAll xmlns="55ce5f33-7d29-47f3-ab27-6dadab3f9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860C5F5E7A4A8DC7BCDBAF4F8453" ma:contentTypeVersion="17" ma:contentTypeDescription="Create a new document." ma:contentTypeScope="" ma:versionID="959afa01b60c85cf4d82a6738f26338d">
  <xsd:schema xmlns:xsd="http://www.w3.org/2001/XMLSchema" xmlns:xs="http://www.w3.org/2001/XMLSchema" xmlns:p="http://schemas.microsoft.com/office/2006/metadata/properties" xmlns:ns2="98af6a09-f042-4e40-8593-69d905a63525" xmlns:ns3="55ce5f33-7d29-47f3-ab27-6dadab3f975c" targetNamespace="http://schemas.microsoft.com/office/2006/metadata/properties" ma:root="true" ma:fieldsID="d941f278c075c5809ce4adf539f15e54" ns2:_="" ns3:_="">
    <xsd:import namespace="98af6a09-f042-4e40-8593-69d905a63525"/>
    <xsd:import namespace="55ce5f33-7d29-47f3-ab27-6dadab3f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6a09-f042-4e40-8593-69d905a63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5f33-7d29-47f3-ab27-6dadab3f9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c9dc9-f614-4974-aca1-8da16625ca4c}" ma:internalName="TaxCatchAll" ma:showField="CatchAllData" ma:web="55ce5f33-7d29-47f3-ab27-6dadab3f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6A61C-1928-44A5-841D-B84267038BDA}">
  <ds:schemaRefs>
    <ds:schemaRef ds:uri="http://schemas.microsoft.com/office/2006/metadata/properties"/>
    <ds:schemaRef ds:uri="http://schemas.microsoft.com/office/infopath/2007/PartnerControls"/>
    <ds:schemaRef ds:uri="98af6a09-f042-4e40-8593-69d905a63525"/>
    <ds:schemaRef ds:uri="55ce5f33-7d29-47f3-ab27-6dadab3f975c"/>
  </ds:schemaRefs>
</ds:datastoreItem>
</file>

<file path=customXml/itemProps2.xml><?xml version="1.0" encoding="utf-8"?>
<ds:datastoreItem xmlns:ds="http://schemas.openxmlformats.org/officeDocument/2006/customXml" ds:itemID="{E53CC325-32DC-4029-8897-EDDB5836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2862D-069E-40CB-99B0-B405B61AC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f6a09-f042-4e40-8593-69d905a63525"/>
    <ds:schemaRef ds:uri="55ce5f33-7d29-47f3-ab27-6dadab3f9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Lara</dc:creator>
  <keywords/>
  <dc:description/>
  <lastModifiedBy>Gabriela Lara</lastModifiedBy>
  <revision>3</revision>
  <dcterms:created xsi:type="dcterms:W3CDTF">2025-09-29T16:55:00.0000000Z</dcterms:created>
  <dcterms:modified xsi:type="dcterms:W3CDTF">2025-09-29T20:59:36.0362627Z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0x010100D4A0860C5F5E7A4A8DC7BCDBAF4F8453</vt:lpwstr>
  </property>
  <property fmtid="{D5CDD505-2E9C-101B-9397-08002B2CF9AE}" pid="3" name="MediaServiceImageTags">
    <vt:lpwstr/>
  </property>
</Properties>
</file>