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32"/>
          <w:szCs w:val="32"/>
          <w:highlight w:val="white"/>
        </w:rPr>
      </w:pPr>
      <w:r w:rsidDel="00000000" w:rsidR="00000000" w:rsidRPr="00000000">
        <w:rPr>
          <w:rFonts w:ascii="Calibri" w:cs="Calibri" w:eastAsia="Calibri" w:hAnsi="Calibri"/>
          <w:b w:val="1"/>
          <w:sz w:val="32"/>
          <w:szCs w:val="32"/>
          <w:highlight w:val="white"/>
          <w:rtl w:val="0"/>
        </w:rPr>
        <w:t xml:space="preserve">En el Mes de la Tierra, G-SHOCK anuncia que fabricará relojes con resinas de origen biológico a partir de 2023</w:t>
      </w:r>
    </w:p>
    <w:p w:rsidR="00000000" w:rsidDel="00000000" w:rsidP="00000000" w:rsidRDefault="00000000" w:rsidRPr="00000000" w14:paraId="00000002">
      <w:pPr>
        <w:ind w:left="0" w:firstLine="0"/>
        <w:jc w:val="both"/>
        <w:rPr>
          <w:rFonts w:ascii="Calibri" w:cs="Calibri" w:eastAsia="Calibri" w:hAnsi="Calibri"/>
          <w:b w:val="1"/>
          <w:sz w:val="32"/>
          <w:szCs w:val="32"/>
          <w:highlight w:val="white"/>
        </w:rPr>
      </w:pPr>
      <w:r w:rsidDel="00000000" w:rsidR="00000000" w:rsidRPr="00000000">
        <w:rPr>
          <w:rtl w:val="0"/>
        </w:rPr>
      </w:r>
    </w:p>
    <w:p w:rsidR="00000000" w:rsidDel="00000000" w:rsidP="00000000" w:rsidRDefault="00000000" w:rsidRPr="00000000" w14:paraId="00000003">
      <w:pPr>
        <w:ind w:left="0" w:firstLine="0"/>
        <w:jc w:val="both"/>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Utilizando materiales extraídos de semillas de ricino y de maíz, la marca de relojes resistentes a los impactos de CASIO comenzará a incluir resinas biológicas en la fabricación de sus relojes y contribuir así a los esfuerzos globales por revertir la curva de concentración de carbono (CO2) en el ambiente. </w:t>
      </w:r>
    </w:p>
    <w:p w:rsidR="00000000" w:rsidDel="00000000" w:rsidP="00000000" w:rsidRDefault="00000000" w:rsidRPr="00000000" w14:paraId="00000004">
      <w:pPr>
        <w:ind w:left="0" w:firstLine="0"/>
        <w:jc w:val="both"/>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05">
      <w:pPr>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Santiago de Chile, abril de 2023 – </w:t>
      </w:r>
      <w:r w:rsidDel="00000000" w:rsidR="00000000" w:rsidRPr="00000000">
        <w:rPr>
          <w:rFonts w:ascii="Calibri" w:cs="Calibri" w:eastAsia="Calibri" w:hAnsi="Calibri"/>
          <w:sz w:val="22"/>
          <w:szCs w:val="22"/>
          <w:rtl w:val="0"/>
        </w:rPr>
        <w:t xml:space="preserve">​​De acuerdo con un informe del World Resources Institute, la remoción de dióxido de carbono es esencial para limitar el aumento de la temperatura global a 1.5°C, por lo que empresas líderes como CASIO están creando tecnología para compensar la huella de carbono y reducir su impacto en el planeta. </w:t>
      </w:r>
    </w:p>
    <w:p w:rsidR="00000000" w:rsidDel="00000000" w:rsidP="00000000" w:rsidRDefault="00000000" w:rsidRPr="00000000" w14:paraId="00000006">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tema de las emisiones de carbono se ha vuelto cada vez más apremiante en los últimos años. Después del </w:t>
      </w:r>
      <w:hyperlink r:id="rId7">
        <w:r w:rsidDel="00000000" w:rsidR="00000000" w:rsidRPr="00000000">
          <w:rPr>
            <w:rFonts w:ascii="Calibri" w:cs="Calibri" w:eastAsia="Calibri" w:hAnsi="Calibri"/>
            <w:sz w:val="22"/>
            <w:szCs w:val="22"/>
            <w:u w:val="single"/>
            <w:rtl w:val="0"/>
          </w:rPr>
          <w:t xml:space="preserve">Acuerdo de París</w:t>
        </w:r>
      </w:hyperlink>
      <w:r w:rsidDel="00000000" w:rsidR="00000000" w:rsidRPr="00000000">
        <w:rPr>
          <w:rFonts w:ascii="Calibri" w:cs="Calibri" w:eastAsia="Calibri" w:hAnsi="Calibri"/>
          <w:sz w:val="22"/>
          <w:szCs w:val="22"/>
          <w:rtl w:val="0"/>
        </w:rPr>
        <w:t xml:space="preserve"> (COP21), muchos países comenzaron a avanzar hacia los objetivos de neutralidad de carbono a través de innovaciones tecnológicas verdes y energía limpia.</w:t>
      </w:r>
    </w:p>
    <w:p w:rsidR="00000000" w:rsidDel="00000000" w:rsidP="00000000" w:rsidRDefault="00000000" w:rsidRPr="00000000" w14:paraId="0000000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Los humanos han estado trabajando en soluciones sostenibles para las necesidades diarias durante mucho tiempo. Ya a principios del siglo XIX, el 90 % de los taxis de la ciudad de Nueva York eran eléctricos. Pero hoy, las soluciones innovadoras a nuestros problemas ambientales son más populares y más necesarias que nunca. Es por ello que referentes tecnológicos como </w:t>
      </w:r>
      <w:r w:rsidDel="00000000" w:rsidR="00000000" w:rsidRPr="00000000">
        <w:rPr>
          <w:rFonts w:ascii="Calibri" w:cs="Calibri" w:eastAsia="Calibri" w:hAnsi="Calibri"/>
          <w:b w:val="1"/>
          <w:sz w:val="22"/>
          <w:szCs w:val="22"/>
          <w:rtl w:val="0"/>
        </w:rPr>
        <w:t xml:space="preserve">CASIO</w:t>
      </w:r>
      <w:r w:rsidDel="00000000" w:rsidR="00000000" w:rsidRPr="00000000">
        <w:rPr>
          <w:rFonts w:ascii="Calibri" w:cs="Calibri" w:eastAsia="Calibri" w:hAnsi="Calibri"/>
          <w:sz w:val="22"/>
          <w:szCs w:val="22"/>
          <w:rtl w:val="0"/>
        </w:rPr>
        <w:t xml:space="preserve"> trabajan en soluciones para compensar su huella de carbono y reducir su impacto en el planeta tierra. Con esta visión a futuro de la compañía japonesa,</w:t>
      </w:r>
      <w:r w:rsidDel="00000000" w:rsidR="00000000" w:rsidRPr="00000000">
        <w:rPr>
          <w:rFonts w:ascii="Calibri" w:cs="Calibri" w:eastAsia="Calibri" w:hAnsi="Calibri"/>
          <w:b w:val="1"/>
          <w:sz w:val="22"/>
          <w:szCs w:val="22"/>
          <w:rtl w:val="0"/>
        </w:rPr>
        <w:t xml:space="preserve"> G-SHOCK</w:t>
      </w:r>
      <w:r w:rsidDel="00000000" w:rsidR="00000000" w:rsidRPr="00000000">
        <w:rPr>
          <w:rFonts w:ascii="Calibri" w:cs="Calibri" w:eastAsia="Calibri" w:hAnsi="Calibri"/>
          <w:sz w:val="22"/>
          <w:szCs w:val="22"/>
          <w:rtl w:val="0"/>
        </w:rPr>
        <w:t xml:space="preserve">, su marca de relojes resistentes a los impactos, </w:t>
      </w:r>
      <w:r w:rsidDel="00000000" w:rsidR="00000000" w:rsidRPr="00000000">
        <w:rPr>
          <w:rFonts w:ascii="Calibri" w:cs="Calibri" w:eastAsia="Calibri" w:hAnsi="Calibri"/>
          <w:b w:val="1"/>
          <w:sz w:val="22"/>
          <w:szCs w:val="22"/>
          <w:rtl w:val="0"/>
        </w:rPr>
        <w:t xml:space="preserve">adoptó la sostenibilidad como uno de sus principales pilares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de cara a su 40 Aniversario</w:t>
      </w:r>
      <w:r w:rsidDel="00000000" w:rsidR="00000000" w:rsidRPr="00000000">
        <w:rPr>
          <w:rFonts w:ascii="Calibri" w:cs="Calibri" w:eastAsia="Calibri" w:hAnsi="Calibri"/>
          <w:sz w:val="22"/>
          <w:szCs w:val="22"/>
          <w:rtl w:val="0"/>
        </w:rPr>
        <w:t xml:space="preserve">, cumplido el pasado 12 de abril.</w:t>
      </w:r>
    </w:p>
    <w:p w:rsidR="00000000" w:rsidDel="00000000" w:rsidP="00000000" w:rsidRDefault="00000000" w:rsidRPr="00000000" w14:paraId="0000000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partir de este año, </w:t>
      </w:r>
      <w:r w:rsidDel="00000000" w:rsidR="00000000" w:rsidRPr="00000000">
        <w:rPr>
          <w:rFonts w:ascii="Calibri" w:cs="Calibri" w:eastAsia="Calibri" w:hAnsi="Calibri"/>
          <w:b w:val="1"/>
          <w:sz w:val="22"/>
          <w:szCs w:val="22"/>
          <w:rtl w:val="0"/>
        </w:rPr>
        <w:t xml:space="preserve">G-SHOCK fabricará sus modelos con materiales de origen biológico</w:t>
      </w:r>
      <w:r w:rsidDel="00000000" w:rsidR="00000000" w:rsidRPr="00000000">
        <w:rPr>
          <w:rFonts w:ascii="Calibri" w:cs="Calibri" w:eastAsia="Calibri" w:hAnsi="Calibri"/>
          <w:sz w:val="22"/>
          <w:szCs w:val="22"/>
          <w:rtl w:val="0"/>
        </w:rPr>
        <w:t xml:space="preserve">. Las resinas de base biológica son polímeros producidos mediante síntesis química o biológica de elementos procedentes de materia vegetal u otras sustancias orgánicas renovables, ayudando así a reducir el impacto ambiental y promover el cambio a una economía circular. </w:t>
      </w:r>
    </w:p>
    <w:p w:rsidR="00000000" w:rsidDel="00000000" w:rsidP="00000000" w:rsidRDefault="00000000" w:rsidRPr="00000000" w14:paraId="0000000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Pero, ¿qué son las resinas de biomasa, qué biomateriales nacen del proceso y cómo se llega a biopolímeros más respetuosos con el medio ambiente para la fabricación de relojes?</w:t>
      </w:r>
    </w:p>
    <w:p w:rsidR="00000000" w:rsidDel="00000000" w:rsidP="00000000" w:rsidRDefault="00000000" w:rsidRPr="00000000" w14:paraId="0000000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Los componentes extraídos de materiales de origen vegetal, una vez convertidos en resinas de biomasa, son granulados y se utilizan para modelar los componentes del reloj, incluidos la parte frontal y posterior de la carcasa y la correa del reloj. El uso de estos materiales refinados para el diseño de los modelos ha permitido la elaboración de productos con la calidad resistente que caracteriza a </w:t>
      </w:r>
      <w:r w:rsidDel="00000000" w:rsidR="00000000" w:rsidRPr="00000000">
        <w:rPr>
          <w:rFonts w:ascii="Calibri" w:cs="Calibri" w:eastAsia="Calibri" w:hAnsi="Calibri"/>
          <w:b w:val="1"/>
          <w:sz w:val="22"/>
          <w:szCs w:val="22"/>
          <w:rtl w:val="0"/>
        </w:rPr>
        <w:t xml:space="preserve">G-SHOCK</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Las resinas que se emplean están hechas de materiales extraídos de semillas de ricino y de maíz, para fabricar materiales con potencial de cambio que contribuyen a los esfuerzos globales por revertir la curva de concentración de carbono (CO</w:t>
      </w:r>
      <w:r w:rsidDel="00000000" w:rsidR="00000000" w:rsidRPr="00000000">
        <w:rPr>
          <w:rFonts w:ascii="Calibri" w:cs="Calibri" w:eastAsia="Calibri" w:hAnsi="Calibri"/>
          <w:sz w:val="22"/>
          <w:szCs w:val="22"/>
          <w:vertAlign w:val="subscript"/>
          <w:rtl w:val="0"/>
        </w:rPr>
        <w:t xml:space="preserve">2</w:t>
      </w:r>
      <w:r w:rsidDel="00000000" w:rsidR="00000000" w:rsidRPr="00000000">
        <w:rPr>
          <w:rFonts w:ascii="Calibri" w:cs="Calibri" w:eastAsia="Calibri" w:hAnsi="Calibri"/>
          <w:sz w:val="22"/>
          <w:szCs w:val="22"/>
          <w:rtl w:val="0"/>
        </w:rPr>
        <w:t xml:space="preserve">) en el ambiente. </w:t>
      </w:r>
    </w:p>
    <w:p w:rsidR="00000000" w:rsidDel="00000000" w:rsidP="00000000" w:rsidRDefault="00000000" w:rsidRPr="00000000" w14:paraId="0000001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el último eslabón de la vida útil, la </w:t>
      </w:r>
      <w:r w:rsidDel="00000000" w:rsidR="00000000" w:rsidRPr="00000000">
        <w:rPr>
          <w:rFonts w:ascii="Calibri" w:cs="Calibri" w:eastAsia="Calibri" w:hAnsi="Calibri"/>
          <w:b w:val="1"/>
          <w:sz w:val="22"/>
          <w:szCs w:val="22"/>
          <w:rtl w:val="0"/>
        </w:rPr>
        <w:t xml:space="preserve">biomasa</w:t>
      </w:r>
      <w:r w:rsidDel="00000000" w:rsidR="00000000" w:rsidRPr="00000000">
        <w:rPr>
          <w:rFonts w:ascii="Calibri" w:cs="Calibri" w:eastAsia="Calibri" w:hAnsi="Calibri"/>
          <w:sz w:val="22"/>
          <w:szCs w:val="22"/>
          <w:rtl w:val="0"/>
        </w:rPr>
        <w:t xml:space="preserve"> se incinera al ser descartada. Las plantas que son la fuente de este material, capturan casi la misma cantidad de CO</w:t>
      </w:r>
      <w:r w:rsidDel="00000000" w:rsidR="00000000" w:rsidRPr="00000000">
        <w:rPr>
          <w:rFonts w:ascii="Calibri" w:cs="Calibri" w:eastAsia="Calibri" w:hAnsi="Calibri"/>
          <w:sz w:val="22"/>
          <w:szCs w:val="22"/>
          <w:vertAlign w:val="subscript"/>
          <w:rtl w:val="0"/>
        </w:rPr>
        <w:t xml:space="preserve">2 </w:t>
      </w:r>
      <w:r w:rsidDel="00000000" w:rsidR="00000000" w:rsidRPr="00000000">
        <w:rPr>
          <w:rFonts w:ascii="Calibri" w:cs="Calibri" w:eastAsia="Calibri" w:hAnsi="Calibri"/>
          <w:sz w:val="22"/>
          <w:szCs w:val="22"/>
          <w:rtl w:val="0"/>
        </w:rPr>
        <w:t xml:space="preserve">a través de la fotosíntesis mientras crecen que la que se libera cuando se quema la biomasa, lo que puede hacer que la misma </w:t>
      </w:r>
      <w:r w:rsidDel="00000000" w:rsidR="00000000" w:rsidRPr="00000000">
        <w:rPr>
          <w:rFonts w:ascii="Calibri" w:cs="Calibri" w:eastAsia="Calibri" w:hAnsi="Calibri"/>
          <w:b w:val="1"/>
          <w:sz w:val="22"/>
          <w:szCs w:val="22"/>
          <w:rtl w:val="0"/>
        </w:rPr>
        <w:t xml:space="preserve">sea una fuente de energía neutra en carbono</w:t>
      </w:r>
      <w:r w:rsidDel="00000000" w:rsidR="00000000" w:rsidRPr="00000000">
        <w:rPr>
          <w:rFonts w:ascii="Calibri" w:cs="Calibri" w:eastAsia="Calibri" w:hAnsi="Calibri"/>
          <w:sz w:val="22"/>
          <w:szCs w:val="22"/>
          <w:rtl w:val="0"/>
        </w:rPr>
        <w:t xml:space="preserve">, </w:t>
      </w:r>
      <w:hyperlink r:id="rId8">
        <w:r w:rsidDel="00000000" w:rsidR="00000000" w:rsidRPr="00000000">
          <w:rPr>
            <w:rFonts w:ascii="Calibri" w:cs="Calibri" w:eastAsia="Calibri" w:hAnsi="Calibri"/>
            <w:sz w:val="22"/>
            <w:szCs w:val="22"/>
            <w:u w:val="single"/>
            <w:rtl w:val="0"/>
          </w:rPr>
          <w:t xml:space="preserve">de acuerdo con la USA Energy Administration</w:t>
        </w:r>
      </w:hyperlink>
      <w:r w:rsidDel="00000000" w:rsidR="00000000" w:rsidRPr="00000000">
        <w:rPr>
          <w:rFonts w:ascii="Calibri" w:cs="Calibri" w:eastAsia="Calibri" w:hAnsi="Calibri"/>
          <w:sz w:val="22"/>
          <w:szCs w:val="22"/>
          <w:rtl w:val="0"/>
        </w:rPr>
        <w:t xml:space="preserve">. En consecuencia, se cree ampliamente que el uso de resinas de base biológica producidas con materiales de biomasa ayuda a reducir las emisiones de CO</w:t>
      </w:r>
      <w:r w:rsidDel="00000000" w:rsidR="00000000" w:rsidRPr="00000000">
        <w:rPr>
          <w:rFonts w:ascii="Calibri" w:cs="Calibri" w:eastAsia="Calibri" w:hAnsi="Calibri"/>
          <w:sz w:val="22"/>
          <w:szCs w:val="22"/>
          <w:vertAlign w:val="subscript"/>
          <w:rtl w:val="0"/>
        </w:rPr>
        <w:t xml:space="preserve">2 </w:t>
      </w:r>
      <w:r w:rsidDel="00000000" w:rsidR="00000000" w:rsidRPr="00000000">
        <w:rPr>
          <w:rFonts w:ascii="Calibri" w:cs="Calibri" w:eastAsia="Calibri" w:hAnsi="Calibri"/>
          <w:sz w:val="22"/>
          <w:szCs w:val="22"/>
          <w:rtl w:val="0"/>
        </w:rPr>
        <w:t xml:space="preserve">a la atmósfera. Además, dado que se producen a partir de recursos orgánicos renovables, </w:t>
      </w:r>
      <w:r w:rsidDel="00000000" w:rsidR="00000000" w:rsidRPr="00000000">
        <w:rPr>
          <w:rFonts w:ascii="Calibri" w:cs="Calibri" w:eastAsia="Calibri" w:hAnsi="Calibri"/>
          <w:b w:val="1"/>
          <w:sz w:val="22"/>
          <w:szCs w:val="22"/>
          <w:rtl w:val="0"/>
        </w:rPr>
        <w:t xml:space="preserve">pueden ayudar a reducir el uso de recursos finitos como los fósiles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4">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Otra de las acciones que </w:t>
      </w:r>
      <w:r w:rsidDel="00000000" w:rsidR="00000000" w:rsidRPr="00000000">
        <w:rPr>
          <w:rFonts w:ascii="Calibri" w:cs="Calibri" w:eastAsia="Calibri" w:hAnsi="Calibri"/>
          <w:b w:val="1"/>
          <w:sz w:val="22"/>
          <w:szCs w:val="22"/>
          <w:rtl w:val="0"/>
        </w:rPr>
        <w:t xml:space="preserve">G-SHOCK</w:t>
      </w:r>
      <w:r w:rsidDel="00000000" w:rsidR="00000000" w:rsidRPr="00000000">
        <w:rPr>
          <w:rFonts w:ascii="Calibri" w:cs="Calibri" w:eastAsia="Calibri" w:hAnsi="Calibri"/>
          <w:sz w:val="22"/>
          <w:szCs w:val="22"/>
          <w:rtl w:val="0"/>
        </w:rPr>
        <w:t xml:space="preserve"> está impulsando en sus modelos contra el cambio climático, es el empleo de </w:t>
      </w:r>
      <w:r w:rsidDel="00000000" w:rsidR="00000000" w:rsidRPr="00000000">
        <w:rPr>
          <w:rFonts w:ascii="Calibri" w:cs="Calibri" w:eastAsia="Calibri" w:hAnsi="Calibri"/>
          <w:b w:val="1"/>
          <w:i w:val="1"/>
          <w:sz w:val="22"/>
          <w:szCs w:val="22"/>
          <w:rtl w:val="0"/>
        </w:rPr>
        <w:t xml:space="preserve">Tough Solar</w:t>
      </w:r>
      <w:r w:rsidDel="00000000" w:rsidR="00000000" w:rsidRPr="00000000">
        <w:rPr>
          <w:rFonts w:ascii="Calibri" w:cs="Calibri" w:eastAsia="Calibri" w:hAnsi="Calibri"/>
          <w:sz w:val="22"/>
          <w:szCs w:val="22"/>
          <w:rtl w:val="0"/>
        </w:rPr>
        <w:t xml:space="preserve">, una tecnología propia de </w:t>
      </w:r>
      <w:r w:rsidDel="00000000" w:rsidR="00000000" w:rsidRPr="00000000">
        <w:rPr>
          <w:rFonts w:ascii="Calibri" w:cs="Calibri" w:eastAsia="Calibri" w:hAnsi="Calibri"/>
          <w:b w:val="1"/>
          <w:sz w:val="22"/>
          <w:szCs w:val="22"/>
          <w:rtl w:val="0"/>
        </w:rPr>
        <w:t xml:space="preserve">CASIO</w:t>
      </w:r>
      <w:r w:rsidDel="00000000" w:rsidR="00000000" w:rsidRPr="00000000">
        <w:rPr>
          <w:rFonts w:ascii="Calibri" w:cs="Calibri" w:eastAsia="Calibri" w:hAnsi="Calibri"/>
          <w:sz w:val="22"/>
          <w:szCs w:val="22"/>
          <w:rtl w:val="0"/>
        </w:rPr>
        <w:t xml:space="preserve"> donde el reloj tiene un panel solar que capta cualquier fuente luminosa (sol o luz artificial, incluso de fuentes débiles) la  cual es almacenada en una batería recargable. De esta forma, los pequeños paneles solares </w:t>
      </w:r>
      <w:r w:rsidDel="00000000" w:rsidR="00000000" w:rsidRPr="00000000">
        <w:rPr>
          <w:rFonts w:ascii="Calibri" w:cs="Calibri" w:eastAsia="Calibri" w:hAnsi="Calibri"/>
          <w:b w:val="1"/>
          <w:sz w:val="22"/>
          <w:szCs w:val="22"/>
          <w:rtl w:val="0"/>
        </w:rPr>
        <w:t xml:space="preserve">hacen que los relojes que cuentan con esta función no tengan que cambiar nunca su batería</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6">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Además, a través de sus distribuidores locales, </w:t>
      </w:r>
      <w:r w:rsidDel="00000000" w:rsidR="00000000" w:rsidRPr="00000000">
        <w:rPr>
          <w:rFonts w:ascii="Calibri" w:cs="Calibri" w:eastAsia="Calibri" w:hAnsi="Calibri"/>
          <w:b w:val="1"/>
          <w:sz w:val="22"/>
          <w:szCs w:val="22"/>
          <w:rtl w:val="0"/>
        </w:rPr>
        <w:t xml:space="preserve">G-SHOCK ha comenzado un plan de limpieza de playas que ya dio inicio en Panamá</w:t>
      </w:r>
      <w:r w:rsidDel="00000000" w:rsidR="00000000" w:rsidRPr="00000000">
        <w:rPr>
          <w:rFonts w:ascii="Calibri" w:cs="Calibri" w:eastAsia="Calibri" w:hAnsi="Calibri"/>
          <w:sz w:val="22"/>
          <w:szCs w:val="22"/>
          <w:rtl w:val="0"/>
        </w:rPr>
        <w:t xml:space="preserve"> y que continuará a través del año en otros países de la región, como parte de una estrategia de voluntariado corporativo en América Latina. </w:t>
      </w:r>
    </w:p>
    <w:p w:rsidR="00000000" w:rsidDel="00000000" w:rsidP="00000000" w:rsidRDefault="00000000" w:rsidRPr="00000000" w14:paraId="00000018">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mayor información, visita el sitio de Casio Latinoamérica en casio-intl.com/latin/es/ y mantente conectado a través de Instagram en @gshockamericalatina.</w:t>
      </w:r>
    </w:p>
    <w:p w:rsidR="00000000" w:rsidDel="00000000" w:rsidP="00000000" w:rsidRDefault="00000000" w:rsidRPr="00000000" w14:paraId="0000001A">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Acerca de G-SHOCK</w:t>
      </w:r>
    </w:p>
    <w:p w:rsidR="00000000" w:rsidDel="00000000" w:rsidP="00000000" w:rsidRDefault="00000000" w:rsidRPr="00000000" w14:paraId="0000001C">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G-SHOCK, con un diseño y estructura resistente a impactos, es sinónimo de resistencia absoluta. Fue creado a partir del sueño del Ingeniero Ibe de desarrollar “el reloj inquebrantable”. Fueron diseñadas y hechas a mano alrededor de 200 muestras y puestas a prueba hasta que salió al mercado en el año 1983 el ahora icónico G-SHOCK, que comenzó a posicionarse como “el reloj más resistente de todos los tiempos”. Todos los relojes G-SHOCK cuentan con dos características que lo hacen único, resistencia a impactos y resistencia al agua de 200 metros, algunos modelos también cuentan con otras tecnologías como resistencia a las descargas eléctricas, a la gravedad centrífuga, al magnetismo, a las bajas temperaturas, a la vibración, etc. El reloj está fabricado con las innovaciones y tecnologías de CASIO que lo resguardan de sufrir impactos directos; esto incluye un diseño y estructura únicos y materiales como la resina de uretano así como componentes internos de amortiguación que logran que el módulo quede "suspendido" dando como resultado una estructura de caja "hueca" del reloj. Desde su lanzamiento, G-SHOCK ha continuado con la filosofía de evolución del Ingeniero Ibe: “nunca te des por vencido”. </w:t>
      </w:r>
    </w:p>
    <w:p w:rsidR="00000000" w:rsidDel="00000000" w:rsidP="00000000" w:rsidRDefault="00000000" w:rsidRPr="00000000" w14:paraId="0000001E">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más información visita, </w:t>
      </w:r>
      <w:hyperlink r:id="rId9">
        <w:r w:rsidDel="00000000" w:rsidR="00000000" w:rsidRPr="00000000">
          <w:rPr>
            <w:rFonts w:ascii="Calibri" w:cs="Calibri" w:eastAsia="Calibri" w:hAnsi="Calibri"/>
            <w:sz w:val="22"/>
            <w:szCs w:val="22"/>
            <w:u w:val="single"/>
            <w:rtl w:val="0"/>
          </w:rPr>
          <w:t xml:space="preserve">www.gshocklatam.com</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0">
      <w:pPr>
        <w:spacing w:line="24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1">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Acerca de Casio Computer Co., Ltd. </w:t>
      </w:r>
    </w:p>
    <w:p w:rsidR="00000000" w:rsidDel="00000000" w:rsidP="00000000" w:rsidRDefault="00000000" w:rsidRPr="00000000" w14:paraId="00000022">
      <w:pPr>
        <w:spacing w:line="24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3">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r w:rsidDel="00000000" w:rsidR="00000000" w:rsidRPr="00000000">
        <w:rPr>
          <w:rtl w:val="0"/>
        </w:rPr>
      </w:r>
    </w:p>
    <w:p w:rsidR="00000000" w:rsidDel="00000000" w:rsidP="00000000" w:rsidRDefault="00000000" w:rsidRPr="00000000" w14:paraId="00000024">
      <w:pPr>
        <w:spacing w:line="276" w:lineRule="auto"/>
        <w:jc w:val="both"/>
        <w:rPr>
          <w:rFonts w:ascii="Arial" w:cs="Arial" w:eastAsia="Arial" w:hAnsi="Arial"/>
          <w:b w:val="1"/>
          <w:color w:val="1d1c1d"/>
          <w:sz w:val="23"/>
          <w:szCs w:val="23"/>
          <w:shd w:fill="f8f8f8" w:val="clear"/>
        </w:rPr>
      </w:pPr>
      <w:r w:rsidDel="00000000" w:rsidR="00000000" w:rsidRPr="00000000">
        <w:rPr>
          <w:rtl w:val="0"/>
        </w:rPr>
      </w:r>
    </w:p>
    <w:p w:rsidR="00000000" w:rsidDel="00000000" w:rsidP="00000000" w:rsidRDefault="00000000" w:rsidRPr="00000000" w14:paraId="00000025">
      <w:pPr>
        <w:spacing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26">
      <w:pPr>
        <w:spacing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27">
      <w:pPr>
        <w:shd w:fill="ffffff" w:val="clear"/>
        <w:spacing w:after="300" w:before="180"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28">
      <w:pPr>
        <w:spacing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vertAlign w:val="baseline"/>
        </w:rPr>
      </w:pPr>
      <w:r w:rsidDel="00000000" w:rsidR="00000000" w:rsidRPr="00000000">
        <w:rPr>
          <w:rtl w:val="0"/>
        </w:rPr>
      </w:r>
    </w:p>
    <w:sectPr>
      <w:headerReference r:id="rId10" w:type="default"/>
      <w:headerReference r:id="rId11" w:type="even"/>
      <w:footerReference r:id="rId12"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sz w:val="18"/>
        <w:szCs w:val="18"/>
        <w:rtl w:val="0"/>
      </w:rPr>
      <w:t xml:space="preserve">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w:t>
      <w:tab/>
      <w:t xml:space="preserve">[Type text]</w:t>
      <w:tab/>
      <w:t xml:space="preserve">[Type text]</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color="4f81bd" w:space="1" w:sz="4" w:val="single"/>
      </w:pBdr>
      <w:shd w:fill="auto" w:val="clear"/>
      <w:tabs>
        <w:tab w:val="center" w:leader="none" w:pos="4153"/>
        <w:tab w:val="right" w:leader="none"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document title]</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color="4f81bd" w:space="1" w:sz="4" w:val="single"/>
      </w:pBdr>
      <w:shd w:fill="auto" w:val="clear"/>
      <w:tabs>
        <w:tab w:val="center" w:leader="none" w:pos="4153"/>
        <w:tab w:val="right" w:leader="none"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date]</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r>
    <w:r w:rsidDel="00000000" w:rsidR="00000000" w:rsidRPr="00000000">
      <w:drawing>
        <wp:anchor allowOverlap="1" behindDoc="0" distB="114300" distT="114300" distL="114300" distR="114300" hidden="0" layoutInCell="1" locked="0" relativeHeight="0" simplePos="0">
          <wp:simplePos x="0" y="0"/>
          <wp:positionH relativeFrom="column">
            <wp:posOffset>2057400</wp:posOffset>
          </wp:positionH>
          <wp:positionV relativeFrom="paragraph">
            <wp:posOffset>228600</wp:posOffset>
          </wp:positionV>
          <wp:extent cx="1366838" cy="447757"/>
          <wp:effectExtent b="0" l="0" r="0" t="0"/>
          <wp:wrapSquare wrapText="bothSides" distB="114300" distT="114300" distL="114300" distR="114300"/>
          <wp:docPr id="1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66838" cy="447757"/>
                  </a:xfrm>
                  <a:prstGeom prst="rect"/>
                  <a:ln/>
                </pic:spPr>
              </pic:pic>
            </a:graphicData>
          </a:graphic>
        </wp:anchor>
      </w:drawing>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tabs>
        <w:tab w:val="center" w:leader="none" w:pos="4153"/>
        <w:tab w:val="right" w:leader="none" w:pos="8306"/>
        <w:tab w:val="center" w:leader="none" w:pos="4320"/>
        <w:tab w:val="right" w:leader="none" w:pos="8640"/>
      </w:tabs>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righ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8640.0" w:type="dxa"/>
      <w:jc w:val="lef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640"/>
      <w:tblGridChange w:id="0">
        <w:tblGrid>
          <w:gridCol w:w="8640"/>
        </w:tblGrid>
      </w:tblGridChange>
    </w:tblGrid>
    <w:tr>
      <w:trPr>
        <w:cantSplit w:val="0"/>
        <w:trHeight w:val="100" w:hRule="atLeast"/>
        <w:tblHeader w:val="0"/>
      </w:trPr>
      <w:tc>
        <w:tcPr>
          <w:vAlign w:val="top"/>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3">
    <w:name w:val="Heading 3"/>
    <w:basedOn w:val="Normal"/>
    <w:next w:val="Heading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2"/>
    </w:pPr>
    <w:rPr>
      <w:rFonts w:ascii="Times" w:hAnsi="Times"/>
      <w:b w:val="1"/>
      <w:bCs w:val="1"/>
      <w:w w:val="100"/>
      <w:position w:val="-1"/>
      <w:sz w:val="27"/>
      <w:szCs w:val="27"/>
      <w:effect w:val="none"/>
      <w:vertAlign w:val="baseline"/>
      <w:cs w:val="0"/>
      <w:em w:val="none"/>
      <w:lang w:bidi="ar-SA" w:eastAsia="en-US" w:val="es-E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val="en-US"/>
    </w:rPr>
  </w:style>
  <w:style w:type="paragraph" w:styleId="Footer">
    <w:name w:val="Footer"/>
    <w:basedOn w:val="Normal"/>
    <w:next w:val="Foot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Lucida Grande" w:cs="Lucida Grande" w:hAnsi="Lucida Grande"/>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Lucida Grande" w:cs="Lucida Grande" w:hAnsi="Lucida Grande"/>
      <w:w w:val="100"/>
      <w:position w:val="-1"/>
      <w:sz w:val="18"/>
      <w:szCs w:val="18"/>
      <w:effect w:val="none"/>
      <w:vertAlign w:val="baseline"/>
      <w:cs w:val="0"/>
      <w:em w:val="none"/>
      <w:lang/>
    </w:rPr>
  </w:style>
  <w:style w:type="character" w:styleId="CommentReference">
    <w:name w:val="Comment Reference"/>
    <w:next w:val="CommentReference"/>
    <w:autoRedefine w:val="0"/>
    <w:hidden w:val="0"/>
    <w:qFormat w:val="1"/>
    <w:rPr>
      <w:w w:val="100"/>
      <w:position w:val="-1"/>
      <w:sz w:val="18"/>
      <w:szCs w:val="18"/>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sz w:val="24"/>
      <w:szCs w:val="24"/>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sz w:val="24"/>
      <w:szCs w:val="24"/>
      <w:effect w:val="none"/>
      <w:vertAlign w:val="baseline"/>
      <w:cs w:val="0"/>
      <w:em w:val="none"/>
      <w:lang/>
    </w:rPr>
  </w:style>
  <w:style w:type="character" w:styleId="PageNumber">
    <w:name w:val="Page Number"/>
    <w:next w:val="PageNumber"/>
    <w:autoRedefine w:val="0"/>
    <w:hidden w:val="0"/>
    <w:qFormat w:val="1"/>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text">
    <w:name w:val="text"/>
    <w:basedOn w:val="Normal"/>
    <w:next w:val="tex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character" w:styleId="Heading3Char">
    <w:name w:val="Heading 3 Char"/>
    <w:next w:val="Heading3Char"/>
    <w:autoRedefine w:val="0"/>
    <w:hidden w:val="0"/>
    <w:qFormat w:val="0"/>
    <w:rPr>
      <w:rFonts w:ascii="Times" w:hAnsi="Times"/>
      <w:b w:val="1"/>
      <w:bCs w:val="1"/>
      <w:w w:val="100"/>
      <w:position w:val="-1"/>
      <w:sz w:val="27"/>
      <w:szCs w:val="27"/>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yperlink" Target="http://www.gshocklatam.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un.org/es/global-issues/climate-change" TargetMode="External"/><Relationship Id="rId8" Type="http://schemas.openxmlformats.org/officeDocument/2006/relationships/hyperlink" Target="https://www.eia.gov/energyexplained/biomass/biomass-and-the-environment.ph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rk9OJ/g2/lJqIKsZQqpgMELZOA==">AMUW2mUPYvNB06Xu8fSgIc/aEButJMxbqBotAt61us3eH4BP3V0lIbVwswYH8gSV5ePd8oP3R6KILXSuP+oYaot4I/jciSyLGJMJykpm6OQ6Egv3dabeOEI=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2015-05-05T20:03:00Z</dcterms:created>
  <dc:creator>Gabriela Alvarado Vazquez Del Mercado</dc:creator>
</cp:coreProperties>
</file>

<file path=docProps/custom.xml><?xml version="1.0" encoding="utf-8"?>
<Properties xmlns="http://schemas.openxmlformats.org/officeDocument/2006/custom-properties" xmlns:vt="http://schemas.openxmlformats.org/officeDocument/2006/docPropsVTypes"/>
</file>