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jc w:val="left"/>
        <w:rPr>
          <w:rFonts w:ascii="Helvetica Neue" w:cs="Helvetica Neue" w:eastAsia="Helvetica Neue" w:hAnsi="Helvetica Neue"/>
          <w:b w:val="1"/>
          <w:sz w:val="34"/>
          <w:szCs w:val="34"/>
        </w:rPr>
      </w:pPr>
      <w:r w:rsidDel="00000000" w:rsidR="00000000" w:rsidRPr="00000000">
        <w:rPr>
          <w:rtl w:val="0"/>
        </w:rPr>
      </w:r>
    </w:p>
    <w:p w:rsidR="00000000" w:rsidDel="00000000" w:rsidP="00000000" w:rsidRDefault="00000000" w:rsidRPr="00000000" w14:paraId="00000002">
      <w:pPr>
        <w:spacing w:line="276" w:lineRule="auto"/>
        <w:jc w:val="center"/>
        <w:rPr>
          <w:rFonts w:ascii="Helvetica Neue" w:cs="Helvetica Neue" w:eastAsia="Helvetica Neue" w:hAnsi="Helvetica Neue"/>
          <w:b w:val="1"/>
          <w:sz w:val="17"/>
          <w:szCs w:val="17"/>
        </w:rPr>
      </w:pPr>
      <w:r w:rsidDel="00000000" w:rsidR="00000000" w:rsidRPr="00000000">
        <w:rPr>
          <w:rFonts w:ascii="Helvetica Neue" w:cs="Helvetica Neue" w:eastAsia="Helvetica Neue" w:hAnsi="Helvetica Neue"/>
          <w:b w:val="1"/>
          <w:sz w:val="34"/>
          <w:szCs w:val="34"/>
          <w:rtl w:val="0"/>
        </w:rPr>
        <w:t xml:space="preserve">Philip Morris International anuncia contrato para adquirir a Fertin Pharma</w:t>
      </w:r>
      <w:r w:rsidDel="00000000" w:rsidR="00000000" w:rsidRPr="00000000">
        <w:rPr>
          <w:rtl w:val="0"/>
        </w:rPr>
      </w:r>
    </w:p>
    <w:p w:rsidR="00000000" w:rsidDel="00000000" w:rsidP="00000000" w:rsidRDefault="00000000" w:rsidRPr="00000000" w14:paraId="00000003">
      <w:pPr>
        <w:pStyle w:val="Subtitle"/>
        <w:keepLines w:val="1"/>
        <w:ind w:left="0" w:firstLine="0"/>
        <w:rPr>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numPr>
          <w:ilvl w:val="0"/>
          <w:numId w:val="1"/>
        </w:numPr>
        <w:spacing w:line="276" w:lineRule="auto"/>
        <w:ind w:left="720" w:hanging="360"/>
        <w:jc w:val="center"/>
      </w:pPr>
      <w:r w:rsidDel="00000000" w:rsidR="00000000" w:rsidRPr="00000000">
        <w:rPr>
          <w:rFonts w:ascii="Helvetica Neue" w:cs="Helvetica Neue" w:eastAsia="Helvetica Neue" w:hAnsi="Helvetica Neue"/>
          <w:sz w:val="22"/>
          <w:szCs w:val="22"/>
          <w:rtl w:val="0"/>
        </w:rPr>
        <w:t xml:space="preserve">La adquisición potencia la meta de PMI de convertirse en un negocio mayoritariamente libre de humo para el 2025 y crea oportunidades de crecimiento más allá de la nicotina.</w:t>
      </w:r>
      <w:r w:rsidDel="00000000" w:rsidR="00000000" w:rsidRPr="00000000">
        <w:rPr>
          <w:rtl w:val="0"/>
        </w:rPr>
      </w:r>
    </w:p>
    <w:p w:rsidR="00000000" w:rsidDel="00000000" w:rsidP="00000000" w:rsidRDefault="00000000" w:rsidRPr="00000000" w14:paraId="00000005">
      <w:pPr>
        <w:ind w:left="0" w:firstLine="0"/>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sz w:val="22"/>
          <w:szCs w:val="22"/>
          <w:rtl w:val="0"/>
        </w:rPr>
        <w:t xml:space="preserve">Ciudad de México, 5 de julio de 2021 – </w:t>
      </w:r>
      <w:r w:rsidDel="00000000" w:rsidR="00000000" w:rsidRPr="00000000">
        <w:rPr>
          <w:rFonts w:ascii="Helvetica Neue" w:cs="Helvetica Neue" w:eastAsia="Helvetica Neue" w:hAnsi="Helvetica Neue"/>
          <w:sz w:val="22"/>
          <w:szCs w:val="22"/>
          <w:rtl w:val="0"/>
        </w:rPr>
        <w:t xml:space="preserve">Philip Morris International Inc. (PMI) (NYSE: PM) anunció que ha celebrado un contrato para adquirir a Fertin Pharma A/S (Fertin Pharma), un desarrollador y fabricante líder de productos farmacéuticos y de bienestar innovadores basados en sistemas de administración oral e intraoral, por un valor de empresa de DKK 5.100 millones (aproximadamente USD 820 millones).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“La adquisición de Fertin Pharma será un paso significativo en nuestro trayecto para entregar un futuro libre de humo, mejorando nuestro portafolio de productos libres de humo, sobre todo en el ámbito oral moderno, y acelerando nuestro avance más allá de la nicotina", declaró Jacek Olczak, Director Ejecutivo. “Tanto PMI como Fertin comparten un compromiso con la ciencia y las innovaciones centradas en el consumidor para una vida mejor y estoy encantado de que hayamos llegado a este acuerdo. El diverso portafolio de tecnologías de Fertin, la combinación de negocios en evolución y la experiencia de clase mundial enriquecerán nuestra línea de innovación y capacidades, proporcionando velocidad y escala en la administración oral para apoyar nuestros objetivos de 2025 de generar más del 50% de nuestros ingresos netos de productos libres de humo y al menos mil millones de dólares de productos más allá de la nicotina”.</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Fertin Pharma es una empresa privada con más de 850 empleados y operaciones en Dinamarca, Canadá e India. Es una organización de desarrollo y fabricación por contrato (CDMO) líder, especializada en la investigación, el desarrollo y la producción de gomas, bolsas, comprimidos licuables y otros sistemas orales sólidos para la administración de ingredientes activos, incluida la nicotina, donde es un productor líder de soluciones de Terapia de Reemplazo de Nicotina (NRT). La compañía y sus empleados aportan una importante experiencia científica y conocimientos técnicos al desarrollo de soluciones innovadoras, impulsando el crecimiento por encima de la categoría en las áreas de negocio nuevas y existentes. En 2020, Fertin Pharma generó unos ingresos netos de DKK 1.100 millones (aproximadamente USD 160 millones). El valor de la transacción representa un múltiplo de unas 15 veces el EBITDA de Fertin Pharma en 2020.</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Fertin Pharma es actualmente propiedad de la organización de inversión global EQT y Bagger-Sørensen &amp; Co. Una vez completada la adquisición, Fertin Pharma se convertirá en una subsidiaria de propiedad absoluta de PMI. PMI financiará la transacción con el efectivo existente y espera que se cierre en el cuarto trimestre de 2021, sujeto a la aprobación de las autoridades reguladoras correspondientes. PMI espera que el impacto de la adquisición en su BPA diluido ajustado para todo el año 2021 sea inmaterial.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Peter Halling, director ejecutivo de Fertin Pharma, comentó: "Fertin Pharma ha realizado un viaje fantástico con EQT y la familia Bagger-Sørensen como propietarios. Con la nueva propiedad, Fertin Pharma estará en una gran posición para seguir cumpliendo con nuestra visión y misión, incluyendo nuestro trabajo como CDMO para nuestros clientes. PMI está experimentando una transformación inspiradora como compañía con la ambición de ofrecer un futuro libre de humo y construir una cartera de productos más allá de la nicotina. Una ambición que coincide perfectamente con la de Fertin Pharma, es decir, permitir a las personas llevar una vida más sana. En PMI hemos encontrado un nuevo propietario y socio que comparte nuestra visión, que está comprometido con la ciencia y que permitirá a Fertin Pharma seguir acelerando y creciendo como compañía".</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sz w:val="20"/>
          <w:szCs w:val="20"/>
          <w:rtl w:val="0"/>
        </w:rPr>
        <w:t xml:space="preserve">Con la adquisición de Fertin Pharma, PMI: </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Helvetica Neue" w:cs="Helvetica Neue" w:eastAsia="Helvetica Neue" w:hAnsi="Helvetica Neue"/>
          <w:sz w:val="22"/>
          <w:szCs w:val="22"/>
          <w:u w:val="none"/>
        </w:rPr>
      </w:pPr>
      <w:r w:rsidDel="00000000" w:rsidR="00000000" w:rsidRPr="00000000">
        <w:rPr>
          <w:rFonts w:ascii="Helvetica Neue" w:cs="Helvetica Neue" w:eastAsia="Helvetica Neue" w:hAnsi="Helvetica Neue"/>
          <w:sz w:val="22"/>
          <w:szCs w:val="22"/>
          <w:rtl w:val="0"/>
        </w:rPr>
        <w:t xml:space="preserve">Obtendrá un conocimiento sustancial para el desarrollo, la formulación y la comercialización de plataformas libres de humo actuales y adicionales, incluyendo la capacidad de acelerar nuestra presencia en la categoría oral moderna de rápido crecimiento, proporcionando una experiencia superior al consumidor a través de una amplia gama de productos libres de humo, como bolsas y pastillas de nicotina.</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Helvetica Neue" w:cs="Helvetica Neue" w:eastAsia="Helvetica Neue" w:hAnsi="Helvetica Neue"/>
          <w:sz w:val="22"/>
          <w:szCs w:val="22"/>
          <w:u w:val="none"/>
        </w:rPr>
      </w:pPr>
      <w:r w:rsidDel="00000000" w:rsidR="00000000" w:rsidRPr="00000000">
        <w:rPr>
          <w:rFonts w:ascii="Helvetica Neue" w:cs="Helvetica Neue" w:eastAsia="Helvetica Neue" w:hAnsi="Helvetica Neue"/>
          <w:sz w:val="22"/>
          <w:szCs w:val="22"/>
          <w:rtl w:val="0"/>
        </w:rPr>
        <w:t xml:space="preserve">Aprovechará las plataformas de administración oral de Fertin para acceder a una serie de tecnologías prometedoras, complementarias a la experiencia en inhalación de PMI, para productos botánicos científicamente probados y otros productos de autocuidado del bienestar, incluyendo soluciones y suplementos de venta libre que mejoren la vida de las personas en áreas como el sueño, la energía, la calma y la concentración.</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Helvetica Neue" w:cs="Helvetica Neue" w:eastAsia="Helvetica Neue" w:hAnsi="Helvetica Neue"/>
          <w:sz w:val="22"/>
          <w:szCs w:val="22"/>
          <w:u w:val="none"/>
        </w:rPr>
      </w:pPr>
      <w:r w:rsidDel="00000000" w:rsidR="00000000" w:rsidRPr="00000000">
        <w:rPr>
          <w:rFonts w:ascii="Helvetica Neue" w:cs="Helvetica Neue" w:eastAsia="Helvetica Neue" w:hAnsi="Helvetica Neue"/>
          <w:sz w:val="22"/>
          <w:szCs w:val="22"/>
          <w:rtl w:val="0"/>
        </w:rPr>
        <w:t xml:space="preserve">Seguirá construyendo nuestra plataforma global de I+D y experiencia en la fabricación de productos con nicotina y más allá de la nicotina mediante la incorporación de las sólidas capacidades y la mano de obra calificada de Fertin, que incluye 80 científicos.</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Helvetica Neue" w:cs="Helvetica Neue" w:eastAsia="Helvetica Neue" w:hAnsi="Helvetica Neue"/>
          <w:sz w:val="22"/>
          <w:szCs w:val="22"/>
          <w:u w:val="none"/>
        </w:rPr>
      </w:pPr>
      <w:r w:rsidDel="00000000" w:rsidR="00000000" w:rsidRPr="00000000">
        <w:rPr>
          <w:rFonts w:ascii="Helvetica Neue" w:cs="Helvetica Neue" w:eastAsia="Helvetica Neue" w:hAnsi="Helvetica Neue"/>
          <w:sz w:val="22"/>
          <w:szCs w:val="22"/>
          <w:rtl w:val="0"/>
        </w:rPr>
        <w:t xml:space="preserve">Acelerará el progreso en las prioridades clave de sostenibilidad, en particular ampliando el alcance y el acceso de nuestras alternativas sin humo a los fumadores adultos de todo el mundo para acelerar el fin de los fumadores y construir un sólido negocio más allá de la nicotina.</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A comienzos de este año, PMI anunció su meta de generar más del 50 por ciento de sus ingresos netos totales de productos libres de humo para el 2025. Además de su compromiso continuo de lograr un futuro libre de humo, PMI busca apalancar las capacidades en las ciencias biológicas, innovación de productos y experticia clínica para expandir su portafolio más allá del tabaco y la nicotina, con productos y soluciones científicamente soportadas que mejoran la vida de las personas y que generan un impacto positivo en la sociedad. </w:t>
      </w:r>
    </w:p>
    <w:p w:rsidR="00000000" w:rsidDel="00000000" w:rsidP="00000000" w:rsidRDefault="00000000" w:rsidRPr="00000000" w14:paraId="0000001A">
      <w:pPr>
        <w:spacing w:line="276" w:lineRule="auto"/>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76" w:lineRule="auto"/>
        <w:jc w:val="both"/>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76" w:lineRule="auto"/>
        <w:jc w:val="cente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76" w:lineRule="auto"/>
        <w:jc w:val="cente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76" w:lineRule="auto"/>
        <w:jc w:val="both"/>
        <w:rPr>
          <w:rFonts w:ascii="Helvetica Neue" w:cs="Helvetica Neue" w:eastAsia="Helvetica Neue" w:hAnsi="Helvetica Neue"/>
          <w:b w:val="1"/>
          <w:color w:val="000000"/>
          <w:sz w:val="20"/>
          <w:szCs w:val="20"/>
        </w:rPr>
      </w:pPr>
      <w:r w:rsidDel="00000000" w:rsidR="00000000" w:rsidRPr="00000000">
        <w:rPr>
          <w:rFonts w:ascii="Helvetica Neue" w:cs="Helvetica Neue" w:eastAsia="Helvetica Neue" w:hAnsi="Helvetica Neue"/>
          <w:b w:val="1"/>
          <w:color w:val="000000"/>
          <w:sz w:val="20"/>
          <w:szCs w:val="20"/>
          <w:rtl w:val="0"/>
        </w:rPr>
        <w:t xml:space="preserve">Acerca de Philip Morris International (PMI)</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76" w:lineRule="auto"/>
        <w:jc w:val="both"/>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Philip Morris International (PMI) está liderando una transformación en la industria tabacalera para crear un futuro libre de humo y, en última instancia, reemplazar los cigarrillos por productos libres de humo en beneficio de los adultos que de otro modo seguirían fumando, la sociedad, la compañía y sus accionistas. PMI es una compañía tabacalera internacional líder, dedicada a la fabricación y venta de cigarrillos, así como productos libres de humo y dispositivos y accesorios electrónicos asociados, y otros productos que contienen nicotina en mercados fuera de los Estados Unidos.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PMI está construyendo un futuro en una nueva categoría de productos libres de humo que, si bien no están libres de riesgos, son una opción mucho mejor que seguir fumando. A través de capacidades multidisciplinarias en el desarrollo de productos, instalaciones de última generación y fundamentación científica, PMI tiene como objetivo garantizar que sus productos libres de humo cumplan con las preferencias de los consumidores adultos y los rigurosos requisitos regulatorios. El portafolio de productos IQOS libres de humo de PMI incluye productos que calientan y no queman y productos de vapor que contienen nicotina. Al 30 de septiembre de 2020, PMI estima que aproximadamente 11,7 millones de fumadores adultos en todo el mundo ya han dejado de fumar y han cambiado al producto que calienta y no quema de PMI, disponible para la venta en 61 mercados en ciudades clave o a nivel nacional, bajo la marca IQOS. Para obtener más información, visite </w:t>
      </w:r>
      <w:hyperlink r:id="rId7">
        <w:r w:rsidDel="00000000" w:rsidR="00000000" w:rsidRPr="00000000">
          <w:rPr>
            <w:rFonts w:ascii="Helvetica Neue" w:cs="Helvetica Neue" w:eastAsia="Helvetica Neue" w:hAnsi="Helvetica Neue"/>
            <w:color w:val="1155cc"/>
            <w:sz w:val="20"/>
            <w:szCs w:val="20"/>
            <w:u w:val="single"/>
            <w:rtl w:val="0"/>
          </w:rPr>
          <w:t xml:space="preserve">www.pmi.com</w:t>
        </w:r>
      </w:hyperlink>
      <w:r w:rsidDel="00000000" w:rsidR="00000000" w:rsidRPr="00000000">
        <w:rPr>
          <w:rFonts w:ascii="Helvetica Neue" w:cs="Helvetica Neue" w:eastAsia="Helvetica Neue" w:hAnsi="Helvetica Neue"/>
          <w:sz w:val="20"/>
          <w:szCs w:val="20"/>
          <w:rtl w:val="0"/>
        </w:rPr>
        <w:t xml:space="preserve"> y </w:t>
      </w:r>
      <w:hyperlink r:id="rId8">
        <w:r w:rsidDel="00000000" w:rsidR="00000000" w:rsidRPr="00000000">
          <w:rPr>
            <w:rFonts w:ascii="Helvetica Neue" w:cs="Helvetica Neue" w:eastAsia="Helvetica Neue" w:hAnsi="Helvetica Neue"/>
            <w:color w:val="1155cc"/>
            <w:sz w:val="20"/>
            <w:szCs w:val="20"/>
            <w:u w:val="single"/>
            <w:rtl w:val="0"/>
          </w:rPr>
          <w:t xml:space="preserve">www.pmiscience.com</w:t>
        </w:r>
      </w:hyperlink>
      <w:r w:rsidDel="00000000" w:rsidR="00000000" w:rsidRPr="00000000">
        <w:rPr>
          <w:rFonts w:ascii="Helvetica Neue" w:cs="Helvetica Neue" w:eastAsia="Helvetica Neue" w:hAnsi="Helvetica Neue"/>
          <w:sz w:val="20"/>
          <w:szCs w:val="20"/>
          <w:rtl w:val="0"/>
        </w:rPr>
        <w:t xml:space="preserve">.</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color w:val="000000"/>
          <w:sz w:val="22"/>
          <w:szCs w:val="22"/>
          <w:rtl w:val="0"/>
        </w:rPr>
        <w:t xml:space="preserve">Contacto de prensa:</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Míchel Torres</w:t>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sz w:val="22"/>
          <w:szCs w:val="22"/>
          <w:rtl w:val="0"/>
        </w:rPr>
        <w:t xml:space="preserve">a</w:t>
      </w:r>
      <w:r w:rsidDel="00000000" w:rsidR="00000000" w:rsidRPr="00000000">
        <w:rPr>
          <w:rFonts w:ascii="Helvetica Neue" w:cs="Helvetica Neue" w:eastAsia="Helvetica Neue" w:hAnsi="Helvetica Neue"/>
          <w:b w:val="1"/>
          <w:color w:val="000000"/>
          <w:sz w:val="22"/>
          <w:szCs w:val="22"/>
          <w:rtl w:val="0"/>
        </w:rPr>
        <w:t xml:space="preserve">nother</w:t>
      </w:r>
      <w:r w:rsidDel="00000000" w:rsidR="00000000" w:rsidRPr="00000000">
        <w:rPr>
          <w:rFonts w:ascii="Helvetica Neue" w:cs="Helvetica Neue" w:eastAsia="Helvetica Neue" w:hAnsi="Helvetica Neue"/>
          <w:b w:val="1"/>
          <w:sz w:val="22"/>
          <w:szCs w:val="22"/>
          <w:rtl w:val="0"/>
        </w:rPr>
        <w:tab/>
      </w:r>
      <w:r w:rsidDel="00000000" w:rsidR="00000000" w:rsidRPr="00000000">
        <w:rPr>
          <w:rFonts w:ascii="Helvetica Neue" w:cs="Helvetica Neue" w:eastAsia="Helvetica Neue" w:hAnsi="Helvetica Neue"/>
          <w:b w:val="1"/>
          <w:color w:val="000000"/>
          <w:sz w:val="22"/>
          <w:szCs w:val="22"/>
          <w:rtl w:val="0"/>
        </w:rPr>
        <w:tab/>
        <w:tab/>
        <w:tab/>
        <w:tab/>
        <w:tab/>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hyperlink r:id="rId9">
        <w:r w:rsidDel="00000000" w:rsidR="00000000" w:rsidRPr="00000000">
          <w:rPr>
            <w:rFonts w:ascii="Helvetica Neue" w:cs="Helvetica Neue" w:eastAsia="Helvetica Neue" w:hAnsi="Helvetica Neue"/>
            <w:color w:val="1155cc"/>
            <w:sz w:val="22"/>
            <w:szCs w:val="22"/>
            <w:u w:val="single"/>
            <w:rtl w:val="0"/>
          </w:rPr>
          <w:t xml:space="preserve">axl.torres@another.co</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55 3085 5438</w:t>
        <w:tab/>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76" w:lineRule="auto"/>
        <w:jc w:val="both"/>
        <w:rPr>
          <w:rFonts w:ascii="Helvetica Neue" w:cs="Helvetica Neue" w:eastAsia="Helvetica Neue" w:hAnsi="Helvetica Neue"/>
          <w:color w:val="000000"/>
        </w:rPr>
      </w:pPr>
      <w:r w:rsidDel="00000000" w:rsidR="00000000" w:rsidRPr="00000000">
        <w:rPr>
          <w:rtl w:val="0"/>
        </w:rPr>
      </w:r>
    </w:p>
    <w:sectPr>
      <w:headerReference r:id="rId10" w:type="default"/>
      <w:pgSz w:h="15840" w:w="12240" w:orient="portrait"/>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cente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Pr>
      <w:drawing>
        <wp:inline distB="0" distT="0" distL="0" distR="0">
          <wp:extent cx="2505075" cy="98182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505075" cy="98182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jc w:val="center"/>
      <w:rPr>
        <w:rFonts w:ascii="Helvetica Neue" w:cs="Helvetica Neue" w:eastAsia="Helvetica Neue" w:hAnsi="Helvetica Neue"/>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pBdr>
        <w:top w:space="0" w:sz="0" w:val="nil"/>
        <w:left w:space="0" w:sz="0" w:val="nil"/>
        <w:bottom w:space="0" w:sz="0" w:val="nil"/>
        <w:right w:space="0" w:sz="0" w:val="nil"/>
        <w:between w:space="0" w:sz="0" w:val="nil"/>
      </w:pBdr>
    </w:pPr>
    <w:rPr>
      <w:rFonts w:ascii="Helvetica Neue" w:cs="Helvetica Neue" w:eastAsia="Helvetica Neue" w:hAnsi="Helvetica Neue"/>
      <w:color w:val="000000"/>
      <w:sz w:val="40"/>
      <w:szCs w:val="40"/>
    </w:rPr>
  </w:style>
  <w:style w:type="paragraph" w:styleId="BalloonText">
    <w:name w:val="Balloon Text"/>
    <w:basedOn w:val="Normal"/>
    <w:link w:val="BalloonTextChar"/>
    <w:uiPriority w:val="99"/>
    <w:semiHidden w:val="1"/>
    <w:unhideWhenUsed w:val="1"/>
    <w:rsid w:val="006957B0"/>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957B0"/>
    <w:rPr>
      <w:rFonts w:ascii="Segoe UI" w:cs="Segoe UI" w:hAnsi="Segoe UI"/>
      <w:sz w:val="18"/>
      <w:szCs w:val="18"/>
    </w:rPr>
  </w:style>
  <w:style w:type="character" w:styleId="CommentReference">
    <w:name w:val="annotation reference"/>
    <w:basedOn w:val="DefaultParagraphFont"/>
    <w:uiPriority w:val="99"/>
    <w:semiHidden w:val="1"/>
    <w:unhideWhenUsed w:val="1"/>
    <w:rsid w:val="00987474"/>
    <w:rPr>
      <w:sz w:val="16"/>
      <w:szCs w:val="16"/>
    </w:rPr>
  </w:style>
  <w:style w:type="paragraph" w:styleId="CommentText">
    <w:name w:val="annotation text"/>
    <w:basedOn w:val="Normal"/>
    <w:link w:val="CommentTextChar"/>
    <w:uiPriority w:val="99"/>
    <w:semiHidden w:val="1"/>
    <w:unhideWhenUsed w:val="1"/>
    <w:rsid w:val="00987474"/>
    <w:rPr>
      <w:sz w:val="20"/>
      <w:szCs w:val="20"/>
    </w:rPr>
  </w:style>
  <w:style w:type="character" w:styleId="CommentTextChar" w:customStyle="1">
    <w:name w:val="Comment Text Char"/>
    <w:basedOn w:val="DefaultParagraphFont"/>
    <w:link w:val="CommentText"/>
    <w:uiPriority w:val="99"/>
    <w:semiHidden w:val="1"/>
    <w:rsid w:val="00987474"/>
    <w:rPr>
      <w:sz w:val="20"/>
      <w:szCs w:val="20"/>
    </w:rPr>
  </w:style>
  <w:style w:type="paragraph" w:styleId="CommentSubject">
    <w:name w:val="annotation subject"/>
    <w:basedOn w:val="CommentText"/>
    <w:next w:val="CommentText"/>
    <w:link w:val="CommentSubjectChar"/>
    <w:uiPriority w:val="99"/>
    <w:semiHidden w:val="1"/>
    <w:unhideWhenUsed w:val="1"/>
    <w:rsid w:val="00987474"/>
    <w:rPr>
      <w:b w:val="1"/>
      <w:bCs w:val="1"/>
    </w:rPr>
  </w:style>
  <w:style w:type="character" w:styleId="CommentSubjectChar" w:customStyle="1">
    <w:name w:val="Comment Subject Char"/>
    <w:basedOn w:val="CommentTextChar"/>
    <w:link w:val="CommentSubject"/>
    <w:uiPriority w:val="99"/>
    <w:semiHidden w:val="1"/>
    <w:rsid w:val="00987474"/>
    <w:rPr>
      <w:b w:val="1"/>
      <w:bCs w:val="1"/>
      <w:sz w:val="20"/>
      <w:szCs w:val="20"/>
    </w:rPr>
  </w:style>
  <w:style w:type="paragraph" w:styleId="Subtitle">
    <w:name w:val="Subtitle"/>
    <w:basedOn w:val="Normal"/>
    <w:next w:val="Normal"/>
    <w:pPr>
      <w:keepNext w:val="1"/>
      <w:pBdr>
        <w:top w:space="0" w:sz="0" w:val="nil"/>
        <w:left w:space="0" w:sz="0" w:val="nil"/>
        <w:bottom w:space="0" w:sz="0" w:val="nil"/>
        <w:right w:space="0" w:sz="0" w:val="nil"/>
        <w:between w:space="0" w:sz="0" w:val="nil"/>
      </w:pBdr>
    </w:pPr>
    <w:rPr>
      <w:rFonts w:ascii="Helvetica Neue" w:cs="Helvetica Neue" w:eastAsia="Helvetica Neue" w:hAnsi="Helvetica Neue"/>
      <w:color w:val="000000"/>
      <w:sz w:val="40"/>
      <w:szCs w:val="4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axl.torres@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pmi.com" TargetMode="External"/><Relationship Id="rId8" Type="http://schemas.openxmlformats.org/officeDocument/2006/relationships/hyperlink" Target="http://www.pmiscienc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P4rfKFceHc9N2tDzqfLvo827oA==">AMUW2mUdOKKhOGTNUDmj9no/sKEISEp41mYSZAnHkWw6GWcqAJKe8XP96pon0J7nA/pAwgac/V5KmcLRZWu6eXXhdF6JVne2YEKn7IHszgYb9Dk/9kCYwhW7e3i5ZUsp/F98jx6Rdy1A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2021-05-26T23:37:00Z</dcterms:created>
  <dc:creator>Betancourt, Catalina</dc:creator>
</cp:coreProperties>
</file>