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:rsidR="00490AA6" w:rsidRDefault="00490AA6" w:rsidP="00490AA6">
      <w:pPr>
        <w:spacing w:after="0" w:line="336" w:lineRule="auto"/>
        <w:jc w:val="center"/>
        <w:rPr>
          <w:rFonts w:ascii="Gill Sans MT" w:hAnsi="Gill Sans MT"/>
          <w:b/>
          <w:szCs w:val="22"/>
          <w:lang w:val="en-US"/>
        </w:rPr>
      </w:pPr>
      <w:r>
        <w:rPr>
          <w:rFonts w:ascii="Gill Sans MT" w:hAnsi="Gill Sans MT"/>
          <w:b/>
          <w:szCs w:val="22"/>
          <w:lang w:val="en-US"/>
        </w:rPr>
        <w:t xml:space="preserve">Ferrofish’s </w:t>
      </w:r>
      <w:r w:rsidR="00AC2AD7">
        <w:rPr>
          <w:rFonts w:ascii="Gill Sans MT" w:hAnsi="Gill Sans MT"/>
          <w:b/>
          <w:szCs w:val="22"/>
          <w:lang w:val="en-US"/>
        </w:rPr>
        <w:t xml:space="preserve">A32 </w:t>
      </w:r>
      <w:r w:rsidR="00414AA5">
        <w:rPr>
          <w:rFonts w:ascii="Gill Sans MT" w:hAnsi="Gill Sans MT"/>
          <w:b/>
          <w:szCs w:val="22"/>
          <w:lang w:val="en-US"/>
        </w:rPr>
        <w:t xml:space="preserve">Dante </w:t>
      </w:r>
      <w:r w:rsidR="00415423">
        <w:rPr>
          <w:rFonts w:ascii="Gill Sans MT" w:hAnsi="Gill Sans MT"/>
          <w:b/>
          <w:szCs w:val="22"/>
          <w:lang w:val="en-US"/>
        </w:rPr>
        <w:t>is Hand Picked</w:t>
      </w:r>
      <w:r w:rsidR="00AC2AD7">
        <w:rPr>
          <w:rFonts w:ascii="Gill Sans MT" w:hAnsi="Gill Sans MT"/>
          <w:b/>
          <w:szCs w:val="22"/>
          <w:lang w:val="en-US"/>
        </w:rPr>
        <w:t xml:space="preserve"> for ‘So You Think You Can Dance’ U.S. Tour</w:t>
      </w:r>
    </w:p>
    <w:p w:rsidR="00490AA6" w:rsidRPr="0032123E" w:rsidRDefault="00490AA6" w:rsidP="00490AA6">
      <w:pPr>
        <w:spacing w:after="0" w:line="336" w:lineRule="auto"/>
        <w:rPr>
          <w:rFonts w:ascii="Gill Sans MT" w:hAnsi="Gill Sans MT"/>
          <w:i/>
          <w:szCs w:val="22"/>
          <w:lang w:val="en-US"/>
        </w:rPr>
      </w:pPr>
    </w:p>
    <w:p w:rsidR="00490AA6" w:rsidRDefault="00AC2AD7" w:rsidP="004E34D8">
      <w:pPr>
        <w:pStyle w:val="normal0"/>
        <w:spacing w:line="336" w:lineRule="auto"/>
        <w:jc w:val="center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i/>
          <w:sz w:val="24"/>
          <w:szCs w:val="24"/>
        </w:rPr>
        <w:t xml:space="preserve">The </w:t>
      </w:r>
      <w:r w:rsidR="00525ED0">
        <w:rPr>
          <w:rFonts w:ascii="Gill Sans" w:eastAsia="Gill Sans" w:hAnsi="Gill Sans" w:cs="Gill Sans"/>
          <w:i/>
          <w:sz w:val="24"/>
          <w:szCs w:val="24"/>
        </w:rPr>
        <w:t>Dante-</w:t>
      </w:r>
      <w:r w:rsidR="00327B61">
        <w:rPr>
          <w:rFonts w:ascii="Gill Sans" w:eastAsia="Gill Sans" w:hAnsi="Gill Sans" w:cs="Gill Sans"/>
          <w:i/>
          <w:sz w:val="24"/>
          <w:szCs w:val="24"/>
        </w:rPr>
        <w:t>compatible</w:t>
      </w:r>
      <w:r w:rsidR="00525ED0">
        <w:rPr>
          <w:rFonts w:ascii="Gill Sans" w:eastAsia="Gill Sans" w:hAnsi="Gill Sans" w:cs="Gill Sans"/>
          <w:i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sz w:val="24"/>
          <w:szCs w:val="24"/>
        </w:rPr>
        <w:t>interface</w:t>
      </w:r>
      <w:r w:rsidR="004C0305">
        <w:rPr>
          <w:rFonts w:ascii="Gill Sans" w:eastAsia="Gill Sans" w:hAnsi="Gill Sans" w:cs="Gill Sans"/>
          <w:i/>
          <w:sz w:val="24"/>
          <w:szCs w:val="24"/>
        </w:rPr>
        <w:t xml:space="preserve"> used as </w:t>
      </w:r>
      <w:r w:rsidR="004E0AC0">
        <w:rPr>
          <w:rFonts w:ascii="Gill Sans" w:eastAsia="Gill Sans" w:hAnsi="Gill Sans" w:cs="Gill Sans"/>
          <w:i/>
          <w:sz w:val="24"/>
          <w:szCs w:val="24"/>
        </w:rPr>
        <w:t>a primary interface,</w:t>
      </w:r>
      <w:r>
        <w:rPr>
          <w:rFonts w:ascii="Gill Sans" w:eastAsia="Gill Sans" w:hAnsi="Gill Sans" w:cs="Gill Sans"/>
          <w:i/>
          <w:sz w:val="24"/>
          <w:szCs w:val="24"/>
        </w:rPr>
        <w:t xml:space="preserve"> </w:t>
      </w:r>
      <w:r w:rsidR="004C0305">
        <w:rPr>
          <w:rFonts w:ascii="Gill Sans" w:eastAsia="Gill Sans" w:hAnsi="Gill Sans" w:cs="Gill Sans"/>
          <w:i/>
          <w:sz w:val="24"/>
          <w:szCs w:val="24"/>
        </w:rPr>
        <w:t>offering</w:t>
      </w:r>
      <w:r w:rsidR="00A16224">
        <w:rPr>
          <w:rFonts w:ascii="Gill Sans" w:eastAsia="Gill Sans" w:hAnsi="Gill Sans" w:cs="Gill Sans"/>
          <w:i/>
          <w:sz w:val="24"/>
          <w:szCs w:val="24"/>
        </w:rPr>
        <w:t xml:space="preserve"> flexible routing for the nationwide tour</w:t>
      </w:r>
      <w:r>
        <w:rPr>
          <w:rFonts w:ascii="Gill Sans" w:eastAsia="Gill Sans" w:hAnsi="Gill Sans" w:cs="Gill Sans"/>
          <w:i/>
          <w:sz w:val="24"/>
          <w:szCs w:val="24"/>
        </w:rPr>
        <w:t xml:space="preserve"> </w:t>
      </w:r>
      <w:r w:rsidR="008D1C4D">
        <w:rPr>
          <w:rFonts w:ascii="Gill Sans" w:eastAsia="Gill Sans" w:hAnsi="Gill Sans" w:cs="Gill Sans"/>
          <w:i/>
          <w:sz w:val="24"/>
          <w:szCs w:val="24"/>
        </w:rPr>
        <w:br/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 xml:space="preserve">Fort Lauderdale, FL – </w:t>
      </w:r>
      <w:r w:rsidR="00D143E0">
        <w:rPr>
          <w:rFonts w:ascii="Gill Sans" w:eastAsia="Gill Sans" w:hAnsi="Gill Sans" w:cs="Gill Sans"/>
          <w:b/>
          <w:sz w:val="24"/>
          <w:szCs w:val="24"/>
        </w:rPr>
        <w:t>October</w:t>
      </w:r>
      <w:r>
        <w:rPr>
          <w:rFonts w:ascii="Gill Sans" w:eastAsia="Gill Sans" w:hAnsi="Gill Sans" w:cs="Gill Sans"/>
          <w:b/>
          <w:sz w:val="24"/>
          <w:szCs w:val="24"/>
        </w:rPr>
        <w:t xml:space="preserve"> </w:t>
      </w:r>
      <w:r w:rsidR="0006435D">
        <w:rPr>
          <w:rFonts w:ascii="Gill Sans" w:eastAsia="Gill Sans" w:hAnsi="Gill Sans" w:cs="Gill Sans"/>
          <w:b/>
          <w:sz w:val="24"/>
          <w:szCs w:val="24"/>
        </w:rPr>
        <w:t>30</w:t>
      </w:r>
      <w:r>
        <w:rPr>
          <w:rFonts w:ascii="Gill Sans" w:eastAsia="Gill Sans" w:hAnsi="Gill Sans" w:cs="Gill Sans"/>
          <w:b/>
          <w:sz w:val="24"/>
          <w:szCs w:val="24"/>
        </w:rPr>
        <w:t xml:space="preserve">, 2017 – </w:t>
      </w:r>
      <w:hyperlink r:id="rId8">
        <w:r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Ferrofish</w:t>
        </w:r>
      </w:hyperlink>
      <w:r w:rsidR="00D143E0">
        <w:rPr>
          <w:rFonts w:ascii="Gill Sans" w:eastAsia="Gill Sans" w:hAnsi="Gill Sans" w:cs="Gill Sans"/>
          <w:color w:val="1155CC"/>
          <w:sz w:val="24"/>
          <w:szCs w:val="24"/>
          <w:u w:val="single"/>
        </w:rPr>
        <w:t>’s</w:t>
      </w:r>
      <w:r w:rsidR="00D143E0">
        <w:rPr>
          <w:rFonts w:ascii="Gill Sans" w:eastAsia="Gill Sans" w:hAnsi="Gill Sans" w:cs="Gill Sans"/>
          <w:sz w:val="24"/>
          <w:szCs w:val="24"/>
        </w:rPr>
        <w:t xml:space="preserve"> </w:t>
      </w:r>
      <w:r w:rsidR="006A06A5">
        <w:rPr>
          <w:rFonts w:ascii="Gill Sans" w:eastAsia="Gill Sans" w:hAnsi="Gill Sans" w:cs="Gill Sans"/>
          <w:sz w:val="24"/>
          <w:szCs w:val="24"/>
        </w:rPr>
        <w:t>A32</w:t>
      </w:r>
      <w:r w:rsidR="00414AA5">
        <w:rPr>
          <w:rFonts w:ascii="Gill Sans" w:eastAsia="Gill Sans" w:hAnsi="Gill Sans" w:cs="Gill Sans"/>
          <w:sz w:val="24"/>
          <w:szCs w:val="24"/>
        </w:rPr>
        <w:t xml:space="preserve"> Dante</w:t>
      </w:r>
      <w:r w:rsidR="00177593">
        <w:rPr>
          <w:rFonts w:ascii="Gill Sans" w:eastAsia="Gill Sans" w:hAnsi="Gill Sans" w:cs="Gill Sans"/>
          <w:sz w:val="24"/>
          <w:szCs w:val="24"/>
        </w:rPr>
        <w:t>, the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 w:rsidR="00177593">
        <w:rPr>
          <w:rFonts w:ascii="Gill Sans" w:eastAsia="Gill Sans" w:hAnsi="Gill Sans" w:cs="Gill Sans"/>
          <w:sz w:val="24"/>
          <w:szCs w:val="24"/>
        </w:rPr>
        <w:t>German-</w:t>
      </w:r>
      <w:r w:rsidR="00327B61">
        <w:rPr>
          <w:rFonts w:ascii="Gill Sans" w:eastAsia="Gill Sans" w:hAnsi="Gill Sans" w:cs="Gill Sans"/>
          <w:sz w:val="24"/>
          <w:szCs w:val="24"/>
        </w:rPr>
        <w:t>manufacture</w:t>
      </w:r>
      <w:r w:rsidR="00AC2AD7">
        <w:rPr>
          <w:rFonts w:ascii="Gill Sans" w:eastAsia="Gill Sans" w:hAnsi="Gill Sans" w:cs="Gill Sans"/>
          <w:sz w:val="24"/>
          <w:szCs w:val="24"/>
        </w:rPr>
        <w:t>d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 w:rsidR="00AC2AD7">
        <w:rPr>
          <w:rFonts w:ascii="Gill Sans" w:eastAsia="Gill Sans" w:hAnsi="Gill Sans" w:cs="Gill Sans"/>
          <w:sz w:val="24"/>
          <w:szCs w:val="24"/>
        </w:rPr>
        <w:t xml:space="preserve">AD/DA converter </w:t>
      </w:r>
      <w:r w:rsidR="00414AA5">
        <w:rPr>
          <w:rFonts w:ascii="Gill Sans" w:eastAsia="Gill Sans" w:hAnsi="Gill Sans" w:cs="Gill Sans"/>
          <w:sz w:val="24"/>
          <w:szCs w:val="24"/>
        </w:rPr>
        <w:t>with support for Dante audio networking</w:t>
      </w:r>
      <w:r>
        <w:rPr>
          <w:rFonts w:ascii="Gill Sans" w:eastAsia="Gill Sans" w:hAnsi="Gill Sans" w:cs="Gill Sans"/>
          <w:sz w:val="24"/>
          <w:szCs w:val="24"/>
        </w:rPr>
        <w:t xml:space="preserve">, </w:t>
      </w:r>
      <w:r w:rsidR="00D143E0">
        <w:rPr>
          <w:rFonts w:ascii="Gill Sans" w:eastAsia="Gill Sans" w:hAnsi="Gill Sans" w:cs="Gill Sans"/>
          <w:sz w:val="24"/>
          <w:szCs w:val="24"/>
        </w:rPr>
        <w:t xml:space="preserve">has been selected by </w:t>
      </w:r>
      <w:r w:rsidR="000825D6">
        <w:rPr>
          <w:rFonts w:ascii="Gill Sans" w:eastAsia="Gill Sans" w:hAnsi="Gill Sans" w:cs="Gill Sans"/>
          <w:sz w:val="24"/>
          <w:szCs w:val="24"/>
        </w:rPr>
        <w:t>Front of House</w:t>
      </w:r>
      <w:r w:rsidR="00E6348D">
        <w:rPr>
          <w:rFonts w:ascii="Gill Sans" w:eastAsia="Gill Sans" w:hAnsi="Gill Sans" w:cs="Gill Sans"/>
          <w:sz w:val="24"/>
          <w:szCs w:val="24"/>
        </w:rPr>
        <w:t xml:space="preserve"> Mixing Engineer Michael Conner</w:t>
      </w:r>
      <w:r w:rsidR="004C0305">
        <w:rPr>
          <w:rFonts w:ascii="Gill Sans" w:eastAsia="Gill Sans" w:hAnsi="Gill Sans" w:cs="Gill Sans"/>
          <w:sz w:val="24"/>
          <w:szCs w:val="24"/>
        </w:rPr>
        <w:t xml:space="preserve"> for the </w:t>
      </w:r>
      <w:r w:rsidR="00AE1E4D">
        <w:rPr>
          <w:rFonts w:ascii="Gill Sans" w:eastAsia="Gill Sans" w:hAnsi="Gill Sans" w:cs="Gill Sans"/>
          <w:sz w:val="24"/>
          <w:szCs w:val="24"/>
        </w:rPr>
        <w:t>current</w:t>
      </w:r>
      <w:r w:rsidR="00892DB3">
        <w:rPr>
          <w:rFonts w:ascii="Gill Sans" w:eastAsia="Gill Sans" w:hAnsi="Gill Sans" w:cs="Gill Sans"/>
          <w:sz w:val="24"/>
          <w:szCs w:val="24"/>
        </w:rPr>
        <w:t xml:space="preserve"> </w:t>
      </w:r>
      <w:r w:rsidR="004C0305">
        <w:rPr>
          <w:rFonts w:ascii="Gill Sans" w:eastAsia="Gill Sans" w:hAnsi="Gill Sans" w:cs="Gill Sans"/>
          <w:sz w:val="24"/>
          <w:szCs w:val="24"/>
        </w:rPr>
        <w:t xml:space="preserve">“So You Think You Can Dance” Tour, which </w:t>
      </w:r>
      <w:r w:rsidR="00892DB3">
        <w:rPr>
          <w:rFonts w:ascii="Gill Sans" w:eastAsia="Gill Sans" w:hAnsi="Gill Sans" w:cs="Gill Sans"/>
          <w:sz w:val="24"/>
          <w:szCs w:val="24"/>
        </w:rPr>
        <w:t xml:space="preserve">features contestants from </w:t>
      </w:r>
      <w:r w:rsidR="00D052BB">
        <w:rPr>
          <w:rFonts w:ascii="Gill Sans" w:eastAsia="Gill Sans" w:hAnsi="Gill Sans" w:cs="Gill Sans"/>
          <w:sz w:val="24"/>
          <w:szCs w:val="24"/>
        </w:rPr>
        <w:t xml:space="preserve">the </w:t>
      </w:r>
      <w:r w:rsidR="008D1C4D">
        <w:rPr>
          <w:rFonts w:ascii="Gill Sans" w:eastAsia="Gill Sans" w:hAnsi="Gill Sans" w:cs="Gill Sans"/>
          <w:sz w:val="24"/>
          <w:szCs w:val="24"/>
        </w:rPr>
        <w:t xml:space="preserve">popular </w:t>
      </w:r>
      <w:r w:rsidR="004E34D8">
        <w:rPr>
          <w:rFonts w:ascii="Gill Sans" w:eastAsia="Gill Sans" w:hAnsi="Gill Sans" w:cs="Gill Sans"/>
          <w:sz w:val="24"/>
          <w:szCs w:val="24"/>
        </w:rPr>
        <w:t>FOX t</w:t>
      </w:r>
      <w:r w:rsidR="00501D23">
        <w:rPr>
          <w:rFonts w:ascii="Gill Sans" w:eastAsia="Gill Sans" w:hAnsi="Gill Sans" w:cs="Gill Sans"/>
          <w:sz w:val="24"/>
          <w:szCs w:val="24"/>
        </w:rPr>
        <w:t>elevision</w:t>
      </w:r>
      <w:r w:rsidR="00D052BB">
        <w:rPr>
          <w:rFonts w:ascii="Gill Sans" w:eastAsia="Gill Sans" w:hAnsi="Gill Sans" w:cs="Gill Sans"/>
          <w:sz w:val="24"/>
          <w:szCs w:val="24"/>
        </w:rPr>
        <w:t xml:space="preserve"> show</w:t>
      </w:r>
      <w:r w:rsidR="00892DB3">
        <w:rPr>
          <w:rFonts w:ascii="Gill Sans" w:eastAsia="Gill Sans" w:hAnsi="Gill Sans" w:cs="Gill Sans"/>
          <w:sz w:val="24"/>
          <w:szCs w:val="24"/>
        </w:rPr>
        <w:t xml:space="preserve"> </w:t>
      </w:r>
      <w:r w:rsidR="004C0305">
        <w:rPr>
          <w:rFonts w:ascii="Gill Sans" w:eastAsia="Gill Sans" w:hAnsi="Gill Sans" w:cs="Gill Sans"/>
          <w:sz w:val="24"/>
          <w:szCs w:val="24"/>
        </w:rPr>
        <w:t>and hits</w:t>
      </w:r>
      <w:r w:rsidR="00525ED0">
        <w:rPr>
          <w:rFonts w:ascii="Gill Sans" w:eastAsia="Gill Sans" w:hAnsi="Gill Sans" w:cs="Gill Sans"/>
          <w:sz w:val="24"/>
          <w:szCs w:val="24"/>
        </w:rPr>
        <w:t xml:space="preserve"> 35 </w:t>
      </w:r>
      <w:r w:rsidR="004C0305">
        <w:rPr>
          <w:rFonts w:ascii="Gill Sans" w:eastAsia="Gill Sans" w:hAnsi="Gill Sans" w:cs="Gill Sans"/>
          <w:sz w:val="24"/>
          <w:szCs w:val="24"/>
        </w:rPr>
        <w:t>U.S. cities this fall, including</w:t>
      </w:r>
      <w:r w:rsidR="00525ED0">
        <w:rPr>
          <w:rFonts w:ascii="Gill Sans" w:eastAsia="Gill Sans" w:hAnsi="Gill Sans" w:cs="Gill Sans"/>
          <w:sz w:val="24"/>
          <w:szCs w:val="24"/>
        </w:rPr>
        <w:t xml:space="preserve"> Boston, Atlanta and Los Angeles</w:t>
      </w:r>
      <w:r w:rsidR="00892DB3">
        <w:rPr>
          <w:rFonts w:ascii="Gill Sans" w:eastAsia="Gill Sans" w:hAnsi="Gill Sans" w:cs="Gill Sans"/>
          <w:sz w:val="24"/>
          <w:szCs w:val="24"/>
        </w:rPr>
        <w:t>.</w:t>
      </w:r>
      <w:r w:rsidR="00D052BB">
        <w:rPr>
          <w:rFonts w:ascii="Gill Sans" w:eastAsia="Gill Sans" w:hAnsi="Gill Sans" w:cs="Gill Sans"/>
          <w:sz w:val="24"/>
          <w:szCs w:val="24"/>
        </w:rPr>
        <w:t xml:space="preserve"> </w:t>
      </w:r>
    </w:p>
    <w:p w:rsidR="006C1B75" w:rsidRDefault="006C1B75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6C1B75" w:rsidRPr="00812B35" w:rsidRDefault="001B2B25" w:rsidP="00812B35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109220</wp:posOffset>
            </wp:positionV>
            <wp:extent cx="2834005" cy="1951990"/>
            <wp:effectExtent l="25400" t="0" r="10795" b="0"/>
            <wp:wrapTight wrapText="bothSides">
              <wp:wrapPolygon edited="0">
                <wp:start x="-194" y="0"/>
                <wp:lineTo x="-194" y="21361"/>
                <wp:lineTo x="21682" y="21361"/>
                <wp:lineTo x="21682" y="0"/>
                <wp:lineTo x="-194" y="0"/>
              </wp:wrapPolygon>
            </wp:wrapTight>
            <wp:docPr id="6" name="Picture 6" descr="SYTYCD-s14_33-Group-Top-T10_2022_R_hi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TYCD-s14_33-Group-Top-T10_2022_R_hire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732" w:rsidRPr="00812B35">
        <w:rPr>
          <w:rFonts w:ascii="Gill Sans" w:eastAsia="Gill Sans" w:hAnsi="Gill Sans" w:cs="Gill Sans"/>
          <w:sz w:val="24"/>
          <w:szCs w:val="24"/>
        </w:rPr>
        <w:t>Conner</w:t>
      </w:r>
      <w:r w:rsidR="00892DB3" w:rsidRPr="00812B35">
        <w:rPr>
          <w:rFonts w:ascii="Gill Sans" w:eastAsia="Gill Sans" w:hAnsi="Gill Sans" w:cs="Gill Sans"/>
          <w:sz w:val="24"/>
          <w:szCs w:val="24"/>
        </w:rPr>
        <w:t xml:space="preserve"> is curr</w:t>
      </w:r>
      <w:r w:rsidR="004E34D8">
        <w:rPr>
          <w:rFonts w:ascii="Gill Sans" w:eastAsia="Gill Sans" w:hAnsi="Gill Sans" w:cs="Gill Sans"/>
          <w:sz w:val="24"/>
          <w:szCs w:val="24"/>
        </w:rPr>
        <w:t>ently using two A32 Dante inter</w:t>
      </w:r>
      <w:r w:rsidR="00892DB3" w:rsidRPr="00812B35">
        <w:rPr>
          <w:rFonts w:ascii="Gill Sans" w:eastAsia="Gill Sans" w:hAnsi="Gill Sans" w:cs="Gill Sans"/>
          <w:sz w:val="24"/>
          <w:szCs w:val="24"/>
        </w:rPr>
        <w:t xml:space="preserve">faces </w:t>
      </w:r>
      <w:r w:rsidR="009C2A54" w:rsidRPr="00812B35">
        <w:rPr>
          <w:rFonts w:ascii="Gill Sans" w:eastAsia="Gill Sans" w:hAnsi="Gill Sans" w:cs="Gill Sans"/>
          <w:sz w:val="24"/>
          <w:szCs w:val="24"/>
        </w:rPr>
        <w:t xml:space="preserve">as his primary </w:t>
      </w:r>
      <w:r w:rsidR="00E272E1" w:rsidRPr="00812B35">
        <w:rPr>
          <w:rFonts w:ascii="Gill Sans" w:eastAsia="Gill Sans" w:hAnsi="Gill Sans" w:cs="Gill Sans"/>
          <w:sz w:val="24"/>
          <w:szCs w:val="24"/>
        </w:rPr>
        <w:t>interface</w:t>
      </w:r>
      <w:r w:rsidR="009C2A54" w:rsidRPr="00812B35">
        <w:rPr>
          <w:rFonts w:ascii="Gill Sans" w:eastAsia="Gill Sans" w:hAnsi="Gill Sans" w:cs="Gill Sans"/>
          <w:sz w:val="24"/>
          <w:szCs w:val="24"/>
        </w:rPr>
        <w:t xml:space="preserve"> with one unit located on-stage and another </w:t>
      </w:r>
      <w:r w:rsidR="006E3B19" w:rsidRPr="00812B35">
        <w:rPr>
          <w:rFonts w:ascii="Gill Sans" w:eastAsia="Gill Sans" w:hAnsi="Gill Sans" w:cs="Gill Sans"/>
          <w:sz w:val="24"/>
          <w:szCs w:val="24"/>
        </w:rPr>
        <w:t>at Front of House.</w:t>
      </w:r>
      <w:r w:rsidR="00812B35" w:rsidRPr="00812B35">
        <w:rPr>
          <w:rFonts w:ascii="Gill Sans" w:eastAsia="Gill Sans" w:hAnsi="Gill Sans" w:cs="Gill Sans"/>
          <w:sz w:val="24"/>
          <w:szCs w:val="24"/>
        </w:rPr>
        <w:t xml:space="preserve"> </w:t>
      </w:r>
      <w:r w:rsidR="009C2A54" w:rsidRPr="00812B35">
        <w:rPr>
          <w:rFonts w:ascii="Gill Sans" w:eastAsia="Gill Sans" w:hAnsi="Gill Sans" w:cs="Gill Sans"/>
          <w:sz w:val="24"/>
          <w:szCs w:val="24"/>
        </w:rPr>
        <w:t xml:space="preserve">“The </w:t>
      </w:r>
      <w:r w:rsidR="009C2A54" w:rsidRPr="00812B35">
        <w:rPr>
          <w:rFonts w:ascii="Gill Sans" w:hAnsi="Gill Sans" w:cs="Gill Sans"/>
          <w:sz w:val="24"/>
          <w:szCs w:val="24"/>
        </w:rPr>
        <w:t xml:space="preserve">features available in the A32 Dante allow me to not only route </w:t>
      </w:r>
      <w:r w:rsidR="00C45D9D" w:rsidRPr="00812B35">
        <w:rPr>
          <w:rFonts w:ascii="Gill Sans" w:hAnsi="Gill Sans" w:cs="Gill Sans"/>
          <w:sz w:val="24"/>
          <w:szCs w:val="24"/>
        </w:rPr>
        <w:t xml:space="preserve">32 </w:t>
      </w:r>
      <w:r w:rsidR="009C2A54" w:rsidRPr="00812B35">
        <w:rPr>
          <w:rFonts w:ascii="Gill Sans" w:hAnsi="Gill Sans" w:cs="Gill Sans"/>
          <w:sz w:val="24"/>
          <w:szCs w:val="24"/>
        </w:rPr>
        <w:t>ch</w:t>
      </w:r>
      <w:r w:rsidR="00812B35">
        <w:rPr>
          <w:rFonts w:ascii="Gill Sans" w:hAnsi="Gill Sans" w:cs="Gill Sans"/>
          <w:sz w:val="24"/>
          <w:szCs w:val="24"/>
        </w:rPr>
        <w:t>annels of audio down a pair of C</w:t>
      </w:r>
      <w:r w:rsidR="009C2A54" w:rsidRPr="00812B35">
        <w:rPr>
          <w:rFonts w:ascii="Gill Sans" w:hAnsi="Gill Sans" w:cs="Gill Sans"/>
          <w:sz w:val="24"/>
          <w:szCs w:val="24"/>
        </w:rPr>
        <w:t>at5 cables, but also assign th</w:t>
      </w:r>
      <w:r w:rsidR="00C45D9D" w:rsidRPr="00812B35">
        <w:rPr>
          <w:rFonts w:ascii="Gill Sans" w:hAnsi="Gill Sans" w:cs="Gill Sans"/>
          <w:sz w:val="24"/>
          <w:szCs w:val="24"/>
        </w:rPr>
        <w:t xml:space="preserve">em to multiple locations at FOH,” Conner </w:t>
      </w:r>
      <w:r w:rsidR="00A25492">
        <w:rPr>
          <w:rFonts w:ascii="Gill Sans" w:hAnsi="Gill Sans" w:cs="Gill Sans"/>
          <w:sz w:val="24"/>
          <w:szCs w:val="24"/>
        </w:rPr>
        <w:t>explains</w:t>
      </w:r>
      <w:r w:rsidR="00C45D9D" w:rsidRPr="00812B35">
        <w:rPr>
          <w:rFonts w:ascii="Gill Sans" w:hAnsi="Gill Sans" w:cs="Gill Sans"/>
          <w:sz w:val="24"/>
          <w:szCs w:val="24"/>
        </w:rPr>
        <w:t>.</w:t>
      </w:r>
      <w:r w:rsidR="009C2A54" w:rsidRPr="00812B35">
        <w:rPr>
          <w:rFonts w:ascii="Gill Sans" w:hAnsi="Gill Sans" w:cs="Gill Sans"/>
          <w:sz w:val="24"/>
          <w:szCs w:val="24"/>
        </w:rPr>
        <w:t xml:space="preserve"> </w:t>
      </w:r>
      <w:r w:rsidR="00C45D9D" w:rsidRPr="00812B35">
        <w:rPr>
          <w:rFonts w:ascii="Gill Sans" w:hAnsi="Gill Sans" w:cs="Gill Sans"/>
          <w:sz w:val="24"/>
          <w:szCs w:val="24"/>
        </w:rPr>
        <w:t>“</w:t>
      </w:r>
      <w:r w:rsidR="009C2A54" w:rsidRPr="00812B35">
        <w:rPr>
          <w:rFonts w:ascii="Gill Sans" w:hAnsi="Gill Sans" w:cs="Gill Sans"/>
          <w:sz w:val="24"/>
          <w:szCs w:val="24"/>
        </w:rPr>
        <w:t>The Ferrofish</w:t>
      </w:r>
      <w:r w:rsidR="0094352A">
        <w:rPr>
          <w:rFonts w:ascii="Gill Sans" w:hAnsi="Gill Sans" w:cs="Gill Sans"/>
          <w:sz w:val="24"/>
          <w:szCs w:val="24"/>
        </w:rPr>
        <w:t xml:space="preserve"> units allow</w:t>
      </w:r>
      <w:r w:rsidR="009C2A54" w:rsidRPr="00812B35">
        <w:rPr>
          <w:rFonts w:ascii="Gill Sans" w:hAnsi="Gill Sans" w:cs="Gill Sans"/>
          <w:sz w:val="24"/>
          <w:szCs w:val="24"/>
        </w:rPr>
        <w:t xml:space="preserve"> me to send the same redundant feeds </w:t>
      </w:r>
      <w:r w:rsidR="002D6639">
        <w:rPr>
          <w:rFonts w:ascii="Gill Sans" w:hAnsi="Gill Sans" w:cs="Gill Sans"/>
          <w:sz w:val="24"/>
          <w:szCs w:val="24"/>
        </w:rPr>
        <w:t xml:space="preserve">to all my devices, </w:t>
      </w:r>
      <w:r w:rsidR="009C2A54" w:rsidRPr="00812B35">
        <w:rPr>
          <w:rFonts w:ascii="Gill Sans" w:hAnsi="Gill Sans" w:cs="Gill Sans"/>
          <w:sz w:val="24"/>
          <w:szCs w:val="24"/>
        </w:rPr>
        <w:t>and the dual power su</w:t>
      </w:r>
      <w:r w:rsidR="00AE1E4D" w:rsidRPr="00812B35">
        <w:rPr>
          <w:rFonts w:ascii="Gill Sans" w:hAnsi="Gill Sans" w:cs="Gill Sans"/>
          <w:sz w:val="24"/>
          <w:szCs w:val="24"/>
        </w:rPr>
        <w:t>pplies make using the A32 Dante</w:t>
      </w:r>
      <w:r w:rsidR="009C2A54" w:rsidRPr="00812B35">
        <w:rPr>
          <w:rFonts w:ascii="Gill Sans" w:hAnsi="Gill Sans" w:cs="Gill Sans"/>
          <w:sz w:val="24"/>
          <w:szCs w:val="24"/>
        </w:rPr>
        <w:t>s in a live situation extremely reliable.</w:t>
      </w:r>
      <w:r w:rsidR="00F74449" w:rsidRPr="00812B35">
        <w:rPr>
          <w:rFonts w:ascii="Gill Sans" w:hAnsi="Gill Sans" w:cs="Gill Sans"/>
          <w:sz w:val="24"/>
          <w:szCs w:val="24"/>
        </w:rPr>
        <w:t>”</w:t>
      </w:r>
      <w:r w:rsidR="009C2A54" w:rsidRPr="00812B35">
        <w:rPr>
          <w:rFonts w:ascii="Gill Sans" w:hAnsi="Gill Sans" w:cs="Gill Sans"/>
          <w:sz w:val="24"/>
          <w:szCs w:val="24"/>
        </w:rPr>
        <w:t xml:space="preserve"> </w:t>
      </w:r>
    </w:p>
    <w:p w:rsidR="00AC2AD7" w:rsidRDefault="00AC2AD7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F74449" w:rsidRDefault="00603285" w:rsidP="00490AA6">
      <w:pPr>
        <w:pStyle w:val="normal0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A32 Dante: Set and Forget</w:t>
      </w:r>
    </w:p>
    <w:p w:rsidR="00F74449" w:rsidRPr="00F74449" w:rsidRDefault="00F42085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Now in its 14</w:t>
      </w:r>
      <w:r w:rsidRPr="00F42085">
        <w:rPr>
          <w:rFonts w:ascii="Gill Sans" w:eastAsia="Gill Sans" w:hAnsi="Gill Sans" w:cs="Gill Sans"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sz w:val="24"/>
          <w:szCs w:val="24"/>
        </w:rPr>
        <w:t xml:space="preserve"> season, “So You Think You Can Dance” has been one of the top-rated reality shows on FOX as well as the recipient of seven Primetime Emmy Awards for Outstanding Choreography. Conner, who transition from another live FOX TV show-based tour, “American Idol Live,” to</w:t>
      </w:r>
      <w:r w:rsidR="00F74449">
        <w:rPr>
          <w:rFonts w:ascii="Gill Sans" w:eastAsia="Gill Sans" w:hAnsi="Gill Sans" w:cs="Gill Sans"/>
          <w:sz w:val="24"/>
          <w:szCs w:val="24"/>
        </w:rPr>
        <w:t xml:space="preserve"> </w:t>
      </w:r>
      <w:r w:rsidR="0094352A">
        <w:rPr>
          <w:rFonts w:ascii="Gill Sans" w:eastAsia="Gill Sans" w:hAnsi="Gill Sans" w:cs="Gill Sans"/>
          <w:sz w:val="24"/>
          <w:szCs w:val="24"/>
        </w:rPr>
        <w:t>“</w:t>
      </w:r>
      <w:r w:rsidR="00F74449">
        <w:rPr>
          <w:rFonts w:ascii="Gill Sans" w:eastAsia="Gill Sans" w:hAnsi="Gill Sans" w:cs="Gill Sans"/>
          <w:sz w:val="24"/>
          <w:szCs w:val="24"/>
        </w:rPr>
        <w:t>So You Think You Can Dance</w:t>
      </w:r>
      <w:r>
        <w:rPr>
          <w:rFonts w:ascii="Gill Sans" w:eastAsia="Gill Sans" w:hAnsi="Gill Sans" w:cs="Gill Sans"/>
          <w:sz w:val="24"/>
          <w:szCs w:val="24"/>
        </w:rPr>
        <w:t>,</w:t>
      </w:r>
      <w:r w:rsidR="0094352A">
        <w:rPr>
          <w:rFonts w:ascii="Gill Sans" w:eastAsia="Gill Sans" w:hAnsi="Gill Sans" w:cs="Gill Sans"/>
          <w:sz w:val="24"/>
          <w:szCs w:val="24"/>
        </w:rPr>
        <w:t>”</w:t>
      </w:r>
      <w:r w:rsidR="00F74449">
        <w:rPr>
          <w:rFonts w:ascii="Gill Sans" w:eastAsia="Gill Sans" w:hAnsi="Gill Sans" w:cs="Gill Sans"/>
          <w:sz w:val="24"/>
          <w:szCs w:val="24"/>
        </w:rPr>
        <w:t xml:space="preserve"> </w:t>
      </w:r>
      <w:r w:rsidR="00B15926">
        <w:rPr>
          <w:rFonts w:ascii="Gill Sans" w:eastAsia="Gill Sans" w:hAnsi="Gill Sans" w:cs="Gill Sans"/>
          <w:sz w:val="24"/>
          <w:szCs w:val="24"/>
        </w:rPr>
        <w:t>worked with</w:t>
      </w:r>
      <w:r w:rsidR="00AE1E4D">
        <w:rPr>
          <w:rFonts w:ascii="Gill Sans" w:eastAsia="Gill Sans" w:hAnsi="Gill Sans" w:cs="Gill Sans"/>
          <w:sz w:val="24"/>
          <w:szCs w:val="24"/>
        </w:rPr>
        <w:t xml:space="preserve"> live touring production support company</w:t>
      </w:r>
      <w:r w:rsidR="002A57AA">
        <w:rPr>
          <w:rFonts w:ascii="Gill Sans" w:eastAsia="Gill Sans" w:hAnsi="Gill Sans" w:cs="Gill Sans"/>
          <w:sz w:val="24"/>
          <w:szCs w:val="24"/>
        </w:rPr>
        <w:t xml:space="preserve"> Clair Global</w:t>
      </w:r>
      <w:r w:rsidR="0005229A">
        <w:rPr>
          <w:rFonts w:ascii="Gill Sans" w:eastAsia="Gill Sans" w:hAnsi="Gill Sans" w:cs="Gill Sans"/>
          <w:sz w:val="24"/>
          <w:szCs w:val="24"/>
        </w:rPr>
        <w:t xml:space="preserve"> on this current tour. Clair Global</w:t>
      </w:r>
      <w:r w:rsidR="00F74449">
        <w:rPr>
          <w:rFonts w:ascii="Gill Sans" w:eastAsia="Gill Sans" w:hAnsi="Gill Sans" w:cs="Gill Sans"/>
          <w:sz w:val="24"/>
          <w:szCs w:val="24"/>
        </w:rPr>
        <w:t xml:space="preserve"> supplied cases, speakers and cabl</w:t>
      </w:r>
      <w:r w:rsidR="002A57AA">
        <w:rPr>
          <w:rFonts w:ascii="Gill Sans" w:eastAsia="Gill Sans" w:hAnsi="Gill Sans" w:cs="Gill Sans"/>
          <w:sz w:val="24"/>
          <w:szCs w:val="24"/>
        </w:rPr>
        <w:t>ing. With a tour that requires</w:t>
      </w:r>
      <w:r w:rsidR="00F74449">
        <w:rPr>
          <w:rFonts w:ascii="Gill Sans" w:eastAsia="Gill Sans" w:hAnsi="Gill Sans" w:cs="Gill Sans"/>
          <w:sz w:val="24"/>
          <w:szCs w:val="24"/>
        </w:rPr>
        <w:t xml:space="preserve"> compact and clean audio, Conner used </w:t>
      </w:r>
      <w:r w:rsidR="002A57AA">
        <w:rPr>
          <w:rFonts w:ascii="Gill Sans" w:eastAsia="Gill Sans" w:hAnsi="Gill Sans" w:cs="Gill Sans"/>
          <w:sz w:val="24"/>
          <w:szCs w:val="24"/>
        </w:rPr>
        <w:t>just</w:t>
      </w:r>
      <w:r w:rsidR="00F74449">
        <w:rPr>
          <w:rFonts w:ascii="Gill Sans" w:eastAsia="Gill Sans" w:hAnsi="Gill Sans" w:cs="Gill Sans"/>
          <w:sz w:val="24"/>
          <w:szCs w:val="24"/>
        </w:rPr>
        <w:t xml:space="preserve"> six channels of input.</w:t>
      </w:r>
      <w:bookmarkStart w:id="0" w:name="_GoBack"/>
      <w:bookmarkEnd w:id="0"/>
    </w:p>
    <w:p w:rsidR="00F74449" w:rsidRDefault="00F74449" w:rsidP="00F74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  <w:lang w:val="en-US" w:eastAsia="en-US"/>
        </w:rPr>
      </w:pPr>
    </w:p>
    <w:p w:rsidR="004C1A26" w:rsidRDefault="000C66A4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szCs w:val="24"/>
          <w:lang w:val="en-US" w:eastAsia="en-US"/>
        </w:rPr>
        <w:t>“</w:t>
      </w:r>
      <w:r w:rsidR="00F74449" w:rsidRPr="000C66A4">
        <w:rPr>
          <w:rFonts w:ascii="Gill Sans" w:hAnsi="Gill Sans" w:cs="Gill Sans"/>
          <w:szCs w:val="24"/>
          <w:lang w:val="en-US" w:eastAsia="en-US"/>
        </w:rPr>
        <w:t xml:space="preserve">I’m out here alone so I need to be able to get things </w:t>
      </w:r>
      <w:r w:rsidR="001B2B25">
        <w:rPr>
          <w:rFonts w:ascii="Gill Sans" w:hAnsi="Gill Sans" w:cs="Gill Sans"/>
          <w:szCs w:val="24"/>
          <w:lang w:val="en-US" w:eastAsia="en-US"/>
        </w:rPr>
        <w:t>done without labor if necessary," Conner continued. "</w:t>
      </w:r>
      <w:r w:rsidR="00F74449" w:rsidRPr="000C66A4">
        <w:rPr>
          <w:rFonts w:ascii="Gill Sans" w:hAnsi="Gill Sans" w:cs="Gill Sans"/>
          <w:szCs w:val="24"/>
          <w:lang w:val="en-US" w:eastAsia="en-US"/>
        </w:rPr>
        <w:t>I’m not carrying a main P</w:t>
      </w:r>
      <w:r>
        <w:rPr>
          <w:rFonts w:ascii="Gill Sans" w:hAnsi="Gill Sans" w:cs="Gill Sans"/>
          <w:szCs w:val="24"/>
          <w:lang w:val="en-US" w:eastAsia="en-US"/>
        </w:rPr>
        <w:t>.</w:t>
      </w:r>
      <w:r w:rsidR="00F74449" w:rsidRPr="000C66A4">
        <w:rPr>
          <w:rFonts w:ascii="Gill Sans" w:hAnsi="Gill Sans" w:cs="Gill Sans"/>
          <w:szCs w:val="24"/>
          <w:lang w:val="en-US" w:eastAsia="en-US"/>
        </w:rPr>
        <w:t>A</w:t>
      </w:r>
      <w:r>
        <w:rPr>
          <w:rFonts w:ascii="Gill Sans" w:hAnsi="Gill Sans" w:cs="Gill Sans"/>
          <w:szCs w:val="24"/>
          <w:lang w:val="en-US" w:eastAsia="en-US"/>
        </w:rPr>
        <w:t>. or any power distribution —</w:t>
      </w:r>
      <w:r w:rsidR="00F74449" w:rsidRPr="000C66A4">
        <w:rPr>
          <w:rFonts w:ascii="Gill Sans" w:hAnsi="Gill Sans" w:cs="Gill Sans"/>
          <w:szCs w:val="24"/>
          <w:lang w:val="en-US" w:eastAsia="en-US"/>
        </w:rPr>
        <w:t xml:space="preserve"> everything is designed to operate on Edison power. I have the new Clair Cohesion-6 self-powered box combined with the fairly new Cohesion-18 Sub systems for stage monitoring both running full tilt on a single 20amp circuit. The setup is small by design, but built to the Clair standard of extreme reliability.</w:t>
      </w:r>
      <w:r>
        <w:rPr>
          <w:rFonts w:ascii="Gill Sans" w:hAnsi="Gill Sans" w:cs="Gill Sans"/>
          <w:szCs w:val="24"/>
          <w:lang w:val="en-US" w:eastAsia="en-US"/>
        </w:rPr>
        <w:t>”</w:t>
      </w:r>
      <w:r w:rsidR="00C001BD">
        <w:rPr>
          <w:rFonts w:ascii="Gill Sans" w:hAnsi="Gill Sans" w:cs="Gill Sans"/>
          <w:szCs w:val="24"/>
          <w:lang w:val="en-US" w:eastAsia="en-US"/>
        </w:rPr>
        <w:t xml:space="preserve"> </w:t>
      </w:r>
    </w:p>
    <w:p w:rsidR="004C1A26" w:rsidRDefault="00E67FD9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noProof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32385</wp:posOffset>
            </wp:positionV>
            <wp:extent cx="2743200" cy="1371600"/>
            <wp:effectExtent l="2540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7" name="Picture 7" descr="a32dante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32dantefro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4F1" w:rsidRDefault="001C59FA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szCs w:val="24"/>
          <w:lang w:val="en-US" w:eastAsia="en-US"/>
        </w:rPr>
        <w:t>In this context, t</w:t>
      </w:r>
      <w:r w:rsidR="00C001BD">
        <w:rPr>
          <w:rFonts w:ascii="Gill Sans" w:hAnsi="Gill Sans" w:cs="Gill Sans"/>
          <w:szCs w:val="24"/>
          <w:lang w:val="en-US" w:eastAsia="en-US"/>
        </w:rPr>
        <w:t xml:space="preserve">he A32 Dante </w:t>
      </w:r>
      <w:r>
        <w:rPr>
          <w:rFonts w:ascii="Gill Sans" w:hAnsi="Gill Sans" w:cs="Gill Sans"/>
          <w:szCs w:val="24"/>
          <w:lang w:val="en-US" w:eastAsia="en-US"/>
        </w:rPr>
        <w:t xml:space="preserve">plays an </w:t>
      </w:r>
      <w:r w:rsidR="004C1A26">
        <w:rPr>
          <w:rFonts w:ascii="Gill Sans" w:hAnsi="Gill Sans" w:cs="Gill Sans"/>
          <w:szCs w:val="24"/>
          <w:lang w:val="en-US" w:eastAsia="en-US"/>
        </w:rPr>
        <w:t>integral</w:t>
      </w:r>
      <w:r>
        <w:rPr>
          <w:rFonts w:ascii="Gill Sans" w:hAnsi="Gill Sans" w:cs="Gill Sans"/>
          <w:szCs w:val="24"/>
          <w:lang w:val="en-US" w:eastAsia="en-US"/>
        </w:rPr>
        <w:t xml:space="preserve"> role: </w:t>
      </w:r>
      <w:r w:rsidR="003274F1">
        <w:rPr>
          <w:rFonts w:ascii="Gill Sans" w:hAnsi="Gill Sans" w:cs="Gill Sans"/>
          <w:szCs w:val="24"/>
          <w:lang w:val="en-US" w:eastAsia="en-US"/>
        </w:rPr>
        <w:t>“It’s all about the flexible routing in this setup,” Conner said. “Being able to route a single Dante input to multiple analog outputs keeps this show bulletproof.”</w:t>
      </w:r>
    </w:p>
    <w:p w:rsidR="003274F1" w:rsidRDefault="003274F1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</w:p>
    <w:p w:rsidR="00A16224" w:rsidRPr="00A16224" w:rsidRDefault="00AE1E4D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szCs w:val="24"/>
          <w:lang w:val="en-US" w:eastAsia="en-US"/>
        </w:rPr>
        <w:t xml:space="preserve">Conner </w:t>
      </w:r>
      <w:r w:rsidR="00552C7D">
        <w:rPr>
          <w:rFonts w:ascii="Gill Sans" w:hAnsi="Gill Sans" w:cs="Gill Sans"/>
          <w:szCs w:val="24"/>
          <w:lang w:val="en-US" w:eastAsia="en-US"/>
        </w:rPr>
        <w:t>appreciates the</w:t>
      </w:r>
      <w:r>
        <w:rPr>
          <w:rFonts w:ascii="Gill Sans" w:hAnsi="Gill Sans" w:cs="Gill Sans"/>
          <w:szCs w:val="24"/>
          <w:lang w:val="en-US" w:eastAsia="en-US"/>
        </w:rPr>
        <w:t xml:space="preserve"> </w:t>
      </w:r>
      <w:r w:rsidR="00FD1569">
        <w:rPr>
          <w:rFonts w:ascii="Gill Sans" w:hAnsi="Gill Sans" w:cs="Gill Sans"/>
          <w:szCs w:val="24"/>
          <w:lang w:val="en-US" w:eastAsia="en-US"/>
        </w:rPr>
        <w:t xml:space="preserve">Ferrofish </w:t>
      </w:r>
      <w:r>
        <w:rPr>
          <w:rFonts w:ascii="Gill Sans" w:hAnsi="Gill Sans" w:cs="Gill Sans"/>
          <w:szCs w:val="24"/>
          <w:lang w:val="en-US" w:eastAsia="en-US"/>
        </w:rPr>
        <w:t>A32</w:t>
      </w:r>
      <w:r w:rsidR="003274F1" w:rsidRPr="00A16224">
        <w:rPr>
          <w:rFonts w:ascii="Gill Sans" w:hAnsi="Gill Sans" w:cs="Gill Sans"/>
          <w:szCs w:val="24"/>
          <w:lang w:val="en-US" w:eastAsia="en-US"/>
        </w:rPr>
        <w:t xml:space="preserve"> for </w:t>
      </w:r>
      <w:r>
        <w:rPr>
          <w:rFonts w:ascii="Gill Sans" w:hAnsi="Gill Sans" w:cs="Gill Sans"/>
          <w:szCs w:val="24"/>
          <w:lang w:val="en-US" w:eastAsia="en-US"/>
        </w:rPr>
        <w:t>its</w:t>
      </w:r>
      <w:r w:rsidR="003274F1" w:rsidRPr="00A16224">
        <w:rPr>
          <w:rFonts w:ascii="Gill Sans" w:hAnsi="Gill Sans" w:cs="Gill Sans"/>
          <w:szCs w:val="24"/>
          <w:lang w:val="en-US" w:eastAsia="en-US"/>
        </w:rPr>
        <w:t xml:space="preserve"> </w:t>
      </w:r>
      <w:r w:rsidR="0086389F">
        <w:rPr>
          <w:rFonts w:ascii="Gill Sans" w:hAnsi="Gill Sans" w:cs="Gill Sans"/>
          <w:szCs w:val="24"/>
          <w:lang w:val="en-US" w:eastAsia="en-US"/>
        </w:rPr>
        <w:t xml:space="preserve">standalone capabilities, and for being able to operate the unit </w:t>
      </w:r>
      <w:r w:rsidR="00A16224" w:rsidRPr="00A16224">
        <w:rPr>
          <w:rFonts w:ascii="Gill Sans" w:hAnsi="Gill Sans" w:cs="Gill Sans"/>
          <w:szCs w:val="24"/>
          <w:lang w:val="en-US" w:eastAsia="en-US"/>
        </w:rPr>
        <w:t>entirely from the front panel. “It literally is a set-it-and-forget-it device that powers up and requires no attention,” he added.</w:t>
      </w:r>
    </w:p>
    <w:p w:rsidR="003274F1" w:rsidRDefault="003274F1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</w:p>
    <w:p w:rsidR="003274F1" w:rsidRPr="003274F1" w:rsidRDefault="004C1A26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b/>
          <w:szCs w:val="24"/>
          <w:lang w:val="en-US" w:eastAsia="en-US"/>
        </w:rPr>
      </w:pPr>
      <w:r>
        <w:rPr>
          <w:rFonts w:ascii="Gill Sans" w:hAnsi="Gill Sans" w:cs="Gill Sans"/>
          <w:b/>
          <w:szCs w:val="24"/>
          <w:lang w:val="en-US" w:eastAsia="en-US"/>
        </w:rPr>
        <w:t>Multiple Formats and Plenty of Room to S</w:t>
      </w:r>
      <w:r w:rsidR="007B0923">
        <w:rPr>
          <w:rFonts w:ascii="Gill Sans" w:hAnsi="Gill Sans" w:cs="Gill Sans"/>
          <w:b/>
          <w:szCs w:val="24"/>
          <w:lang w:val="en-US" w:eastAsia="en-US"/>
        </w:rPr>
        <w:t>pare</w:t>
      </w:r>
    </w:p>
    <w:p w:rsidR="00622AD4" w:rsidRDefault="002D70BA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szCs w:val="24"/>
          <w:lang w:val="en-US" w:eastAsia="en-US"/>
        </w:rPr>
        <w:t xml:space="preserve">Conner's two A32 Dante units have </w:t>
      </w:r>
      <w:r w:rsidR="00225FA6">
        <w:rPr>
          <w:rFonts w:ascii="Gill Sans" w:hAnsi="Gill Sans" w:cs="Gill Sans"/>
          <w:szCs w:val="24"/>
          <w:lang w:val="en-US" w:eastAsia="en-US"/>
        </w:rPr>
        <w:t xml:space="preserve">brought him plenty of mileage — both in interconnectivity and channel count. This means that he can scale to just about any project on the road.  </w:t>
      </w:r>
    </w:p>
    <w:p w:rsidR="003274F1" w:rsidRDefault="003274F1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</w:p>
    <w:p w:rsidR="003274F1" w:rsidRPr="003274F1" w:rsidRDefault="007B0923" w:rsidP="000C66A4">
      <w:pPr>
        <w:widowControl w:val="0"/>
        <w:autoSpaceDE w:val="0"/>
        <w:autoSpaceDN w:val="0"/>
        <w:adjustRightInd w:val="0"/>
        <w:spacing w:after="0" w:line="336" w:lineRule="auto"/>
        <w:rPr>
          <w:rFonts w:ascii="Gill Sans" w:hAnsi="Gill Sans" w:cs="Gill Sans"/>
          <w:szCs w:val="24"/>
          <w:lang w:val="en-US" w:eastAsia="en-US"/>
        </w:rPr>
      </w:pPr>
      <w:r>
        <w:rPr>
          <w:rFonts w:ascii="Gill Sans" w:hAnsi="Gill Sans" w:cs="Gill Sans"/>
          <w:noProof/>
          <w:szCs w:val="24"/>
          <w:lang w:val="en-US" w:eastAsia="en-US"/>
        </w:rPr>
        <w:drawing>
          <wp:anchor distT="0" distB="0" distL="118745" distR="118745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ge">
              <wp:posOffset>4914900</wp:posOffset>
            </wp:positionV>
            <wp:extent cx="1760855" cy="1718310"/>
            <wp:effectExtent l="25400" t="0" r="0" b="0"/>
            <wp:wrapSquare wrapText="bothSides"/>
            <wp:docPr id="2" name="Picture 2" descr="unnam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F1" w:rsidRPr="003274F1">
        <w:rPr>
          <w:rFonts w:ascii="Gill Sans" w:hAnsi="Gill Sans" w:cs="Gill Sans"/>
          <w:szCs w:val="24"/>
          <w:lang w:val="en-US" w:eastAsia="en-US"/>
        </w:rPr>
        <w:t xml:space="preserve">“My primary reason for </w:t>
      </w:r>
      <w:r w:rsidR="00AE1E4D">
        <w:rPr>
          <w:rFonts w:ascii="Gill Sans" w:hAnsi="Gill Sans" w:cs="Gill Sans"/>
          <w:szCs w:val="24"/>
          <w:lang w:val="en-US" w:eastAsia="en-US"/>
        </w:rPr>
        <w:t>purchasing two of the A32 Dante</w:t>
      </w:r>
      <w:r w:rsidR="003274F1" w:rsidRPr="003274F1">
        <w:rPr>
          <w:rFonts w:ascii="Gill Sans" w:hAnsi="Gill Sans" w:cs="Gill Sans"/>
          <w:szCs w:val="24"/>
          <w:lang w:val="en-US" w:eastAsia="en-US"/>
        </w:rPr>
        <w:t>s is to provide analog inserts in my FOH rack that a</w:t>
      </w:r>
      <w:r w:rsidR="003274F1">
        <w:rPr>
          <w:rFonts w:ascii="Gill Sans" w:hAnsi="Gill Sans" w:cs="Gill Sans"/>
          <w:szCs w:val="24"/>
          <w:lang w:val="en-US" w:eastAsia="en-US"/>
        </w:rPr>
        <w:t>re accessible via MADI or Dante,” Conner explained.</w:t>
      </w:r>
      <w:r w:rsidR="003274F1" w:rsidRPr="003274F1">
        <w:rPr>
          <w:rFonts w:ascii="Gill Sans" w:hAnsi="Gill Sans" w:cs="Gill Sans"/>
          <w:szCs w:val="24"/>
          <w:lang w:val="en-US" w:eastAsia="en-US"/>
        </w:rPr>
        <w:t xml:space="preserve"> </w:t>
      </w:r>
      <w:r w:rsidR="003274F1">
        <w:rPr>
          <w:rFonts w:ascii="Gill Sans" w:hAnsi="Gill Sans" w:cs="Gill Sans"/>
          <w:szCs w:val="24"/>
          <w:lang w:val="en-US" w:eastAsia="en-US"/>
        </w:rPr>
        <w:t>“</w:t>
      </w:r>
      <w:r w:rsidR="003274F1" w:rsidRPr="003274F1">
        <w:rPr>
          <w:rFonts w:ascii="Gill Sans" w:hAnsi="Gill Sans" w:cs="Gill Sans"/>
          <w:szCs w:val="24"/>
          <w:lang w:val="en-US" w:eastAsia="en-US"/>
        </w:rPr>
        <w:t>I have a pile of go-to gear for my work with Pau</w:t>
      </w:r>
      <w:r w:rsidR="003274F1">
        <w:rPr>
          <w:rFonts w:ascii="Gill Sans" w:hAnsi="Gill Sans" w:cs="Gill Sans"/>
          <w:szCs w:val="24"/>
          <w:lang w:val="en-US" w:eastAsia="en-US"/>
        </w:rPr>
        <w:t>l Simon and other artists that — thanks to the A32s —</w:t>
      </w:r>
      <w:r w:rsidR="003274F1" w:rsidRPr="003274F1">
        <w:rPr>
          <w:rFonts w:ascii="Gill Sans" w:hAnsi="Gill Sans" w:cs="Gill Sans"/>
          <w:szCs w:val="24"/>
          <w:lang w:val="en-US" w:eastAsia="en-US"/>
        </w:rPr>
        <w:t xml:space="preserve"> I can use with any professional desk. Two of these units give me 64 </w:t>
      </w:r>
      <w:r w:rsidR="003274F1">
        <w:rPr>
          <w:rFonts w:ascii="Gill Sans" w:hAnsi="Gill Sans" w:cs="Gill Sans"/>
          <w:szCs w:val="24"/>
          <w:lang w:val="en-US" w:eastAsia="en-US"/>
        </w:rPr>
        <w:t xml:space="preserve">channels of inputs and outputs at </w:t>
      </w:r>
      <w:r w:rsidR="003274F1" w:rsidRPr="003274F1">
        <w:rPr>
          <w:rFonts w:ascii="Gill Sans" w:hAnsi="Gill Sans" w:cs="Gill Sans"/>
          <w:szCs w:val="24"/>
          <w:lang w:val="en-US" w:eastAsia="en-US"/>
        </w:rPr>
        <w:t>96k in two rack spaces. They're the perfect solution for connecting my high-end analog gear to any digital system.</w:t>
      </w:r>
      <w:r w:rsidR="003274F1">
        <w:rPr>
          <w:rFonts w:ascii="Gill Sans" w:hAnsi="Gill Sans" w:cs="Gill Sans"/>
          <w:szCs w:val="24"/>
          <w:lang w:val="en-US" w:eastAsia="en-US"/>
        </w:rPr>
        <w:t>”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For more information about the </w:t>
      </w:r>
      <w:r w:rsidR="00AC2AD7">
        <w:rPr>
          <w:rFonts w:ascii="Gill Sans" w:eastAsia="Gill Sans" w:hAnsi="Gill Sans" w:cs="Gill Sans"/>
          <w:sz w:val="24"/>
          <w:szCs w:val="24"/>
        </w:rPr>
        <w:t>A32</w:t>
      </w:r>
      <w:r w:rsidR="00A16224">
        <w:rPr>
          <w:rFonts w:ascii="Gill Sans" w:eastAsia="Gill Sans" w:hAnsi="Gill Sans" w:cs="Gill Sans"/>
          <w:sz w:val="24"/>
          <w:szCs w:val="24"/>
        </w:rPr>
        <w:t xml:space="preserve"> Dante</w:t>
      </w:r>
      <w:r>
        <w:rPr>
          <w:rFonts w:ascii="Gill Sans" w:eastAsia="Gill Sans" w:hAnsi="Gill Sans" w:cs="Gill Sans"/>
          <w:sz w:val="24"/>
          <w:szCs w:val="24"/>
        </w:rPr>
        <w:t xml:space="preserve">, visit </w:t>
      </w:r>
      <w:hyperlink r:id="rId12">
        <w:r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ferrofish.com</w:t>
        </w:r>
      </w:hyperlink>
      <w:r>
        <w:rPr>
          <w:rFonts w:ascii="Gill Sans" w:eastAsia="Gill Sans" w:hAnsi="Gill Sans" w:cs="Gill Sans"/>
          <w:sz w:val="24"/>
          <w:szCs w:val="24"/>
        </w:rPr>
        <w:t>.</w:t>
      </w:r>
    </w:p>
    <w:p w:rsidR="00603285" w:rsidRDefault="00603285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C97156" w:rsidRDefault="00C9715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C97156" w:rsidRDefault="00C9715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About Ferrofish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Known for its </w:t>
      </w:r>
      <w:r w:rsidR="005720D1">
        <w:rPr>
          <w:rFonts w:ascii="Gill Sans" w:eastAsia="Gill Sans" w:hAnsi="Gill Sans" w:cs="Gill Sans"/>
          <w:sz w:val="24"/>
          <w:szCs w:val="24"/>
        </w:rPr>
        <w:t xml:space="preserve">precision-engineered </w:t>
      </w:r>
      <w:r>
        <w:rPr>
          <w:rFonts w:ascii="Gill Sans" w:eastAsia="Gill Sans" w:hAnsi="Gill Sans" w:cs="Gill Sans"/>
          <w:sz w:val="24"/>
          <w:szCs w:val="24"/>
        </w:rPr>
        <w:t xml:space="preserve">German technology, Ferrofish manufacturers high quality, innovative advanced audio applications. From its class-leading A16 MK-II and A32 AD/DA converters to its Verto Series of intuitive Dante converters, Ferrofish is known for its premium conversion solutions that are ideal for a wide range of applications. For additional information, visit the company online at </w:t>
      </w:r>
      <w:hyperlink r:id="rId13">
        <w:r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http://www.ferrofish.com</w:t>
        </w:r>
      </w:hyperlink>
      <w:r>
        <w:rPr>
          <w:rFonts w:ascii="Gill Sans" w:eastAsia="Gill Sans" w:hAnsi="Gill Sans" w:cs="Gill Sans"/>
          <w:sz w:val="24"/>
          <w:szCs w:val="24"/>
        </w:rPr>
        <w:t>.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 Touzeau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:rsidR="00490AA6" w:rsidRDefault="00490AA6" w:rsidP="00490AA6">
      <w:pPr>
        <w:pStyle w:val="normal0"/>
        <w:spacing w:line="336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:rsidR="00490AA6" w:rsidRPr="00617A32" w:rsidRDefault="00490AA6" w:rsidP="00617A32">
      <w:pPr>
        <w:pStyle w:val="normal0"/>
        <w:spacing w:line="336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katie@hummingbirdmedia.com</w:t>
      </w:r>
    </w:p>
    <w:sectPr w:rsidR="00490AA6" w:rsidRPr="00617A32" w:rsidSect="00490AA6">
      <w:headerReference w:type="first" r:id="rId14"/>
      <w:pgSz w:w="12240" w:h="15840"/>
      <w:pgMar w:top="1440" w:right="1170" w:bottom="1440" w:left="1080" w:gutter="0"/>
      <w:titlePg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001BD" w:rsidRDefault="00C001BD" w:rsidP="00490AA6">
      <w:pPr>
        <w:spacing w:after="0"/>
      </w:pPr>
      <w:r>
        <w:separator/>
      </w:r>
    </w:p>
  </w:endnote>
  <w:endnote w:type="continuationSeparator" w:id="1">
    <w:p w:rsidR="00C001BD" w:rsidRDefault="00C001BD" w:rsidP="00490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roman"/>
    <w:notTrueType/>
    <w:pitch w:val="default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001BD" w:rsidRDefault="00C001BD" w:rsidP="00490AA6">
      <w:pPr>
        <w:spacing w:after="0"/>
      </w:pPr>
      <w:r>
        <w:separator/>
      </w:r>
    </w:p>
  </w:footnote>
  <w:footnote w:type="continuationSeparator" w:id="1">
    <w:p w:rsidR="00C001BD" w:rsidRDefault="00C001BD" w:rsidP="00490AA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01BD" w:rsidRDefault="00C001BD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1BD" w:rsidRPr="00AD3547" w:rsidRDefault="00C001BD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:rsidR="00C001BD" w:rsidRDefault="00C001BD" w:rsidP="00490AA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05A2"/>
    <w:rsid w:val="0005229A"/>
    <w:rsid w:val="0006435D"/>
    <w:rsid w:val="000825D6"/>
    <w:rsid w:val="00096197"/>
    <w:rsid w:val="000C13A4"/>
    <w:rsid w:val="000C66A4"/>
    <w:rsid w:val="000D31A4"/>
    <w:rsid w:val="000F4176"/>
    <w:rsid w:val="0013262F"/>
    <w:rsid w:val="00177593"/>
    <w:rsid w:val="001B2B25"/>
    <w:rsid w:val="001C59FA"/>
    <w:rsid w:val="001F6FF3"/>
    <w:rsid w:val="00225FA6"/>
    <w:rsid w:val="002A00E9"/>
    <w:rsid w:val="002A57AA"/>
    <w:rsid w:val="002D6639"/>
    <w:rsid w:val="002D70BA"/>
    <w:rsid w:val="003274F1"/>
    <w:rsid w:val="00327B61"/>
    <w:rsid w:val="0037255C"/>
    <w:rsid w:val="00406BFD"/>
    <w:rsid w:val="00414AA5"/>
    <w:rsid w:val="00415423"/>
    <w:rsid w:val="00447474"/>
    <w:rsid w:val="00490AA6"/>
    <w:rsid w:val="00495FA2"/>
    <w:rsid w:val="004C0305"/>
    <w:rsid w:val="004C1A26"/>
    <w:rsid w:val="004E0AC0"/>
    <w:rsid w:val="004E34D8"/>
    <w:rsid w:val="004F3B9D"/>
    <w:rsid w:val="00501D23"/>
    <w:rsid w:val="00525ED0"/>
    <w:rsid w:val="00552C7D"/>
    <w:rsid w:val="005720D1"/>
    <w:rsid w:val="00603285"/>
    <w:rsid w:val="00617A32"/>
    <w:rsid w:val="00622AD4"/>
    <w:rsid w:val="006318B2"/>
    <w:rsid w:val="006473BE"/>
    <w:rsid w:val="006A06A5"/>
    <w:rsid w:val="006C1B75"/>
    <w:rsid w:val="006E3B19"/>
    <w:rsid w:val="007B0923"/>
    <w:rsid w:val="00812B35"/>
    <w:rsid w:val="0086389F"/>
    <w:rsid w:val="00892DB3"/>
    <w:rsid w:val="008A583E"/>
    <w:rsid w:val="008D1C4D"/>
    <w:rsid w:val="0094352A"/>
    <w:rsid w:val="00996DDD"/>
    <w:rsid w:val="009C2A54"/>
    <w:rsid w:val="00A16224"/>
    <w:rsid w:val="00A25492"/>
    <w:rsid w:val="00A371A4"/>
    <w:rsid w:val="00AB0732"/>
    <w:rsid w:val="00AC2AD7"/>
    <w:rsid w:val="00AE1E4D"/>
    <w:rsid w:val="00B15926"/>
    <w:rsid w:val="00BD7E8F"/>
    <w:rsid w:val="00C001BD"/>
    <w:rsid w:val="00C45D9D"/>
    <w:rsid w:val="00C97156"/>
    <w:rsid w:val="00CD3F87"/>
    <w:rsid w:val="00D0227F"/>
    <w:rsid w:val="00D052BB"/>
    <w:rsid w:val="00D143E0"/>
    <w:rsid w:val="00E272E1"/>
    <w:rsid w:val="00E6348D"/>
    <w:rsid w:val="00E67FD9"/>
    <w:rsid w:val="00EC15D9"/>
    <w:rsid w:val="00EC253C"/>
    <w:rsid w:val="00F40CCA"/>
    <w:rsid w:val="00F42085"/>
    <w:rsid w:val="00F54F43"/>
    <w:rsid w:val="00F71FAA"/>
    <w:rsid w:val="00F74449"/>
    <w:rsid w:val="00FC05A2"/>
    <w:rsid w:val="00FD1569"/>
  </w:rsids>
  <m:mathPr>
    <m:mathFont m:val="Sennheiser-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0">
    <w:name w:val="normal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0">
    <w:name w:val="normal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ferrofish.com/en/" TargetMode="External"/><Relationship Id="rId13" Type="http://schemas.openxmlformats.org/officeDocument/2006/relationships/hyperlink" Target="http://www.ferrofish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errofish.com/en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9420F-C716-8B48-B37A-7C95621E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606</Words>
  <Characters>3455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4242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Jeff Touzeau</cp:lastModifiedBy>
  <cp:revision>34</cp:revision>
  <cp:lastPrinted>2016-11-18T03:19:00Z</cp:lastPrinted>
  <dcterms:created xsi:type="dcterms:W3CDTF">2017-10-25T21:26:00Z</dcterms:created>
  <dcterms:modified xsi:type="dcterms:W3CDTF">2017-10-30T14:59:00Z</dcterms:modified>
</cp:coreProperties>
</file>