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5642"/>
        <w:gridCol w:w="1979"/>
        <w:gridCol w:w="1902"/>
      </w:tblGrid>
      <w:tr w:rsidR="009924EC" w:rsidRPr="00077BF9" w:rsidTr="00624A03">
        <w:trPr>
          <w:trHeight w:val="433"/>
        </w:trPr>
        <w:tc>
          <w:tcPr>
            <w:tcW w:w="7621" w:type="dxa"/>
            <w:gridSpan w:val="2"/>
          </w:tcPr>
          <w:p w:rsidR="009924EC" w:rsidRPr="00077BF9" w:rsidRDefault="00B808C7" w:rsidP="00F15EE8">
            <w:pPr>
              <w:rPr>
                <w:b/>
                <w:bCs/>
                <w:color w:val="00A0CB"/>
                <w:spacing w:val="38"/>
                <w:sz w:val="36"/>
                <w:szCs w:val="36"/>
              </w:rPr>
            </w:pPr>
            <w:r w:rsidRPr="00077BF9">
              <w:rPr>
                <w:b/>
                <w:color w:val="00A0CB"/>
                <w:spacing w:val="38"/>
                <w:sz w:val="36"/>
              </w:rPr>
              <w:t xml:space="preserve">Cadeaux d’ancienneté : </w:t>
            </w:r>
            <w:r w:rsidR="00F15EE8">
              <w:rPr>
                <w:b/>
                <w:color w:val="00A0CB"/>
                <w:spacing w:val="38"/>
                <w:sz w:val="36"/>
              </w:rPr>
              <w:t>q</w:t>
            </w:r>
            <w:r w:rsidRPr="00077BF9">
              <w:rPr>
                <w:b/>
                <w:color w:val="00A0CB"/>
                <w:spacing w:val="38"/>
                <w:sz w:val="36"/>
              </w:rPr>
              <w:t>uelles</w:t>
            </w:r>
            <w:r w:rsidR="00F15EE8">
              <w:rPr>
                <w:b/>
                <w:color w:val="00A0CB"/>
                <w:spacing w:val="38"/>
                <w:sz w:val="36"/>
              </w:rPr>
              <w:t xml:space="preserve"> sont les</w:t>
            </w:r>
            <w:r w:rsidRPr="00077BF9">
              <w:rPr>
                <w:b/>
                <w:color w:val="00A0CB"/>
                <w:spacing w:val="38"/>
                <w:sz w:val="36"/>
              </w:rPr>
              <w:t xml:space="preserve"> règles </w:t>
            </w:r>
            <w:r w:rsidR="00F15EE8">
              <w:rPr>
                <w:b/>
                <w:color w:val="00A0CB"/>
                <w:spacing w:val="38"/>
                <w:sz w:val="36"/>
              </w:rPr>
              <w:t xml:space="preserve">à respecter ? </w:t>
            </w:r>
          </w:p>
        </w:tc>
        <w:tc>
          <w:tcPr>
            <w:tcW w:w="1902" w:type="dxa"/>
            <w:vMerge w:val="restart"/>
          </w:tcPr>
          <w:p w:rsidR="009924EC" w:rsidRPr="00077BF9" w:rsidRDefault="009924EC" w:rsidP="00B40816">
            <w:pPr>
              <w:rPr>
                <w:rFonts w:ascii="Calibri" w:hAnsi="Calibri"/>
                <w:sz w:val="24"/>
              </w:rPr>
            </w:pPr>
            <w:r w:rsidRPr="00077BF9">
              <w:rPr>
                <w:rFonts w:ascii="Calibri" w:hAnsi="Calibri"/>
                <w:noProof/>
                <w:sz w:val="24"/>
                <w:lang w:val="nl-BE" w:eastAsia="nl-BE" w:bidi="ar-SA"/>
              </w:rPr>
              <w:drawing>
                <wp:inline distT="0" distB="0" distL="0" distR="0">
                  <wp:extent cx="1080000" cy="1438024"/>
                  <wp:effectExtent l="38100" t="19050" r="24900" b="9776"/>
                  <wp:docPr id="4" name="Picture 1" descr="5EB1DD21-69F4-4E1E-9FE2-CF069E690ED3"/>
                  <wp:cNvGraphicFramePr/>
                  <a:graphic xmlns:a="http://schemas.openxmlformats.org/drawingml/2006/main">
                    <a:graphicData uri="http://schemas.openxmlformats.org/drawingml/2006/picture">
                      <pic:pic xmlns:pic="http://schemas.openxmlformats.org/drawingml/2006/picture">
                        <pic:nvPicPr>
                          <pic:cNvPr id="1026" name="72bec414-4333-449d-8b3e-2082fb0f0d11" descr="5EB1DD21-69F4-4E1E-9FE2-CF069E690ED3"/>
                          <pic:cNvPicPr>
                            <a:picLocks noChangeAspect="1" noChangeArrowheads="1"/>
                          </pic:cNvPicPr>
                        </pic:nvPicPr>
                        <pic:blipFill>
                          <a:blip r:embed="rId7" cstate="print">
                            <a:duotone>
                              <a:schemeClr val="accent1">
                                <a:shade val="45000"/>
                                <a:satMod val="135000"/>
                              </a:schemeClr>
                              <a:prstClr val="white"/>
                            </a:duotone>
                          </a:blip>
                          <a:stretch>
                            <a:fillRect/>
                          </a:stretch>
                        </pic:blipFill>
                        <pic:spPr bwMode="auto">
                          <a:xfrm>
                            <a:off x="0" y="0"/>
                            <a:ext cx="1080000" cy="1438024"/>
                          </a:xfrm>
                          <a:prstGeom prst="rect">
                            <a:avLst/>
                          </a:prstGeom>
                          <a:ln>
                            <a:solidFill>
                              <a:schemeClr val="tx2">
                                <a:lumMod val="40000"/>
                                <a:lumOff val="60000"/>
                              </a:schemeClr>
                            </a:solidFill>
                          </a:ln>
                          <a:effectLst/>
                        </pic:spPr>
                      </pic:pic>
                    </a:graphicData>
                  </a:graphic>
                </wp:inline>
              </w:drawing>
            </w:r>
          </w:p>
        </w:tc>
      </w:tr>
      <w:tr w:rsidR="005539DF" w:rsidRPr="00077BF9" w:rsidTr="00624A03">
        <w:trPr>
          <w:trHeight w:val="1680"/>
        </w:trPr>
        <w:tc>
          <w:tcPr>
            <w:tcW w:w="5642" w:type="dxa"/>
          </w:tcPr>
          <w:p w:rsidR="005539DF" w:rsidRPr="00077BF9" w:rsidRDefault="005539DF" w:rsidP="00B40816">
            <w:pPr>
              <w:spacing w:line="280" w:lineRule="exact"/>
              <w:jc w:val="both"/>
              <w:rPr>
                <w:rFonts w:cs="Arial"/>
                <w:color w:val="0071A7"/>
                <w:sz w:val="28"/>
                <w:szCs w:val="28"/>
              </w:rPr>
            </w:pPr>
            <w:r w:rsidRPr="00077BF9">
              <w:rPr>
                <w:color w:val="0071A7"/>
                <w:sz w:val="28"/>
              </w:rPr>
              <w:t xml:space="preserve"> </w:t>
            </w:r>
          </w:p>
          <w:p w:rsidR="005539DF" w:rsidRPr="00077BF9" w:rsidRDefault="005539DF" w:rsidP="00B40816">
            <w:pPr>
              <w:spacing w:line="280" w:lineRule="exact"/>
              <w:jc w:val="both"/>
              <w:rPr>
                <w:rFonts w:cs="Arial"/>
                <w:sz w:val="28"/>
                <w:szCs w:val="28"/>
              </w:rPr>
            </w:pPr>
          </w:p>
          <w:p w:rsidR="005539DF" w:rsidRPr="00077BF9" w:rsidRDefault="005539DF" w:rsidP="00B40816">
            <w:pPr>
              <w:spacing w:line="280" w:lineRule="exact"/>
              <w:jc w:val="both"/>
              <w:rPr>
                <w:rFonts w:cs="Arial"/>
                <w:sz w:val="28"/>
                <w:szCs w:val="28"/>
              </w:rPr>
            </w:pPr>
          </w:p>
          <w:p w:rsidR="005539DF" w:rsidRPr="00077BF9" w:rsidRDefault="005539DF" w:rsidP="00B40816">
            <w:pPr>
              <w:spacing w:line="280" w:lineRule="exact"/>
              <w:jc w:val="both"/>
              <w:rPr>
                <w:rFonts w:cs="Arial"/>
                <w:sz w:val="28"/>
                <w:szCs w:val="28"/>
              </w:rPr>
            </w:pPr>
          </w:p>
          <w:p w:rsidR="005539DF" w:rsidRPr="00077BF9" w:rsidRDefault="005539DF" w:rsidP="00B40816">
            <w:pPr>
              <w:spacing w:line="280" w:lineRule="exact"/>
              <w:jc w:val="both"/>
              <w:rPr>
                <w:rFonts w:cs="Arial"/>
                <w:sz w:val="28"/>
                <w:szCs w:val="28"/>
              </w:rPr>
            </w:pPr>
          </w:p>
          <w:p w:rsidR="005539DF" w:rsidRPr="00077BF9" w:rsidRDefault="005539DF" w:rsidP="00B40816">
            <w:pPr>
              <w:spacing w:line="280" w:lineRule="exact"/>
              <w:jc w:val="both"/>
              <w:rPr>
                <w:rFonts w:cs="Arial"/>
                <w:sz w:val="28"/>
                <w:szCs w:val="28"/>
              </w:rPr>
            </w:pPr>
          </w:p>
        </w:tc>
        <w:tc>
          <w:tcPr>
            <w:tcW w:w="1979" w:type="dxa"/>
            <w:vAlign w:val="bottom"/>
          </w:tcPr>
          <w:p w:rsidR="005539DF" w:rsidRPr="00077BF9" w:rsidRDefault="0005144F" w:rsidP="005539DF">
            <w:pPr>
              <w:jc w:val="right"/>
              <w:rPr>
                <w:rFonts w:cs="Arial"/>
                <w:sz w:val="18"/>
                <w:szCs w:val="18"/>
              </w:rPr>
            </w:pPr>
            <w:r w:rsidRPr="00077BF9">
              <w:rPr>
                <w:sz w:val="18"/>
              </w:rPr>
              <w:t xml:space="preserve">Françoise </w:t>
            </w:r>
            <w:proofErr w:type="spellStart"/>
            <w:r w:rsidRPr="00077BF9">
              <w:rPr>
                <w:sz w:val="18"/>
              </w:rPr>
              <w:t>Leus</w:t>
            </w:r>
            <w:proofErr w:type="spellEnd"/>
          </w:p>
          <w:p w:rsidR="005539DF" w:rsidRPr="00077BF9" w:rsidRDefault="0005144F" w:rsidP="005539DF">
            <w:pPr>
              <w:jc w:val="right"/>
              <w:rPr>
                <w:rFonts w:cs="Arial"/>
                <w:sz w:val="28"/>
                <w:szCs w:val="28"/>
              </w:rPr>
            </w:pPr>
            <w:r w:rsidRPr="00077BF9">
              <w:rPr>
                <w:sz w:val="18"/>
              </w:rPr>
              <w:t xml:space="preserve">Senior </w:t>
            </w:r>
            <w:proofErr w:type="spellStart"/>
            <w:r w:rsidRPr="00077BF9">
              <w:rPr>
                <w:sz w:val="18"/>
              </w:rPr>
              <w:t>Legal</w:t>
            </w:r>
            <w:proofErr w:type="spellEnd"/>
            <w:r w:rsidRPr="00077BF9">
              <w:rPr>
                <w:sz w:val="18"/>
              </w:rPr>
              <w:t xml:space="preserve"> Consultant </w:t>
            </w:r>
            <w:proofErr w:type="spellStart"/>
            <w:r w:rsidRPr="00077BF9">
              <w:rPr>
                <w:sz w:val="18"/>
              </w:rPr>
              <w:t>Partena</w:t>
            </w:r>
            <w:proofErr w:type="spellEnd"/>
            <w:r w:rsidRPr="00077BF9">
              <w:rPr>
                <w:sz w:val="18"/>
              </w:rPr>
              <w:t xml:space="preserve"> Professional</w:t>
            </w:r>
          </w:p>
        </w:tc>
        <w:tc>
          <w:tcPr>
            <w:tcW w:w="1902" w:type="dxa"/>
            <w:vMerge/>
          </w:tcPr>
          <w:p w:rsidR="005539DF" w:rsidRPr="00077BF9" w:rsidRDefault="005539DF" w:rsidP="00B40816">
            <w:pPr>
              <w:jc w:val="center"/>
              <w:rPr>
                <w:rFonts w:ascii="Calibri" w:hAnsi="Calibri"/>
                <w:sz w:val="24"/>
              </w:rPr>
            </w:pPr>
          </w:p>
        </w:tc>
      </w:tr>
    </w:tbl>
    <w:p w:rsidR="0071493A" w:rsidRPr="00077BF9" w:rsidRDefault="004C3C3C" w:rsidP="00AA4348">
      <w:pPr>
        <w:autoSpaceDE w:val="0"/>
        <w:autoSpaceDN w:val="0"/>
        <w:adjustRightInd w:val="0"/>
        <w:jc w:val="both"/>
        <w:rPr>
          <w:rFonts w:ascii="Calibri" w:hAnsi="Calibri" w:cs="Arial"/>
          <w:sz w:val="24"/>
        </w:rPr>
      </w:pPr>
      <w:r w:rsidRPr="00077BF9">
        <w:rPr>
          <w:noProof/>
          <w:lang w:val="nl-BE" w:eastAsia="nl-BE" w:bidi="ar-SA"/>
        </w:rPr>
        <mc:AlternateContent>
          <mc:Choice Requires="wps">
            <w:drawing>
              <wp:anchor distT="4294967293" distB="4294967293" distL="114300" distR="114300" simplePos="0" relativeHeight="251658752" behindDoc="0" locked="0" layoutInCell="1" allowOverlap="1">
                <wp:simplePos x="0" y="0"/>
                <wp:positionH relativeFrom="column">
                  <wp:posOffset>-213360</wp:posOffset>
                </wp:positionH>
                <wp:positionV relativeFrom="paragraph">
                  <wp:posOffset>73025</wp:posOffset>
                </wp:positionV>
                <wp:extent cx="6426835" cy="0"/>
                <wp:effectExtent l="10795" t="10795" r="10795" b="8255"/>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12700">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3A4BD773" id="Line 33"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pt,5.75pt" to="489.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" strokecolor="#f6a500" strokeweight="1pt"/>
            </w:pict>
          </mc:Fallback>
        </mc:AlternateContent>
      </w:r>
    </w:p>
    <w:p w:rsidR="00ED5E2F" w:rsidRPr="00077BF9" w:rsidRDefault="00ED5E2F" w:rsidP="00E564FF">
      <w:pPr>
        <w:spacing w:line="280" w:lineRule="exact"/>
        <w:jc w:val="both"/>
        <w:rPr>
          <w:rFonts w:cs="Arial"/>
          <w:sz w:val="28"/>
          <w:szCs w:val="28"/>
        </w:rPr>
      </w:pPr>
    </w:p>
    <w:p w:rsidR="00F15EE8" w:rsidRDefault="00F15EE8" w:rsidP="00F15EE8">
      <w:pPr>
        <w:spacing w:line="280" w:lineRule="exact"/>
        <w:jc w:val="both"/>
        <w:rPr>
          <w:b/>
          <w:color w:val="404040" w:themeColor="text1" w:themeTint="BF"/>
          <w:sz w:val="24"/>
        </w:rPr>
      </w:pPr>
      <w:r>
        <w:rPr>
          <w:b/>
          <w:color w:val="404040" w:themeColor="text1" w:themeTint="BF"/>
          <w:sz w:val="24"/>
        </w:rPr>
        <w:t xml:space="preserve">Certains </w:t>
      </w:r>
      <w:r w:rsidR="008E038F" w:rsidRPr="00077BF9">
        <w:rPr>
          <w:b/>
          <w:color w:val="404040" w:themeColor="text1" w:themeTint="BF"/>
          <w:sz w:val="24"/>
        </w:rPr>
        <w:t>employeurs souhaitent récompenser le</w:t>
      </w:r>
      <w:r>
        <w:rPr>
          <w:b/>
          <w:color w:val="404040" w:themeColor="text1" w:themeTint="BF"/>
          <w:sz w:val="24"/>
        </w:rPr>
        <w:t>s</w:t>
      </w:r>
      <w:r w:rsidR="008E038F" w:rsidRPr="00077BF9">
        <w:rPr>
          <w:b/>
          <w:color w:val="404040" w:themeColor="text1" w:themeTint="BF"/>
          <w:sz w:val="24"/>
        </w:rPr>
        <w:t xml:space="preserve"> travailleurs </w:t>
      </w:r>
      <w:r>
        <w:rPr>
          <w:b/>
          <w:color w:val="404040" w:themeColor="text1" w:themeTint="BF"/>
          <w:sz w:val="24"/>
        </w:rPr>
        <w:t xml:space="preserve">qui sont </w:t>
      </w:r>
      <w:r w:rsidR="008E038F" w:rsidRPr="00077BF9">
        <w:rPr>
          <w:b/>
          <w:color w:val="404040" w:themeColor="text1" w:themeTint="BF"/>
          <w:sz w:val="24"/>
        </w:rPr>
        <w:t>en service depuis un certain temps en leur octroyant une prime ou un cadeau</w:t>
      </w:r>
      <w:r>
        <w:rPr>
          <w:b/>
          <w:color w:val="404040" w:themeColor="text1" w:themeTint="BF"/>
          <w:sz w:val="24"/>
        </w:rPr>
        <w:t>. Cependant, ceux-ci</w:t>
      </w:r>
      <w:r w:rsidR="008E038F" w:rsidRPr="00077BF9">
        <w:rPr>
          <w:b/>
          <w:color w:val="404040" w:themeColor="text1" w:themeTint="BF"/>
          <w:sz w:val="24"/>
        </w:rPr>
        <w:t xml:space="preserve"> ne peu</w:t>
      </w:r>
      <w:r w:rsidR="00620507">
        <w:rPr>
          <w:b/>
          <w:color w:val="404040" w:themeColor="text1" w:themeTint="BF"/>
          <w:sz w:val="24"/>
        </w:rPr>
        <w:t>vent</w:t>
      </w:r>
      <w:r w:rsidR="008E038F" w:rsidRPr="00077BF9">
        <w:rPr>
          <w:b/>
          <w:color w:val="404040" w:themeColor="text1" w:themeTint="BF"/>
          <w:sz w:val="24"/>
        </w:rPr>
        <w:t xml:space="preserve"> être octroyé</w:t>
      </w:r>
      <w:r>
        <w:rPr>
          <w:b/>
          <w:color w:val="404040" w:themeColor="text1" w:themeTint="BF"/>
          <w:sz w:val="24"/>
        </w:rPr>
        <w:t>s</w:t>
      </w:r>
      <w:r w:rsidR="008E038F" w:rsidRPr="00077BF9">
        <w:rPr>
          <w:b/>
          <w:color w:val="404040" w:themeColor="text1" w:themeTint="BF"/>
          <w:sz w:val="24"/>
        </w:rPr>
        <w:t xml:space="preserve"> comme un avantage net que sous certaines conditions. </w:t>
      </w:r>
    </w:p>
    <w:p w:rsidR="00F15EE8" w:rsidRDefault="00F15EE8" w:rsidP="00F15EE8">
      <w:pPr>
        <w:spacing w:line="280" w:lineRule="exact"/>
        <w:jc w:val="both"/>
        <w:rPr>
          <w:b/>
          <w:color w:val="404040" w:themeColor="text1" w:themeTint="BF"/>
          <w:sz w:val="24"/>
        </w:rPr>
      </w:pPr>
    </w:p>
    <w:p w:rsidR="008E038F" w:rsidRPr="00F06682" w:rsidRDefault="00F15EE8" w:rsidP="00F15EE8">
      <w:pPr>
        <w:spacing w:line="280" w:lineRule="exact"/>
        <w:jc w:val="both"/>
        <w:rPr>
          <w:b/>
          <w:color w:val="404040" w:themeColor="text1" w:themeTint="BF"/>
          <w:sz w:val="24"/>
        </w:rPr>
      </w:pPr>
      <w:r w:rsidRPr="00F15EE8">
        <w:rPr>
          <w:b/>
          <w:color w:val="404040" w:themeColor="text1" w:themeTint="BF"/>
          <w:sz w:val="24"/>
        </w:rPr>
        <w:t>Les principes repris ci-</w:t>
      </w:r>
      <w:r>
        <w:rPr>
          <w:b/>
          <w:color w:val="404040" w:themeColor="text1" w:themeTint="BF"/>
          <w:sz w:val="24"/>
        </w:rPr>
        <w:t>dessous</w:t>
      </w:r>
      <w:r w:rsidRPr="00F15EE8">
        <w:rPr>
          <w:b/>
          <w:color w:val="404040" w:themeColor="text1" w:themeTint="BF"/>
          <w:sz w:val="24"/>
        </w:rPr>
        <w:t xml:space="preserve"> s’appliquent à la fois aux cadeaux payés en </w:t>
      </w:r>
      <w:r>
        <w:rPr>
          <w:b/>
          <w:color w:val="404040" w:themeColor="text1" w:themeTint="BF"/>
          <w:sz w:val="24"/>
        </w:rPr>
        <w:t>cash</w:t>
      </w:r>
      <w:r w:rsidRPr="00F15EE8">
        <w:rPr>
          <w:b/>
          <w:color w:val="404040" w:themeColor="text1" w:themeTint="BF"/>
          <w:sz w:val="24"/>
        </w:rPr>
        <w:t xml:space="preserve"> au travailleur et aux cadeaux octroyés sous forme de chèques ou en nature (un appar</w:t>
      </w:r>
      <w:r>
        <w:rPr>
          <w:b/>
          <w:color w:val="404040" w:themeColor="text1" w:themeTint="BF"/>
          <w:sz w:val="24"/>
        </w:rPr>
        <w:t xml:space="preserve">eil ménager, un coffret de vin, </w:t>
      </w:r>
      <w:proofErr w:type="spellStart"/>
      <w:r>
        <w:rPr>
          <w:b/>
          <w:color w:val="404040" w:themeColor="text1" w:themeTint="BF"/>
          <w:sz w:val="24"/>
        </w:rPr>
        <w:t>etc</w:t>
      </w:r>
      <w:proofErr w:type="spellEnd"/>
      <w:r w:rsidRPr="00F15EE8">
        <w:rPr>
          <w:b/>
          <w:color w:val="404040" w:themeColor="text1" w:themeTint="BF"/>
          <w:sz w:val="24"/>
        </w:rPr>
        <w:t>).</w:t>
      </w:r>
      <w:r w:rsidR="008E038F" w:rsidRPr="00077BF9">
        <w:rPr>
          <w:b/>
          <w:color w:val="404040" w:themeColor="text1" w:themeTint="BF"/>
          <w:sz w:val="24"/>
        </w:rPr>
        <w:t xml:space="preserve"> </w:t>
      </w:r>
    </w:p>
    <w:p w:rsidR="00430958" w:rsidRPr="00077BF9" w:rsidRDefault="00430958" w:rsidP="008E038F">
      <w:pPr>
        <w:spacing w:line="280" w:lineRule="exact"/>
        <w:jc w:val="both"/>
        <w:rPr>
          <w:rFonts w:cs="Arial"/>
          <w:b/>
          <w:color w:val="404040" w:themeColor="text1" w:themeTint="BF"/>
          <w:sz w:val="24"/>
        </w:rPr>
      </w:pPr>
    </w:p>
    <w:p w:rsidR="005035FC" w:rsidRPr="00B2472E" w:rsidRDefault="00C777CB" w:rsidP="008E038F">
      <w:pPr>
        <w:spacing w:line="280" w:lineRule="exact"/>
        <w:jc w:val="both"/>
        <w:rPr>
          <w:rFonts w:cs="Arial"/>
          <w:b/>
          <w:color w:val="00B0F0"/>
          <w:sz w:val="24"/>
        </w:rPr>
      </w:pPr>
      <w:r w:rsidRPr="00B2472E">
        <w:rPr>
          <w:b/>
          <w:color w:val="00B0F0"/>
          <w:sz w:val="24"/>
        </w:rPr>
        <w:t xml:space="preserve">Après combien d’années d’ancienneté </w:t>
      </w:r>
      <w:r w:rsidR="00F15EE8" w:rsidRPr="00B2472E">
        <w:rPr>
          <w:b/>
          <w:color w:val="00B0F0"/>
          <w:sz w:val="24"/>
        </w:rPr>
        <w:t xml:space="preserve">un </w:t>
      </w:r>
      <w:r w:rsidRPr="00B2472E">
        <w:rPr>
          <w:b/>
          <w:color w:val="00B0F0"/>
          <w:sz w:val="24"/>
        </w:rPr>
        <w:t>employeur peut-il accorder une prime ou un cadeau à son travailleur ?</w:t>
      </w:r>
    </w:p>
    <w:p w:rsidR="005035FC" w:rsidRPr="00077BF9" w:rsidRDefault="005035FC" w:rsidP="008E038F">
      <w:pPr>
        <w:spacing w:line="280" w:lineRule="exact"/>
        <w:jc w:val="both"/>
        <w:rPr>
          <w:rFonts w:cs="Arial"/>
          <w:color w:val="404040" w:themeColor="text1" w:themeTint="BF"/>
          <w:szCs w:val="20"/>
        </w:rPr>
      </w:pPr>
    </w:p>
    <w:p w:rsidR="00A25EC1" w:rsidRPr="00077BF9" w:rsidRDefault="00A25EC1" w:rsidP="008E038F">
      <w:pPr>
        <w:spacing w:line="280" w:lineRule="exact"/>
        <w:jc w:val="both"/>
        <w:rPr>
          <w:rFonts w:cs="Arial"/>
          <w:color w:val="404040" w:themeColor="text1" w:themeTint="BF"/>
          <w:szCs w:val="20"/>
        </w:rPr>
      </w:pPr>
      <w:r w:rsidRPr="00077BF9">
        <w:rPr>
          <w:color w:val="404040" w:themeColor="text1" w:themeTint="BF"/>
        </w:rPr>
        <w:t xml:space="preserve">Pendant la carrière d’un travailleur chez un employeur déterminé, </w:t>
      </w:r>
      <w:r w:rsidR="00A559C6">
        <w:rPr>
          <w:color w:val="404040" w:themeColor="text1" w:themeTint="BF"/>
        </w:rPr>
        <w:t>celui-ci</w:t>
      </w:r>
      <w:r w:rsidRPr="00077BF9">
        <w:rPr>
          <w:color w:val="404040" w:themeColor="text1" w:themeTint="BF"/>
        </w:rPr>
        <w:t xml:space="preserve"> peut lui accorder </w:t>
      </w:r>
      <w:r w:rsidR="00A559C6">
        <w:rPr>
          <w:color w:val="404040" w:themeColor="text1" w:themeTint="BF"/>
        </w:rPr>
        <w:t>deux fois un</w:t>
      </w:r>
      <w:r w:rsidRPr="00077BF9">
        <w:rPr>
          <w:color w:val="404040" w:themeColor="text1" w:themeTint="BF"/>
        </w:rPr>
        <w:t xml:space="preserve"> cadeau sans que des cotisations de sécurité sociale ou un précompte professionnel ne doivent être payés sur ce</w:t>
      </w:r>
      <w:r w:rsidR="00A559C6">
        <w:rPr>
          <w:color w:val="404040" w:themeColor="text1" w:themeTint="BF"/>
        </w:rPr>
        <w:t>lui-ci</w:t>
      </w:r>
      <w:r w:rsidRPr="00077BF9">
        <w:rPr>
          <w:color w:val="404040" w:themeColor="text1" w:themeTint="BF"/>
        </w:rPr>
        <w:t xml:space="preserve"> :</w:t>
      </w:r>
    </w:p>
    <w:p w:rsidR="00A25EC1" w:rsidRPr="00077BF9" w:rsidRDefault="00A25EC1" w:rsidP="00A25EC1">
      <w:pPr>
        <w:pStyle w:val="ListParagraph"/>
        <w:numPr>
          <w:ilvl w:val="0"/>
          <w:numId w:val="21"/>
        </w:numPr>
        <w:spacing w:line="280" w:lineRule="exact"/>
        <w:jc w:val="both"/>
        <w:rPr>
          <w:rFonts w:cs="Arial"/>
          <w:color w:val="404040" w:themeColor="text1" w:themeTint="BF"/>
          <w:szCs w:val="20"/>
        </w:rPr>
      </w:pPr>
      <w:r w:rsidRPr="00077BF9">
        <w:rPr>
          <w:color w:val="404040" w:themeColor="text1" w:themeTint="BF"/>
        </w:rPr>
        <w:t>une première fois au plus tôt au cours de l’année civile au cours de laquelle le travailleur a 25 ans d’ancienneté chez son employeur</w:t>
      </w:r>
      <w:r w:rsidR="00A559C6">
        <w:rPr>
          <w:color w:val="404040" w:themeColor="text1" w:themeTint="BF"/>
        </w:rPr>
        <w:t> ;</w:t>
      </w:r>
    </w:p>
    <w:p w:rsidR="00A559C6" w:rsidRPr="00077BF9" w:rsidRDefault="00A25EC1" w:rsidP="00B2472E">
      <w:pPr>
        <w:pStyle w:val="ListParagraph"/>
        <w:numPr>
          <w:ilvl w:val="0"/>
          <w:numId w:val="21"/>
        </w:numPr>
        <w:spacing w:line="280" w:lineRule="exact"/>
        <w:rPr>
          <w:rFonts w:cs="Arial"/>
          <w:color w:val="404040" w:themeColor="text1" w:themeTint="BF"/>
          <w:szCs w:val="20"/>
        </w:rPr>
      </w:pPr>
      <w:r w:rsidRPr="00A559C6">
        <w:rPr>
          <w:color w:val="404040" w:themeColor="text1" w:themeTint="BF"/>
        </w:rPr>
        <w:t>une deuxième fois au plus tôt au cours de l’année civile au cours de laquelle le travailleur a 35 ans d’ancienneté chez son employeur.</w:t>
      </w:r>
      <w:r w:rsidR="00A559C6">
        <w:rPr>
          <w:color w:val="404040" w:themeColor="text1" w:themeTint="BF"/>
        </w:rPr>
        <w:br/>
      </w:r>
    </w:p>
    <w:p w:rsidR="00A559C6" w:rsidRPr="00B2472E" w:rsidRDefault="00A559C6" w:rsidP="00B2472E">
      <w:pPr>
        <w:spacing w:line="280" w:lineRule="exact"/>
        <w:jc w:val="both"/>
        <w:rPr>
          <w:rFonts w:cs="Arial"/>
          <w:color w:val="404040" w:themeColor="text1" w:themeTint="BF"/>
          <w:szCs w:val="20"/>
        </w:rPr>
      </w:pPr>
      <w:r w:rsidRPr="00B2472E">
        <w:rPr>
          <w:color w:val="404040" w:themeColor="text1" w:themeTint="BF"/>
        </w:rPr>
        <w:t>L’employeur doit cependant pouvoir démontrer que le cadeau a été accordé en raison de l’obtention de l’ancienneté de 25 ans ou 35 ans et non pour une autre raison. Il est donc préférable de rédiger un document écrit à ce sujet.</w:t>
      </w:r>
    </w:p>
    <w:p w:rsidR="00A25EC1" w:rsidRPr="00A559C6" w:rsidRDefault="00A25EC1">
      <w:pPr>
        <w:spacing w:line="280" w:lineRule="exact"/>
        <w:jc w:val="both"/>
        <w:rPr>
          <w:rFonts w:cs="Arial"/>
          <w:color w:val="404040" w:themeColor="text1" w:themeTint="BF"/>
          <w:szCs w:val="20"/>
        </w:rPr>
      </w:pPr>
    </w:p>
    <w:p w:rsidR="00D02E01" w:rsidRPr="00077BF9" w:rsidRDefault="00C777CB" w:rsidP="008E038F">
      <w:pPr>
        <w:spacing w:line="280" w:lineRule="exact"/>
        <w:jc w:val="both"/>
        <w:rPr>
          <w:rFonts w:cs="Arial"/>
          <w:color w:val="404040" w:themeColor="text1" w:themeTint="BF"/>
          <w:szCs w:val="20"/>
        </w:rPr>
      </w:pPr>
      <w:r w:rsidRPr="00077BF9">
        <w:rPr>
          <w:color w:val="404040" w:themeColor="text1" w:themeTint="BF"/>
        </w:rPr>
        <w:t>Les cadeaux octroyés lorsque le travailleur a 5 ans, 10 ans, 15 ans ou 20 ans d’ancienneté chez son employeur sont</w:t>
      </w:r>
      <w:r w:rsidR="00A559C6">
        <w:rPr>
          <w:color w:val="404040" w:themeColor="text1" w:themeTint="BF"/>
        </w:rPr>
        <w:t>,</w:t>
      </w:r>
      <w:r w:rsidRPr="00077BF9">
        <w:rPr>
          <w:color w:val="404040" w:themeColor="text1" w:themeTint="BF"/>
        </w:rPr>
        <w:t xml:space="preserve"> par conséquent</w:t>
      </w:r>
      <w:r w:rsidR="00A559C6">
        <w:rPr>
          <w:color w:val="404040" w:themeColor="text1" w:themeTint="BF"/>
        </w:rPr>
        <w:t>,</w:t>
      </w:r>
      <w:r w:rsidRPr="00077BF9">
        <w:rPr>
          <w:color w:val="404040" w:themeColor="text1" w:themeTint="BF"/>
        </w:rPr>
        <w:t xml:space="preserve"> des rémunérations soumises à des cotisations de sécurité sociale et au précompte professionnel.</w:t>
      </w:r>
    </w:p>
    <w:p w:rsidR="00D02E01" w:rsidRPr="00077BF9" w:rsidRDefault="00D02E01" w:rsidP="008E038F">
      <w:pPr>
        <w:spacing w:line="280" w:lineRule="exact"/>
        <w:jc w:val="both"/>
        <w:rPr>
          <w:rFonts w:cs="Arial"/>
          <w:color w:val="404040" w:themeColor="text1" w:themeTint="BF"/>
          <w:szCs w:val="20"/>
        </w:rPr>
      </w:pPr>
    </w:p>
    <w:p w:rsidR="00C777CB" w:rsidRPr="00B2472E" w:rsidRDefault="005E3E82" w:rsidP="008E038F">
      <w:pPr>
        <w:spacing w:line="280" w:lineRule="exact"/>
        <w:jc w:val="both"/>
        <w:rPr>
          <w:rFonts w:cs="Arial"/>
          <w:b/>
          <w:color w:val="00B0F0"/>
          <w:sz w:val="24"/>
        </w:rPr>
      </w:pPr>
      <w:r w:rsidRPr="00B2472E">
        <w:rPr>
          <w:b/>
          <w:color w:val="00B0F0"/>
          <w:sz w:val="24"/>
        </w:rPr>
        <w:t>À combien s’élève la prime ou la valeur du cadeau que l’employeur peut accorder à son travailleur ?</w:t>
      </w:r>
    </w:p>
    <w:p w:rsidR="005E3E82" w:rsidRPr="00077BF9" w:rsidRDefault="005E3E82" w:rsidP="008E038F">
      <w:pPr>
        <w:spacing w:line="280" w:lineRule="exact"/>
        <w:jc w:val="both"/>
        <w:rPr>
          <w:rFonts w:cs="Arial"/>
          <w:color w:val="404040" w:themeColor="text1" w:themeTint="BF"/>
          <w:szCs w:val="20"/>
        </w:rPr>
      </w:pPr>
    </w:p>
    <w:p w:rsidR="005E3E82" w:rsidRPr="00077BF9" w:rsidRDefault="005E3E82" w:rsidP="008E038F">
      <w:pPr>
        <w:spacing w:line="280" w:lineRule="exact"/>
        <w:jc w:val="both"/>
        <w:rPr>
          <w:rFonts w:cs="Arial"/>
          <w:color w:val="404040" w:themeColor="text1" w:themeTint="BF"/>
          <w:szCs w:val="20"/>
        </w:rPr>
      </w:pPr>
      <w:r w:rsidRPr="00077BF9">
        <w:rPr>
          <w:color w:val="404040" w:themeColor="text1" w:themeTint="BF"/>
        </w:rPr>
        <w:t>Après 25 ans de service auprès du même employeur, une prime ou un cadeau d’une valeur maximale d’une fois le salaire mensuel brut peut être octroyé(e) au travailleur. Après 35 ans, la prime ou le cadeau ne peut excéder deux fois le salaire mensuel brut du travailleur.</w:t>
      </w:r>
    </w:p>
    <w:p w:rsidR="00DA59A9" w:rsidRPr="00077BF9" w:rsidRDefault="00DA59A9" w:rsidP="008E038F">
      <w:pPr>
        <w:spacing w:line="280" w:lineRule="exact"/>
        <w:jc w:val="both"/>
        <w:rPr>
          <w:rFonts w:cs="Arial"/>
          <w:color w:val="404040" w:themeColor="text1" w:themeTint="BF"/>
          <w:szCs w:val="20"/>
        </w:rPr>
      </w:pPr>
    </w:p>
    <w:p w:rsidR="00ED4FF8" w:rsidRPr="00077BF9" w:rsidRDefault="00ED4FF8" w:rsidP="008E038F">
      <w:pPr>
        <w:spacing w:line="280" w:lineRule="exact"/>
        <w:jc w:val="both"/>
        <w:rPr>
          <w:rFonts w:cs="Arial"/>
          <w:color w:val="404040" w:themeColor="text1" w:themeTint="BF"/>
          <w:szCs w:val="20"/>
        </w:rPr>
      </w:pPr>
      <w:r w:rsidRPr="00077BF9">
        <w:rPr>
          <w:color w:val="404040" w:themeColor="text1" w:themeTint="BF"/>
        </w:rPr>
        <w:lastRenderedPageBreak/>
        <w:t xml:space="preserve">Exemple : </w:t>
      </w:r>
      <w:r w:rsidR="00A559C6">
        <w:rPr>
          <w:color w:val="404040" w:themeColor="text1" w:themeTint="BF"/>
        </w:rPr>
        <w:t>un</w:t>
      </w:r>
      <w:r w:rsidR="00A559C6" w:rsidRPr="00077BF9">
        <w:rPr>
          <w:color w:val="404040" w:themeColor="text1" w:themeTint="BF"/>
        </w:rPr>
        <w:t xml:space="preserve"> </w:t>
      </w:r>
      <w:r w:rsidR="00A559C6">
        <w:rPr>
          <w:color w:val="404040" w:themeColor="text1" w:themeTint="BF"/>
        </w:rPr>
        <w:t>employé</w:t>
      </w:r>
      <w:r w:rsidRPr="00077BF9">
        <w:rPr>
          <w:color w:val="404040" w:themeColor="text1" w:themeTint="BF"/>
        </w:rPr>
        <w:t xml:space="preserve"> a un salaire mensuel brut de 3000 euros et aura 25 ans d’ancienneté en 2018. </w:t>
      </w:r>
      <w:r w:rsidR="00AA055C">
        <w:rPr>
          <w:color w:val="404040" w:themeColor="text1" w:themeTint="BF"/>
        </w:rPr>
        <w:t>L’employeur pourra</w:t>
      </w:r>
      <w:r w:rsidRPr="00077BF9">
        <w:rPr>
          <w:color w:val="404040" w:themeColor="text1" w:themeTint="BF"/>
        </w:rPr>
        <w:t xml:space="preserve"> lui verser une prime de maximum 3000 euros cette année. Le travailleur reçoit 3000 euros net et c’est également le coût que cela représente pour </w:t>
      </w:r>
      <w:r w:rsidR="00AA055C">
        <w:rPr>
          <w:color w:val="404040" w:themeColor="text1" w:themeTint="BF"/>
        </w:rPr>
        <w:t>l’</w:t>
      </w:r>
      <w:r w:rsidRPr="00077BF9">
        <w:rPr>
          <w:color w:val="404040" w:themeColor="text1" w:themeTint="BF"/>
        </w:rPr>
        <w:t>employeur.</w:t>
      </w:r>
    </w:p>
    <w:p w:rsidR="007F2E23" w:rsidRPr="00077BF9" w:rsidRDefault="007F2E23" w:rsidP="008E038F">
      <w:pPr>
        <w:spacing w:line="280" w:lineRule="exact"/>
        <w:jc w:val="both"/>
        <w:rPr>
          <w:rFonts w:cs="Arial"/>
          <w:color w:val="404040" w:themeColor="text1" w:themeTint="BF"/>
          <w:szCs w:val="20"/>
        </w:rPr>
      </w:pPr>
    </w:p>
    <w:p w:rsidR="00DA59A9" w:rsidRPr="00077BF9" w:rsidRDefault="00AA055C" w:rsidP="008E038F">
      <w:pPr>
        <w:spacing w:line="280" w:lineRule="exact"/>
        <w:jc w:val="both"/>
        <w:rPr>
          <w:rFonts w:cs="Arial"/>
          <w:color w:val="454545"/>
          <w:szCs w:val="20"/>
        </w:rPr>
      </w:pPr>
      <w:r>
        <w:rPr>
          <w:color w:val="454545"/>
        </w:rPr>
        <w:t>Si le</w:t>
      </w:r>
      <w:r w:rsidR="007F2E23" w:rsidRPr="00077BF9">
        <w:rPr>
          <w:color w:val="454545"/>
        </w:rPr>
        <w:t xml:space="preserve"> montant </w:t>
      </w:r>
      <w:r>
        <w:rPr>
          <w:color w:val="454545"/>
        </w:rPr>
        <w:t xml:space="preserve">octroyé est </w:t>
      </w:r>
      <w:r w:rsidR="007F2E23" w:rsidRPr="00077BF9">
        <w:rPr>
          <w:color w:val="454545"/>
        </w:rPr>
        <w:t>plus élevé, des cotisations de sécurité sociale et un précompte professionnel seront dus sur la partie qui excède le montant maximum.</w:t>
      </w:r>
      <w:r w:rsidR="007C700B">
        <w:rPr>
          <w:color w:val="404040" w:themeColor="text1" w:themeTint="BF"/>
        </w:rPr>
        <w:t xml:space="preserve"> </w:t>
      </w:r>
      <w:r w:rsidR="00DA59A9" w:rsidRPr="00077BF9">
        <w:rPr>
          <w:color w:val="404040" w:themeColor="text1" w:themeTint="BF"/>
        </w:rPr>
        <w:t xml:space="preserve">Sous certaines conditions, l’employeur peut calculer la prime sur la base </w:t>
      </w:r>
      <w:r w:rsidR="00DA59A9" w:rsidRPr="00077BF9">
        <w:rPr>
          <w:color w:val="454545"/>
        </w:rPr>
        <w:t>du montant brut moyen d’une rémunération mensuelle dans son entreprise et non sur la base du salaire mensuel du travailleur lui-même.</w:t>
      </w:r>
    </w:p>
    <w:p w:rsidR="000D37A9" w:rsidRPr="00077BF9" w:rsidRDefault="000D37A9" w:rsidP="008E038F">
      <w:pPr>
        <w:spacing w:line="280" w:lineRule="exact"/>
        <w:jc w:val="both"/>
        <w:rPr>
          <w:rFonts w:cs="Arial"/>
          <w:color w:val="454545"/>
          <w:szCs w:val="20"/>
        </w:rPr>
      </w:pPr>
    </w:p>
    <w:p w:rsidR="00001F93" w:rsidRPr="00F06682" w:rsidRDefault="00DA59A9" w:rsidP="008E038F">
      <w:pPr>
        <w:spacing w:line="280" w:lineRule="exact"/>
        <w:jc w:val="both"/>
        <w:rPr>
          <w:color w:val="454545"/>
        </w:rPr>
      </w:pPr>
      <w:r w:rsidRPr="00077BF9">
        <w:rPr>
          <w:color w:val="454545"/>
        </w:rPr>
        <w:t xml:space="preserve">Attention : </w:t>
      </w:r>
      <w:r w:rsidR="007C700B">
        <w:rPr>
          <w:color w:val="454545"/>
        </w:rPr>
        <w:t>p</w:t>
      </w:r>
      <w:r w:rsidR="007C700B" w:rsidRPr="00077BF9">
        <w:rPr>
          <w:color w:val="454545"/>
        </w:rPr>
        <w:t xml:space="preserve">our </w:t>
      </w:r>
      <w:r w:rsidRPr="00077BF9">
        <w:rPr>
          <w:color w:val="454545"/>
        </w:rPr>
        <w:t>l'employeur, le cadeau d'ancienneté n'est pas un coût professionnel déductible à l'impôt des sociétés, sauf pour la partie qui dépasse le montant maximum.</w:t>
      </w:r>
      <w:r w:rsidR="007C700B">
        <w:rPr>
          <w:color w:val="454545"/>
        </w:rPr>
        <w:t xml:space="preserve"> </w:t>
      </w:r>
      <w:r w:rsidR="00001F93" w:rsidRPr="00077BF9">
        <w:rPr>
          <w:color w:val="404040" w:themeColor="text1" w:themeTint="BF"/>
        </w:rPr>
        <w:t>En cas de contrôle éventuel, tant l'ONSS que le fisc peuvent revenir 3 ans en arrière pour régulariser la déclaration.</w:t>
      </w:r>
    </w:p>
    <w:p w:rsidR="00142FC4" w:rsidRPr="00077BF9" w:rsidRDefault="00142FC4" w:rsidP="008E038F">
      <w:pPr>
        <w:spacing w:line="280" w:lineRule="exact"/>
        <w:jc w:val="both"/>
        <w:rPr>
          <w:rFonts w:cs="Arial"/>
          <w:color w:val="454545"/>
          <w:szCs w:val="20"/>
        </w:rPr>
      </w:pPr>
    </w:p>
    <w:p w:rsidR="00142FC4" w:rsidRPr="00B2472E" w:rsidRDefault="006463E3" w:rsidP="008E038F">
      <w:pPr>
        <w:spacing w:line="280" w:lineRule="exact"/>
        <w:jc w:val="both"/>
        <w:rPr>
          <w:rFonts w:cs="Arial"/>
          <w:b/>
          <w:color w:val="00B0F0"/>
          <w:sz w:val="24"/>
        </w:rPr>
      </w:pPr>
      <w:r w:rsidRPr="00B2472E">
        <w:rPr>
          <w:b/>
          <w:color w:val="00B0F0"/>
          <w:sz w:val="24"/>
        </w:rPr>
        <w:t xml:space="preserve">Que se passe-t-il si le travailleur prend sa pension </w:t>
      </w:r>
      <w:r w:rsidR="00810F5A" w:rsidRPr="00B2472E">
        <w:rPr>
          <w:b/>
          <w:color w:val="00B0F0"/>
          <w:sz w:val="24"/>
        </w:rPr>
        <w:t>au</w:t>
      </w:r>
      <w:r w:rsidRPr="00B2472E">
        <w:rPr>
          <w:b/>
          <w:color w:val="00B0F0"/>
          <w:sz w:val="24"/>
        </w:rPr>
        <w:t xml:space="preserve"> moment </w:t>
      </w:r>
      <w:r w:rsidR="00810F5A" w:rsidRPr="00B2472E">
        <w:rPr>
          <w:b/>
          <w:color w:val="00B0F0"/>
          <w:sz w:val="24"/>
        </w:rPr>
        <w:t xml:space="preserve">de ses </w:t>
      </w:r>
      <w:r w:rsidRPr="00B2472E">
        <w:rPr>
          <w:b/>
          <w:color w:val="00B0F0"/>
          <w:sz w:val="24"/>
        </w:rPr>
        <w:t>25 ans ou 35 ans d’ancienneté ?</w:t>
      </w:r>
    </w:p>
    <w:p w:rsidR="005E3E82" w:rsidRPr="00077BF9" w:rsidRDefault="005E3E82" w:rsidP="008E038F">
      <w:pPr>
        <w:spacing w:line="280" w:lineRule="exact"/>
        <w:jc w:val="both"/>
        <w:rPr>
          <w:rFonts w:cs="Arial"/>
          <w:color w:val="404040" w:themeColor="text1" w:themeTint="BF"/>
          <w:szCs w:val="20"/>
        </w:rPr>
      </w:pPr>
    </w:p>
    <w:p w:rsidR="00615231" w:rsidRPr="00077BF9" w:rsidRDefault="00615231" w:rsidP="008E038F">
      <w:pPr>
        <w:spacing w:line="280" w:lineRule="exact"/>
        <w:jc w:val="both"/>
        <w:rPr>
          <w:rFonts w:cs="Arial"/>
          <w:color w:val="454545"/>
          <w:szCs w:val="20"/>
        </w:rPr>
      </w:pPr>
      <w:r w:rsidRPr="00077BF9">
        <w:rPr>
          <w:color w:val="404040" w:themeColor="text1" w:themeTint="BF"/>
        </w:rPr>
        <w:t xml:space="preserve">Si </w:t>
      </w:r>
      <w:r w:rsidR="007C700B">
        <w:rPr>
          <w:color w:val="404040" w:themeColor="text1" w:themeTint="BF"/>
        </w:rPr>
        <w:t>un</w:t>
      </w:r>
      <w:r w:rsidR="007C700B" w:rsidRPr="00077BF9">
        <w:rPr>
          <w:color w:val="404040" w:themeColor="text1" w:themeTint="BF"/>
        </w:rPr>
        <w:t xml:space="preserve"> </w:t>
      </w:r>
      <w:r w:rsidRPr="00077BF9">
        <w:rPr>
          <w:color w:val="404040" w:themeColor="text1" w:themeTint="BF"/>
        </w:rPr>
        <w:t xml:space="preserve">travailleur prend sa pension et </w:t>
      </w:r>
      <w:r w:rsidR="007C700B">
        <w:rPr>
          <w:color w:val="404040" w:themeColor="text1" w:themeTint="BF"/>
        </w:rPr>
        <w:t>que l’employeur souhaite</w:t>
      </w:r>
      <w:r w:rsidRPr="00077BF9">
        <w:rPr>
          <w:color w:val="404040" w:themeColor="text1" w:themeTint="BF"/>
        </w:rPr>
        <w:t xml:space="preserve"> lui accorder une prime parce qu’il a également 25 ans ou 35 ans d’ancienneté, </w:t>
      </w:r>
      <w:r w:rsidR="007C700B">
        <w:rPr>
          <w:color w:val="404040" w:themeColor="text1" w:themeTint="BF"/>
        </w:rPr>
        <w:t>il devra</w:t>
      </w:r>
      <w:r w:rsidRPr="00077BF9">
        <w:rPr>
          <w:color w:val="404040" w:themeColor="text1" w:themeTint="BF"/>
        </w:rPr>
        <w:t xml:space="preserve"> tenir compte des montants spécifiques qui peuvent être accordés en cas de départ à la retraite et qui sont bien inférieurs : maximum 35 euros par année de service avec un </w:t>
      </w:r>
      <w:r w:rsidRPr="00077BF9">
        <w:rPr>
          <w:color w:val="454545"/>
        </w:rPr>
        <w:t>minimum de 105 euros et un maximum de 875 euros.</w:t>
      </w:r>
    </w:p>
    <w:p w:rsidR="00557EDE" w:rsidRPr="00077BF9" w:rsidRDefault="00557EDE" w:rsidP="008E038F">
      <w:pPr>
        <w:spacing w:line="280" w:lineRule="exact"/>
        <w:jc w:val="both"/>
        <w:rPr>
          <w:rFonts w:cs="Arial"/>
          <w:color w:val="454545"/>
          <w:szCs w:val="20"/>
        </w:rPr>
      </w:pPr>
    </w:p>
    <w:p w:rsidR="00D167AA" w:rsidRPr="00B2472E" w:rsidRDefault="00810F5A" w:rsidP="008E038F">
      <w:pPr>
        <w:spacing w:line="280" w:lineRule="exact"/>
        <w:jc w:val="both"/>
        <w:rPr>
          <w:rFonts w:cs="Arial"/>
          <w:b/>
          <w:color w:val="00B0F0"/>
          <w:sz w:val="24"/>
        </w:rPr>
      </w:pPr>
      <w:r w:rsidRPr="00B2472E">
        <w:rPr>
          <w:b/>
          <w:color w:val="00B0F0"/>
          <w:sz w:val="24"/>
        </w:rPr>
        <w:t>Est-il possible d’</w:t>
      </w:r>
      <w:r w:rsidR="00D167AA" w:rsidRPr="00B2472E">
        <w:rPr>
          <w:b/>
          <w:color w:val="00B0F0"/>
          <w:sz w:val="24"/>
        </w:rPr>
        <w:t>octroyer des congés d’ancienneté ?</w:t>
      </w:r>
    </w:p>
    <w:p w:rsidR="00D167AA" w:rsidRPr="00077BF9" w:rsidRDefault="00D167AA" w:rsidP="008E038F">
      <w:pPr>
        <w:spacing w:line="280" w:lineRule="exact"/>
        <w:jc w:val="both"/>
        <w:rPr>
          <w:rFonts w:cs="Arial"/>
          <w:color w:val="404040" w:themeColor="text1" w:themeTint="BF"/>
          <w:szCs w:val="20"/>
        </w:rPr>
      </w:pPr>
    </w:p>
    <w:p w:rsidR="00AA055C" w:rsidRPr="00077BF9" w:rsidRDefault="007C700B" w:rsidP="00AA055C">
      <w:pPr>
        <w:spacing w:line="280" w:lineRule="exact"/>
        <w:jc w:val="both"/>
        <w:rPr>
          <w:rFonts w:cs="Arial"/>
          <w:color w:val="404040" w:themeColor="text1" w:themeTint="BF"/>
          <w:szCs w:val="20"/>
        </w:rPr>
      </w:pPr>
      <w:r>
        <w:rPr>
          <w:color w:val="404040" w:themeColor="text1" w:themeTint="BF"/>
        </w:rPr>
        <w:t>L’employeur peut récompenser les</w:t>
      </w:r>
      <w:r w:rsidR="008A783C" w:rsidRPr="00077BF9">
        <w:rPr>
          <w:color w:val="404040" w:themeColor="text1" w:themeTint="BF"/>
        </w:rPr>
        <w:t xml:space="preserve"> travailleurs qui atteignent une ancienneté déterminée en leur octroyant des jours de congé supplémentaires.</w:t>
      </w:r>
      <w:r w:rsidR="00810F5A">
        <w:rPr>
          <w:color w:val="404040" w:themeColor="text1" w:themeTint="BF"/>
        </w:rPr>
        <w:t xml:space="preserve"> </w:t>
      </w:r>
      <w:r w:rsidR="008A783C" w:rsidRPr="00077BF9">
        <w:rPr>
          <w:color w:val="404040" w:themeColor="text1" w:themeTint="BF"/>
        </w:rPr>
        <w:t xml:space="preserve">Il n’existe pas de régime légal général en </w:t>
      </w:r>
      <w:r w:rsidR="00AA055C">
        <w:rPr>
          <w:color w:val="404040" w:themeColor="text1" w:themeTint="BF"/>
        </w:rPr>
        <w:t xml:space="preserve">la </w:t>
      </w:r>
      <w:r w:rsidR="008A783C" w:rsidRPr="00077BF9">
        <w:rPr>
          <w:color w:val="404040" w:themeColor="text1" w:themeTint="BF"/>
        </w:rPr>
        <w:t xml:space="preserve">matière. </w:t>
      </w:r>
      <w:r w:rsidR="00810F5A">
        <w:rPr>
          <w:color w:val="404040" w:themeColor="text1" w:themeTint="BF"/>
        </w:rPr>
        <w:t>Toutefois,</w:t>
      </w:r>
      <w:r w:rsidR="00810F5A" w:rsidRPr="00077BF9">
        <w:rPr>
          <w:color w:val="404040" w:themeColor="text1" w:themeTint="BF"/>
        </w:rPr>
        <w:t xml:space="preserve"> </w:t>
      </w:r>
      <w:r w:rsidR="00810F5A">
        <w:rPr>
          <w:color w:val="404040" w:themeColor="text1" w:themeTint="BF"/>
        </w:rPr>
        <w:t xml:space="preserve">plusieurs </w:t>
      </w:r>
      <w:r w:rsidR="008A783C" w:rsidRPr="00077BF9">
        <w:rPr>
          <w:color w:val="404040" w:themeColor="text1" w:themeTint="BF"/>
        </w:rPr>
        <w:t>commissions paritaires accordent des jours d’ancienneté</w:t>
      </w:r>
      <w:r w:rsidR="00AA055C">
        <w:rPr>
          <w:color w:val="404040" w:themeColor="text1" w:themeTint="BF"/>
        </w:rPr>
        <w:t xml:space="preserve"> mais l’employeur est libre d’accorder des jours de congé d’ancienneté </w:t>
      </w:r>
      <w:r w:rsidR="00AA055C" w:rsidRPr="00077BF9">
        <w:rPr>
          <w:color w:val="404040" w:themeColor="text1" w:themeTint="BF"/>
        </w:rPr>
        <w:t xml:space="preserve">en plus de ce qui est déjà prévu au sein de la commission paritaire. </w:t>
      </w:r>
    </w:p>
    <w:p w:rsidR="00373431" w:rsidRPr="00077BF9" w:rsidRDefault="00373431" w:rsidP="008E038F">
      <w:pPr>
        <w:spacing w:line="280" w:lineRule="exact"/>
        <w:jc w:val="both"/>
        <w:rPr>
          <w:rFonts w:cs="Arial"/>
          <w:color w:val="404040" w:themeColor="text1" w:themeTint="BF"/>
          <w:szCs w:val="20"/>
        </w:rPr>
      </w:pPr>
    </w:p>
    <w:p w:rsidR="00373431" w:rsidRDefault="00810F5A" w:rsidP="008E038F">
      <w:pPr>
        <w:spacing w:line="280" w:lineRule="exact"/>
        <w:jc w:val="both"/>
        <w:rPr>
          <w:color w:val="404040" w:themeColor="text1" w:themeTint="BF"/>
        </w:rPr>
      </w:pPr>
      <w:r>
        <w:rPr>
          <w:color w:val="404040" w:themeColor="text1" w:themeTint="BF"/>
        </w:rPr>
        <w:t>Il déterminera alors lui-même</w:t>
      </w:r>
      <w:r w:rsidR="00373431" w:rsidRPr="00077BF9">
        <w:rPr>
          <w:color w:val="404040" w:themeColor="text1" w:themeTint="BF"/>
        </w:rPr>
        <w:t xml:space="preserve"> les conditions dans lesquelles </w:t>
      </w:r>
      <w:r>
        <w:rPr>
          <w:color w:val="404040" w:themeColor="text1" w:themeTint="BF"/>
        </w:rPr>
        <w:t>il</w:t>
      </w:r>
      <w:r w:rsidRPr="00077BF9">
        <w:rPr>
          <w:color w:val="404040" w:themeColor="text1" w:themeTint="BF"/>
        </w:rPr>
        <w:t xml:space="preserve"> </w:t>
      </w:r>
      <w:r w:rsidR="00373431" w:rsidRPr="00077BF9">
        <w:rPr>
          <w:color w:val="404040" w:themeColor="text1" w:themeTint="BF"/>
        </w:rPr>
        <w:t xml:space="preserve">souhaite accorder ce congé d’ancienneté et </w:t>
      </w:r>
      <w:r w:rsidR="00AA055C">
        <w:rPr>
          <w:color w:val="404040" w:themeColor="text1" w:themeTint="BF"/>
        </w:rPr>
        <w:t>celles-ci</w:t>
      </w:r>
      <w:r>
        <w:rPr>
          <w:color w:val="404040" w:themeColor="text1" w:themeTint="BF"/>
        </w:rPr>
        <w:t xml:space="preserve"> devront être reprises dans le</w:t>
      </w:r>
      <w:r w:rsidR="00373431" w:rsidRPr="00077BF9">
        <w:rPr>
          <w:color w:val="404040" w:themeColor="text1" w:themeTint="BF"/>
        </w:rPr>
        <w:t xml:space="preserve"> règlement de travail : les conditions d</w:t>
      </w:r>
      <w:bookmarkStart w:id="0" w:name="_GoBack"/>
      <w:bookmarkEnd w:id="0"/>
      <w:r w:rsidR="00373431" w:rsidRPr="00077BF9">
        <w:rPr>
          <w:color w:val="404040" w:themeColor="text1" w:themeTint="BF"/>
        </w:rPr>
        <w:t xml:space="preserve">’ancienneté (5 ans, 10 ans…), le calcul au prorata pour les travailleurs à temps partiel, l’ordre dans lequel les différents types de congés sont pris, </w:t>
      </w:r>
      <w:r w:rsidR="00827118" w:rsidRPr="00077BF9">
        <w:rPr>
          <w:color w:val="404040" w:themeColor="text1" w:themeTint="BF"/>
        </w:rPr>
        <w:t>la possibilité de reporter ou non le congé d’ancienneté aux années suivantes</w:t>
      </w:r>
      <w:r w:rsidR="00AA055C">
        <w:rPr>
          <w:color w:val="404040" w:themeColor="text1" w:themeTint="BF"/>
        </w:rPr>
        <w:t>, etc.</w:t>
      </w:r>
    </w:p>
    <w:p w:rsidR="00B2472E" w:rsidRDefault="00B2472E" w:rsidP="008E038F">
      <w:pPr>
        <w:spacing w:line="280" w:lineRule="exact"/>
        <w:jc w:val="both"/>
        <w:rPr>
          <w:color w:val="404040" w:themeColor="text1" w:themeTint="BF"/>
        </w:rPr>
      </w:pPr>
    </w:p>
    <w:p w:rsidR="00B2472E" w:rsidRPr="00077BF9" w:rsidRDefault="00B2472E" w:rsidP="00B2472E">
      <w:pPr>
        <w:spacing w:line="280" w:lineRule="exact"/>
        <w:jc w:val="center"/>
        <w:rPr>
          <w:rFonts w:cs="Arial"/>
          <w:color w:val="404040" w:themeColor="text1" w:themeTint="BF"/>
          <w:szCs w:val="20"/>
        </w:rPr>
      </w:pPr>
      <w:r>
        <w:rPr>
          <w:color w:val="404040" w:themeColor="text1" w:themeTint="BF"/>
        </w:rPr>
        <w:t>***</w:t>
      </w:r>
    </w:p>
    <w:p w:rsidR="00827118" w:rsidRPr="00077BF9" w:rsidRDefault="00827118" w:rsidP="008E038F">
      <w:pPr>
        <w:spacing w:line="280" w:lineRule="exact"/>
        <w:jc w:val="both"/>
        <w:rPr>
          <w:rFonts w:cs="Arial"/>
          <w:color w:val="404040" w:themeColor="text1" w:themeTint="BF"/>
          <w:szCs w:val="20"/>
        </w:rPr>
      </w:pPr>
    </w:p>
    <w:p w:rsidR="00BF365E" w:rsidRPr="00B2472E" w:rsidRDefault="00BF365E" w:rsidP="00BF365E">
      <w:pPr>
        <w:rPr>
          <w:b/>
          <w:color w:val="404040" w:themeColor="text1" w:themeTint="BF"/>
          <w:sz w:val="18"/>
          <w:szCs w:val="18"/>
        </w:rPr>
      </w:pPr>
      <w:r w:rsidRPr="00B2472E">
        <w:rPr>
          <w:b/>
          <w:color w:val="404040" w:themeColor="text1" w:themeTint="BF"/>
          <w:sz w:val="18"/>
          <w:szCs w:val="18"/>
        </w:rPr>
        <w:t xml:space="preserve">À propos de </w:t>
      </w:r>
      <w:proofErr w:type="spellStart"/>
      <w:r w:rsidRPr="00B2472E">
        <w:rPr>
          <w:b/>
          <w:color w:val="404040" w:themeColor="text1" w:themeTint="BF"/>
          <w:sz w:val="18"/>
          <w:szCs w:val="18"/>
        </w:rPr>
        <w:t>Partena</w:t>
      </w:r>
      <w:proofErr w:type="spellEnd"/>
      <w:r w:rsidRPr="00B2472E">
        <w:rPr>
          <w:b/>
          <w:color w:val="404040" w:themeColor="text1" w:themeTint="BF"/>
          <w:sz w:val="18"/>
          <w:szCs w:val="18"/>
        </w:rPr>
        <w:t xml:space="preserve"> Professional</w:t>
      </w:r>
    </w:p>
    <w:p w:rsidR="00BF365E" w:rsidRPr="00B2472E" w:rsidRDefault="00BF365E" w:rsidP="00BF365E">
      <w:pPr>
        <w:rPr>
          <w:color w:val="404040" w:themeColor="text1" w:themeTint="BF"/>
          <w:sz w:val="18"/>
          <w:szCs w:val="18"/>
        </w:rPr>
      </w:pPr>
      <w:proofErr w:type="spellStart"/>
      <w:r w:rsidRPr="00B2472E">
        <w:rPr>
          <w:color w:val="404040" w:themeColor="text1" w:themeTint="BF"/>
          <w:sz w:val="18"/>
          <w:szCs w:val="18"/>
        </w:rPr>
        <w:t>Partena</w:t>
      </w:r>
      <w:proofErr w:type="spellEnd"/>
      <w:r w:rsidRPr="00B2472E">
        <w:rPr>
          <w:color w:val="404040" w:themeColor="text1" w:themeTint="BF"/>
          <w:sz w:val="18"/>
          <w:szCs w:val="18"/>
        </w:rPr>
        <w:t xml:space="preserve"> Professional est un prestataire de services qui met résolument l’accent sur l’entrepreneuriat et la gestion du personnel.</w:t>
      </w:r>
      <w:r w:rsidRPr="00B2472E">
        <w:rPr>
          <w:color w:val="404040" w:themeColor="text1" w:themeTint="BF"/>
          <w:sz w:val="18"/>
          <w:szCs w:val="18"/>
        </w:rPr>
        <w:br/>
      </w:r>
      <w:proofErr w:type="spellStart"/>
      <w:r w:rsidRPr="00B2472E">
        <w:rPr>
          <w:color w:val="404040" w:themeColor="text1" w:themeTint="BF"/>
          <w:sz w:val="18"/>
          <w:szCs w:val="18"/>
        </w:rPr>
        <w:t>Partena</w:t>
      </w:r>
      <w:proofErr w:type="spellEnd"/>
      <w:r w:rsidRPr="00B2472E">
        <w:rPr>
          <w:color w:val="404040" w:themeColor="text1" w:themeTint="BF"/>
          <w:sz w:val="18"/>
          <w:szCs w:val="18"/>
        </w:rPr>
        <w:t xml:space="preserve"> Professional soutient et accompagne les starters, PME et grandes entreprises dans leurs démarches administratives et leur politique RH. Nous proposons des services en rapport avec la création d’entreprises, le statut social des indépendants, la gestion de la paie, du personnel et de ses allocations familiales, le contrôle médical en cas d’absentéisme, des formations, du conseil juridique et tout type de consultance RH.</w:t>
      </w:r>
    </w:p>
    <w:p w:rsidR="00BF365E" w:rsidRPr="00B2472E" w:rsidRDefault="00BF365E" w:rsidP="00BF365E">
      <w:pPr>
        <w:rPr>
          <w:color w:val="404040" w:themeColor="text1" w:themeTint="BF"/>
          <w:sz w:val="18"/>
          <w:szCs w:val="18"/>
        </w:rPr>
      </w:pPr>
      <w:r w:rsidRPr="00B2472E">
        <w:rPr>
          <w:color w:val="404040" w:themeColor="text1" w:themeTint="BF"/>
          <w:sz w:val="18"/>
          <w:szCs w:val="18"/>
        </w:rPr>
        <w:t xml:space="preserve">Depuis 2012, </w:t>
      </w:r>
      <w:proofErr w:type="spellStart"/>
      <w:r w:rsidRPr="00B2472E">
        <w:rPr>
          <w:color w:val="404040" w:themeColor="text1" w:themeTint="BF"/>
          <w:sz w:val="18"/>
          <w:szCs w:val="18"/>
        </w:rPr>
        <w:t>Partena</w:t>
      </w:r>
      <w:proofErr w:type="spellEnd"/>
      <w:r w:rsidRPr="00B2472E">
        <w:rPr>
          <w:color w:val="404040" w:themeColor="text1" w:themeTint="BF"/>
          <w:sz w:val="18"/>
          <w:szCs w:val="18"/>
        </w:rPr>
        <w:t xml:space="preserve"> et HDP forment </w:t>
      </w:r>
      <w:proofErr w:type="spellStart"/>
      <w:r w:rsidRPr="00B2472E">
        <w:rPr>
          <w:color w:val="404040" w:themeColor="text1" w:themeTint="BF"/>
          <w:sz w:val="18"/>
          <w:szCs w:val="18"/>
        </w:rPr>
        <w:t>Partena</w:t>
      </w:r>
      <w:proofErr w:type="spellEnd"/>
      <w:r w:rsidRPr="00B2472E">
        <w:rPr>
          <w:color w:val="404040" w:themeColor="text1" w:themeTint="BF"/>
          <w:sz w:val="18"/>
          <w:szCs w:val="18"/>
        </w:rPr>
        <w:t xml:space="preserve"> Professional. Quelque 1 500 collaborateurs sont au service de plus de 200 000 entreprises et indépendants et réalisent 150 millions d’euros de chiffre d’affaires par an. </w:t>
      </w:r>
      <w:proofErr w:type="spellStart"/>
      <w:r w:rsidRPr="00B2472E">
        <w:rPr>
          <w:color w:val="404040" w:themeColor="text1" w:themeTint="BF"/>
          <w:sz w:val="18"/>
          <w:szCs w:val="18"/>
        </w:rPr>
        <w:t>Partena</w:t>
      </w:r>
      <w:proofErr w:type="spellEnd"/>
      <w:r w:rsidRPr="00B2472E">
        <w:rPr>
          <w:color w:val="404040" w:themeColor="text1" w:themeTint="BF"/>
          <w:sz w:val="18"/>
          <w:szCs w:val="18"/>
        </w:rPr>
        <w:t xml:space="preserve"> Professional figure ainsi parmi les trois principaux acteurs du marché belge.</w:t>
      </w:r>
    </w:p>
    <w:p w:rsidR="00BF365E" w:rsidRPr="00B2472E" w:rsidRDefault="00BF365E" w:rsidP="00BF365E">
      <w:pPr>
        <w:rPr>
          <w:color w:val="404040" w:themeColor="text1" w:themeTint="BF"/>
          <w:sz w:val="18"/>
          <w:szCs w:val="18"/>
        </w:rPr>
      </w:pPr>
    </w:p>
    <w:p w:rsidR="00BF365E" w:rsidRPr="00B2472E" w:rsidRDefault="00BF365E" w:rsidP="00BF365E">
      <w:pPr>
        <w:rPr>
          <w:color w:val="404040" w:themeColor="text1" w:themeTint="BF"/>
          <w:sz w:val="18"/>
          <w:szCs w:val="18"/>
        </w:rPr>
      </w:pPr>
      <w:r w:rsidRPr="00B2472E">
        <w:rPr>
          <w:color w:val="404040" w:themeColor="text1" w:themeTint="BF"/>
          <w:sz w:val="18"/>
          <w:szCs w:val="18"/>
        </w:rPr>
        <w:t xml:space="preserve">Plus d’informations sur </w:t>
      </w:r>
      <w:hyperlink r:id="rId8" w:history="1">
        <w:r w:rsidRPr="00B2472E">
          <w:rPr>
            <w:color w:val="404040" w:themeColor="text1" w:themeTint="BF"/>
            <w:sz w:val="18"/>
            <w:szCs w:val="18"/>
          </w:rPr>
          <w:t>www.partena-professional.be</w:t>
        </w:r>
      </w:hyperlink>
      <w:r w:rsidRPr="00B2472E">
        <w:rPr>
          <w:color w:val="404040" w:themeColor="text1" w:themeTint="BF"/>
          <w:sz w:val="18"/>
          <w:szCs w:val="18"/>
        </w:rPr>
        <w:t xml:space="preserve"> </w:t>
      </w:r>
    </w:p>
    <w:p w:rsidR="00BF365E" w:rsidRPr="00520B8A" w:rsidRDefault="00BF365E" w:rsidP="00BF365E">
      <w:pPr>
        <w:rPr>
          <w:rFonts w:cs="Arial"/>
          <w:sz w:val="22"/>
          <w:szCs w:val="22"/>
          <w:lang w:val="sv-SE"/>
        </w:rPr>
      </w:pPr>
    </w:p>
    <w:p w:rsidR="00641381" w:rsidRPr="00077BF9" w:rsidRDefault="00641381" w:rsidP="00AD6F9D">
      <w:pPr>
        <w:spacing w:line="280" w:lineRule="exact"/>
        <w:jc w:val="both"/>
        <w:rPr>
          <w:bCs/>
          <w:szCs w:val="20"/>
        </w:rPr>
      </w:pPr>
    </w:p>
    <w:p w:rsidR="00AD6F9D" w:rsidRPr="00077BF9" w:rsidRDefault="00AD6F9D" w:rsidP="0040497D">
      <w:pPr>
        <w:spacing w:line="280" w:lineRule="exact"/>
        <w:rPr>
          <w:rFonts w:cs="Arial"/>
          <w:szCs w:val="20"/>
        </w:rPr>
      </w:pPr>
    </w:p>
    <w:p w:rsidR="004E4884" w:rsidRPr="00077BF9" w:rsidRDefault="004E4884" w:rsidP="0040497D">
      <w:pPr>
        <w:spacing w:line="280" w:lineRule="exact"/>
        <w:rPr>
          <w:rFonts w:cs="Arial"/>
          <w:szCs w:val="20"/>
        </w:rPr>
      </w:pPr>
    </w:p>
    <w:p w:rsidR="002960B1" w:rsidRPr="00077BF9" w:rsidRDefault="002960B1" w:rsidP="00520B8A">
      <w:pPr>
        <w:rPr>
          <w:rFonts w:cs="Arial"/>
          <w:sz w:val="22"/>
          <w:szCs w:val="22"/>
        </w:rPr>
      </w:pPr>
    </w:p>
    <w:sectPr w:rsidR="002960B1" w:rsidRPr="00077BF9" w:rsidSect="00F13C96">
      <w:headerReference w:type="default" r:id="rId9"/>
      <w:footerReference w:type="default" r:id="rId10"/>
      <w:pgSz w:w="11907" w:h="16840" w:code="9"/>
      <w:pgMar w:top="1418" w:right="1134" w:bottom="1134" w:left="1418" w:header="68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4F1" w:rsidRDefault="003D24F1">
      <w:r>
        <w:separator/>
      </w:r>
    </w:p>
  </w:endnote>
  <w:endnote w:type="continuationSeparator" w:id="0">
    <w:p w:rsidR="003D24F1" w:rsidRDefault="003D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F5A" w:rsidRPr="00CB07BB" w:rsidRDefault="00810F5A">
    <w:pPr>
      <w:pStyle w:val="Footer"/>
      <w:rPr>
        <w:rFonts w:ascii="Arial" w:hAnsi="Arial" w:cs="Arial"/>
        <w:sz w:val="16"/>
      </w:rPr>
    </w:pPr>
    <w:r>
      <w:rPr>
        <w:noProof/>
        <w:lang w:val="nl-BE" w:eastAsia="nl-BE" w:bidi="ar-SA"/>
      </w:rPr>
      <mc:AlternateContent>
        <mc:Choice Requires="wps">
          <w:drawing>
            <wp:anchor distT="4294967293" distB="4294967293" distL="114300" distR="114300" simplePos="0" relativeHeight="251659264" behindDoc="0" locked="0" layoutInCell="1" allowOverlap="1">
              <wp:simplePos x="0" y="0"/>
              <wp:positionH relativeFrom="column">
                <wp:posOffset>-36195</wp:posOffset>
              </wp:positionH>
              <wp:positionV relativeFrom="paragraph">
                <wp:posOffset>-45720</wp:posOffset>
              </wp:positionV>
              <wp:extent cx="6132195" cy="0"/>
              <wp:effectExtent l="6985" t="7620" r="13970"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9525">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35864202" id="Line 1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pt,-3.6pt" to="4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" strokecolor="#f6a500"/>
          </w:pict>
        </mc:Fallback>
      </mc:AlternateContent>
    </w:r>
    <w:r>
      <w:rPr>
        <w:noProof/>
        <w:lang w:val="nl-BE" w:eastAsia="nl-BE" w:bidi="ar-SA"/>
      </w:rPr>
      <mc:AlternateContent>
        <mc:Choice Requires="wps">
          <w:drawing>
            <wp:anchor distT="0" distB="0" distL="114300" distR="114300" simplePos="0" relativeHeight="251656192" behindDoc="0" locked="0" layoutInCell="1" allowOverlap="1">
              <wp:simplePos x="0" y="0"/>
              <wp:positionH relativeFrom="column">
                <wp:posOffset>5842000</wp:posOffset>
              </wp:positionH>
              <wp:positionV relativeFrom="paragraph">
                <wp:posOffset>-55245</wp:posOffset>
              </wp:positionV>
              <wp:extent cx="571500" cy="228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F5A" w:rsidRDefault="00810F5A">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620507">
                            <w:rPr>
                              <w:rStyle w:val="PageNumber"/>
                              <w:rFonts w:cs="Arial"/>
                              <w:noProof/>
                              <w:sz w:val="16"/>
                            </w:rPr>
                            <w:t>1</w:t>
                          </w:r>
                          <w:r w:rsidRPr="00513D1D">
                            <w:rPr>
                              <w:rStyle w:val="PageNumber"/>
                              <w:rFonts w:cs="Arial"/>
                              <w:sz w:val="16"/>
                            </w:rPr>
                            <w:fldChar w:fldCharType="end"/>
                          </w:r>
                          <w:r>
                            <w:rPr>
                              <w:rStyle w:val="PageNumber"/>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620507">
                            <w:rPr>
                              <w:rStyle w:val="PageNumber"/>
                              <w:rFonts w:cs="Arial"/>
                              <w:noProof/>
                              <w:sz w:val="16"/>
                            </w:rPr>
                            <w:t>3</w:t>
                          </w:r>
                          <w:r w:rsidRPr="00513D1D">
                            <w:rPr>
                              <w:rStyle w:val="PageNumber"/>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60pt;margin-top:-4.35pt;width: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" filled="f" stroked="f">
              <v:textbox>
                <w:txbxContent>
                  <w:p w:rsidR="00810F5A" w:rsidRDefault="00810F5A">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620507">
                      <w:rPr>
                        <w:rStyle w:val="PageNumber"/>
                        <w:rFonts w:cs="Arial"/>
                        <w:noProof/>
                        <w:sz w:val="16"/>
                      </w:rPr>
                      <w:t>1</w:t>
                    </w:r>
                    <w:r w:rsidRPr="00513D1D">
                      <w:rPr>
                        <w:rStyle w:val="PageNumber"/>
                        <w:rFonts w:cs="Arial"/>
                        <w:sz w:val="16"/>
                      </w:rPr>
                      <w:fldChar w:fldCharType="end"/>
                    </w:r>
                    <w:r>
                      <w:rPr>
                        <w:rStyle w:val="PageNumber"/>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620507">
                      <w:rPr>
                        <w:rStyle w:val="PageNumber"/>
                        <w:rFonts w:cs="Arial"/>
                        <w:noProof/>
                        <w:sz w:val="16"/>
                      </w:rPr>
                      <w:t>3</w:t>
                    </w:r>
                    <w:r w:rsidRPr="00513D1D">
                      <w:rPr>
                        <w:rStyle w:val="PageNumber"/>
                        <w:rFonts w:cs="Arial"/>
                        <w:sz w:val="16"/>
                      </w:rPr>
                      <w:fldChar w:fldCharType="end"/>
                    </w:r>
                  </w:p>
                </w:txbxContent>
              </v:textbox>
            </v:shape>
          </w:pict>
        </mc:Fallback>
      </mc:AlternateContent>
    </w:r>
    <w:r w:rsidR="00F06682">
      <w:rPr>
        <w:rFonts w:ascii="Arial" w:hAnsi="Arial"/>
        <w:sz w:val="16"/>
      </w:rPr>
      <w:t xml:space="preserve">Mars </w:t>
    </w:r>
    <w:r>
      <w:rPr>
        <w:rFonts w:ascii="Arial" w:hAnsi="Arial"/>
        <w:sz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4F1" w:rsidRDefault="003D24F1">
      <w:r>
        <w:separator/>
      </w:r>
    </w:p>
  </w:footnote>
  <w:footnote w:type="continuationSeparator" w:id="0">
    <w:p w:rsidR="003D24F1" w:rsidRDefault="003D2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F5A" w:rsidRDefault="00810F5A" w:rsidP="00CC3F32">
    <w:pPr>
      <w:pStyle w:val="Header"/>
      <w:jc w:val="center"/>
    </w:pPr>
    <w:r>
      <w:rPr>
        <w:noProof/>
        <w:lang w:val="nl-BE" w:eastAsia="nl-BE" w:bidi="ar-SA"/>
      </w:rPr>
      <w:drawing>
        <wp:inline distT="0" distB="0" distL="0" distR="0">
          <wp:extent cx="1872000" cy="695314"/>
          <wp:effectExtent l="19050" t="0" r="0" b="0"/>
          <wp:docPr id="1" name="Picture 1" descr="\\ss-bxl-s-003\groupdir\G-SS-Marketing\COMMUNICATION\CORPORATE\Branding\LOGOS\PNG\Logo_Profess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xl-s-003\groupdir\G-SS-Marketing\COMMUNICATION\CORPORATE\Branding\LOGOS\PNG\Logo_Professional.png"/>
                  <pic:cNvPicPr>
                    <a:picLocks noChangeAspect="1" noChangeArrowheads="1"/>
                  </pic:cNvPicPr>
                </pic:nvPicPr>
                <pic:blipFill>
                  <a:blip r:embed="rId1"/>
                  <a:srcRect/>
                  <a:stretch>
                    <a:fillRect/>
                  </a:stretch>
                </pic:blipFill>
                <pic:spPr bwMode="auto">
                  <a:xfrm>
                    <a:off x="0" y="0"/>
                    <a:ext cx="1872000" cy="695314"/>
                  </a:xfrm>
                  <a:prstGeom prst="rect">
                    <a:avLst/>
                  </a:prstGeom>
                  <a:noFill/>
                  <a:ln w="9525">
                    <a:noFill/>
                    <a:miter lim="800000"/>
                    <a:headEnd/>
                    <a:tailEnd/>
                  </a:ln>
                </pic:spPr>
              </pic:pic>
            </a:graphicData>
          </a:graphic>
        </wp:inline>
      </w:drawing>
    </w:r>
  </w:p>
  <w:p w:rsidR="00810F5A" w:rsidRDefault="00810F5A" w:rsidP="00CC3F3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CD6"/>
    <w:multiLevelType w:val="hybridMultilevel"/>
    <w:tmpl w:val="CE9CC7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873873"/>
    <w:multiLevelType w:val="hybridMultilevel"/>
    <w:tmpl w:val="B2FA986E"/>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827700"/>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6B5416"/>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42669B"/>
    <w:multiLevelType w:val="hybridMultilevel"/>
    <w:tmpl w:val="213A368E"/>
    <w:lvl w:ilvl="0" w:tplc="BF1C0518">
      <w:start w:val="1"/>
      <w:numFmt w:val="bullet"/>
      <w:lvlText w:val=""/>
      <w:lvlJc w:val="left"/>
      <w:pPr>
        <w:tabs>
          <w:tab w:val="num" w:pos="720"/>
        </w:tabs>
        <w:ind w:left="720" w:hanging="360"/>
      </w:pPr>
      <w:rPr>
        <w:rFonts w:ascii="Wingdings" w:hAnsi="Wingdings" w:hint="default"/>
        <w:color w:val="6CA02F"/>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DB6452"/>
    <w:multiLevelType w:val="hybridMultilevel"/>
    <w:tmpl w:val="F6C0C67C"/>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F2458A"/>
    <w:multiLevelType w:val="hybridMultilevel"/>
    <w:tmpl w:val="57FAAB2A"/>
    <w:lvl w:ilvl="0" w:tplc="6E1ED69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57A5F"/>
    <w:multiLevelType w:val="hybridMultilevel"/>
    <w:tmpl w:val="C484A9A8"/>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B83C0D"/>
    <w:multiLevelType w:val="hybridMultilevel"/>
    <w:tmpl w:val="595A5E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2B46D2"/>
    <w:multiLevelType w:val="hybridMultilevel"/>
    <w:tmpl w:val="4102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E2325"/>
    <w:multiLevelType w:val="hybridMultilevel"/>
    <w:tmpl w:val="AE626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4408E"/>
    <w:multiLevelType w:val="hybridMultilevel"/>
    <w:tmpl w:val="AC2A63F0"/>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73F94"/>
    <w:multiLevelType w:val="hybridMultilevel"/>
    <w:tmpl w:val="981AC4D2"/>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6340AD"/>
    <w:multiLevelType w:val="hybridMultilevel"/>
    <w:tmpl w:val="CB6C974E"/>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0F56EE"/>
    <w:multiLevelType w:val="hybridMultilevel"/>
    <w:tmpl w:val="7844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F03FC"/>
    <w:multiLevelType w:val="hybridMultilevel"/>
    <w:tmpl w:val="1806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E56C29"/>
    <w:multiLevelType w:val="hybridMultilevel"/>
    <w:tmpl w:val="4650C7CA"/>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B931B5"/>
    <w:multiLevelType w:val="hybridMultilevel"/>
    <w:tmpl w:val="699047DA"/>
    <w:lvl w:ilvl="0" w:tplc="6446570C">
      <w:start w:val="2"/>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3A6945"/>
    <w:multiLevelType w:val="hybridMultilevel"/>
    <w:tmpl w:val="A1E4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652A73"/>
    <w:multiLevelType w:val="hybridMultilevel"/>
    <w:tmpl w:val="7862D4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7F356957"/>
    <w:multiLevelType w:val="hybridMultilevel"/>
    <w:tmpl w:val="D6E2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6"/>
  </w:num>
  <w:num w:numId="4">
    <w:abstractNumId w:val="8"/>
  </w:num>
  <w:num w:numId="5">
    <w:abstractNumId w:val="2"/>
  </w:num>
  <w:num w:numId="6">
    <w:abstractNumId w:val="7"/>
  </w:num>
  <w:num w:numId="7">
    <w:abstractNumId w:val="3"/>
  </w:num>
  <w:num w:numId="8">
    <w:abstractNumId w:val="5"/>
  </w:num>
  <w:num w:numId="9">
    <w:abstractNumId w:val="17"/>
  </w:num>
  <w:num w:numId="10">
    <w:abstractNumId w:val="11"/>
  </w:num>
  <w:num w:numId="11">
    <w:abstractNumId w:val="12"/>
  </w:num>
  <w:num w:numId="12">
    <w:abstractNumId w:val="4"/>
  </w:num>
  <w:num w:numId="13">
    <w:abstractNumId w:val="18"/>
  </w:num>
  <w:num w:numId="14">
    <w:abstractNumId w:val="9"/>
  </w:num>
  <w:num w:numId="15">
    <w:abstractNumId w:val="10"/>
  </w:num>
  <w:num w:numId="16">
    <w:abstractNumId w:val="20"/>
  </w:num>
  <w:num w:numId="17">
    <w:abstractNumId w:val="14"/>
  </w:num>
  <w:num w:numId="18">
    <w:abstractNumId w:val="15"/>
  </w:num>
  <w:num w:numId="19">
    <w:abstractNumId w:val="19"/>
  </w:num>
  <w:num w:numId="20">
    <w:abstractNumId w:val="6"/>
  </w:num>
  <w:num w:numId="2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DE"/>
    <w:rsid w:val="00000832"/>
    <w:rsid w:val="00001F93"/>
    <w:rsid w:val="000066F1"/>
    <w:rsid w:val="0000796A"/>
    <w:rsid w:val="0003119A"/>
    <w:rsid w:val="0003362C"/>
    <w:rsid w:val="00033975"/>
    <w:rsid w:val="00037320"/>
    <w:rsid w:val="00037DBF"/>
    <w:rsid w:val="00037F58"/>
    <w:rsid w:val="00041292"/>
    <w:rsid w:val="00043B84"/>
    <w:rsid w:val="000500ED"/>
    <w:rsid w:val="00050ABC"/>
    <w:rsid w:val="0005144F"/>
    <w:rsid w:val="000562B4"/>
    <w:rsid w:val="00062A21"/>
    <w:rsid w:val="00063A7A"/>
    <w:rsid w:val="00065597"/>
    <w:rsid w:val="00066118"/>
    <w:rsid w:val="000679D9"/>
    <w:rsid w:val="00067EF7"/>
    <w:rsid w:val="00071D95"/>
    <w:rsid w:val="00072460"/>
    <w:rsid w:val="000768BA"/>
    <w:rsid w:val="00077BF9"/>
    <w:rsid w:val="000800C2"/>
    <w:rsid w:val="00084AE7"/>
    <w:rsid w:val="00092A5D"/>
    <w:rsid w:val="00096AE0"/>
    <w:rsid w:val="000A2C4A"/>
    <w:rsid w:val="000A417D"/>
    <w:rsid w:val="000A4D91"/>
    <w:rsid w:val="000A7189"/>
    <w:rsid w:val="000A7B84"/>
    <w:rsid w:val="000B0E86"/>
    <w:rsid w:val="000B287A"/>
    <w:rsid w:val="000B3D6C"/>
    <w:rsid w:val="000B4E82"/>
    <w:rsid w:val="000B5F0E"/>
    <w:rsid w:val="000B75B5"/>
    <w:rsid w:val="000B79ED"/>
    <w:rsid w:val="000C0582"/>
    <w:rsid w:val="000C2D45"/>
    <w:rsid w:val="000C3B4C"/>
    <w:rsid w:val="000D1133"/>
    <w:rsid w:val="000D2124"/>
    <w:rsid w:val="000D305B"/>
    <w:rsid w:val="000D37A9"/>
    <w:rsid w:val="000E17DF"/>
    <w:rsid w:val="000E20AC"/>
    <w:rsid w:val="000E2C81"/>
    <w:rsid w:val="000E3173"/>
    <w:rsid w:val="000F21B0"/>
    <w:rsid w:val="000F231C"/>
    <w:rsid w:val="000F384D"/>
    <w:rsid w:val="000F4C96"/>
    <w:rsid w:val="0010043C"/>
    <w:rsid w:val="00101A19"/>
    <w:rsid w:val="00101B91"/>
    <w:rsid w:val="00102733"/>
    <w:rsid w:val="0010332D"/>
    <w:rsid w:val="00104823"/>
    <w:rsid w:val="00105CC6"/>
    <w:rsid w:val="00105FE8"/>
    <w:rsid w:val="00112946"/>
    <w:rsid w:val="001176E8"/>
    <w:rsid w:val="0012086F"/>
    <w:rsid w:val="00125155"/>
    <w:rsid w:val="001312F8"/>
    <w:rsid w:val="001325CE"/>
    <w:rsid w:val="00133D2C"/>
    <w:rsid w:val="00136198"/>
    <w:rsid w:val="00136C40"/>
    <w:rsid w:val="001375AB"/>
    <w:rsid w:val="00142FC4"/>
    <w:rsid w:val="00143379"/>
    <w:rsid w:val="00143F6F"/>
    <w:rsid w:val="0015160D"/>
    <w:rsid w:val="001537DB"/>
    <w:rsid w:val="00153C97"/>
    <w:rsid w:val="0015756A"/>
    <w:rsid w:val="001601C9"/>
    <w:rsid w:val="00160B36"/>
    <w:rsid w:val="0016242A"/>
    <w:rsid w:val="0017505D"/>
    <w:rsid w:val="001805C7"/>
    <w:rsid w:val="00187E6F"/>
    <w:rsid w:val="001A0394"/>
    <w:rsid w:val="001A38CD"/>
    <w:rsid w:val="001A3B58"/>
    <w:rsid w:val="001A53ED"/>
    <w:rsid w:val="001B3B64"/>
    <w:rsid w:val="001B603D"/>
    <w:rsid w:val="001B6808"/>
    <w:rsid w:val="001C3351"/>
    <w:rsid w:val="001C47EF"/>
    <w:rsid w:val="001C4B35"/>
    <w:rsid w:val="001D2025"/>
    <w:rsid w:val="001D3422"/>
    <w:rsid w:val="001D50CD"/>
    <w:rsid w:val="001D64C1"/>
    <w:rsid w:val="001D65EA"/>
    <w:rsid w:val="001E1168"/>
    <w:rsid w:val="001E157E"/>
    <w:rsid w:val="001E4D6F"/>
    <w:rsid w:val="001E6622"/>
    <w:rsid w:val="001E7C16"/>
    <w:rsid w:val="001F24D4"/>
    <w:rsid w:val="001F2561"/>
    <w:rsid w:val="001F3E08"/>
    <w:rsid w:val="00200458"/>
    <w:rsid w:val="00205944"/>
    <w:rsid w:val="00210E83"/>
    <w:rsid w:val="00215BC8"/>
    <w:rsid w:val="002162D9"/>
    <w:rsid w:val="002163E3"/>
    <w:rsid w:val="00217391"/>
    <w:rsid w:val="0022384C"/>
    <w:rsid w:val="00224327"/>
    <w:rsid w:val="00224910"/>
    <w:rsid w:val="00232A38"/>
    <w:rsid w:val="00233861"/>
    <w:rsid w:val="00237398"/>
    <w:rsid w:val="00237412"/>
    <w:rsid w:val="002430CD"/>
    <w:rsid w:val="00245611"/>
    <w:rsid w:val="00254CCF"/>
    <w:rsid w:val="00260AD8"/>
    <w:rsid w:val="00262F71"/>
    <w:rsid w:val="0027610F"/>
    <w:rsid w:val="00281109"/>
    <w:rsid w:val="00282A40"/>
    <w:rsid w:val="00290EF5"/>
    <w:rsid w:val="002960B1"/>
    <w:rsid w:val="002963DE"/>
    <w:rsid w:val="002971E3"/>
    <w:rsid w:val="002A0503"/>
    <w:rsid w:val="002A08D0"/>
    <w:rsid w:val="002A3A4D"/>
    <w:rsid w:val="002A451B"/>
    <w:rsid w:val="002B31FC"/>
    <w:rsid w:val="002B7226"/>
    <w:rsid w:val="002C0F73"/>
    <w:rsid w:val="002C1C53"/>
    <w:rsid w:val="002C1CFF"/>
    <w:rsid w:val="002C2322"/>
    <w:rsid w:val="002C351C"/>
    <w:rsid w:val="002C59CA"/>
    <w:rsid w:val="002C6179"/>
    <w:rsid w:val="002C7E4C"/>
    <w:rsid w:val="002D5C10"/>
    <w:rsid w:val="002E1070"/>
    <w:rsid w:val="002E5C23"/>
    <w:rsid w:val="002E60CC"/>
    <w:rsid w:val="002E6354"/>
    <w:rsid w:val="002F79FB"/>
    <w:rsid w:val="002F7B36"/>
    <w:rsid w:val="0030464C"/>
    <w:rsid w:val="00304C97"/>
    <w:rsid w:val="0030570C"/>
    <w:rsid w:val="00310BAF"/>
    <w:rsid w:val="00310D25"/>
    <w:rsid w:val="00314EEF"/>
    <w:rsid w:val="00323945"/>
    <w:rsid w:val="00326245"/>
    <w:rsid w:val="00326C0C"/>
    <w:rsid w:val="00326EB7"/>
    <w:rsid w:val="00327DFC"/>
    <w:rsid w:val="00332748"/>
    <w:rsid w:val="00335E45"/>
    <w:rsid w:val="003368EA"/>
    <w:rsid w:val="00336C74"/>
    <w:rsid w:val="00336F32"/>
    <w:rsid w:val="00340B69"/>
    <w:rsid w:val="0034336B"/>
    <w:rsid w:val="00347781"/>
    <w:rsid w:val="00350675"/>
    <w:rsid w:val="00352E59"/>
    <w:rsid w:val="00356146"/>
    <w:rsid w:val="003561D9"/>
    <w:rsid w:val="0036158C"/>
    <w:rsid w:val="00363740"/>
    <w:rsid w:val="00364A6C"/>
    <w:rsid w:val="00366C35"/>
    <w:rsid w:val="0037037E"/>
    <w:rsid w:val="003706F6"/>
    <w:rsid w:val="00370C5B"/>
    <w:rsid w:val="00373431"/>
    <w:rsid w:val="003800A2"/>
    <w:rsid w:val="00384EE9"/>
    <w:rsid w:val="003853C7"/>
    <w:rsid w:val="003907A4"/>
    <w:rsid w:val="00394C01"/>
    <w:rsid w:val="00395B40"/>
    <w:rsid w:val="00395F66"/>
    <w:rsid w:val="003971C5"/>
    <w:rsid w:val="003A67B7"/>
    <w:rsid w:val="003A72DF"/>
    <w:rsid w:val="003B0BC4"/>
    <w:rsid w:val="003B23A1"/>
    <w:rsid w:val="003B2EF1"/>
    <w:rsid w:val="003B39AA"/>
    <w:rsid w:val="003C5148"/>
    <w:rsid w:val="003C6862"/>
    <w:rsid w:val="003D0FC0"/>
    <w:rsid w:val="003D24F1"/>
    <w:rsid w:val="003D29E5"/>
    <w:rsid w:val="003D2D44"/>
    <w:rsid w:val="003D2EFA"/>
    <w:rsid w:val="003D4A7D"/>
    <w:rsid w:val="003D5368"/>
    <w:rsid w:val="003D5DD7"/>
    <w:rsid w:val="003D6A1E"/>
    <w:rsid w:val="003D7B4F"/>
    <w:rsid w:val="003E2F70"/>
    <w:rsid w:val="003E3A65"/>
    <w:rsid w:val="003E40BC"/>
    <w:rsid w:val="003E5E28"/>
    <w:rsid w:val="003F1046"/>
    <w:rsid w:val="003F1376"/>
    <w:rsid w:val="003F1EF6"/>
    <w:rsid w:val="003F6949"/>
    <w:rsid w:val="003F72A2"/>
    <w:rsid w:val="00401562"/>
    <w:rsid w:val="004028DE"/>
    <w:rsid w:val="00402CC6"/>
    <w:rsid w:val="00403541"/>
    <w:rsid w:val="0040497D"/>
    <w:rsid w:val="004106B1"/>
    <w:rsid w:val="00416E79"/>
    <w:rsid w:val="00422FFB"/>
    <w:rsid w:val="00430958"/>
    <w:rsid w:val="00432F5D"/>
    <w:rsid w:val="00433113"/>
    <w:rsid w:val="00441D35"/>
    <w:rsid w:val="0045395B"/>
    <w:rsid w:val="00453B04"/>
    <w:rsid w:val="0045420F"/>
    <w:rsid w:val="00454A33"/>
    <w:rsid w:val="00454DB2"/>
    <w:rsid w:val="00456B19"/>
    <w:rsid w:val="004617B3"/>
    <w:rsid w:val="004743C9"/>
    <w:rsid w:val="004750FC"/>
    <w:rsid w:val="004773B9"/>
    <w:rsid w:val="00482546"/>
    <w:rsid w:val="004833B4"/>
    <w:rsid w:val="00483DAC"/>
    <w:rsid w:val="004900ED"/>
    <w:rsid w:val="0049152A"/>
    <w:rsid w:val="00493704"/>
    <w:rsid w:val="00494A93"/>
    <w:rsid w:val="00495CF0"/>
    <w:rsid w:val="00497757"/>
    <w:rsid w:val="004A6E43"/>
    <w:rsid w:val="004A7EC0"/>
    <w:rsid w:val="004B2CAA"/>
    <w:rsid w:val="004B3726"/>
    <w:rsid w:val="004B4EF3"/>
    <w:rsid w:val="004B7187"/>
    <w:rsid w:val="004C1CAF"/>
    <w:rsid w:val="004C2A3D"/>
    <w:rsid w:val="004C3C3C"/>
    <w:rsid w:val="004C515F"/>
    <w:rsid w:val="004C7CEE"/>
    <w:rsid w:val="004D56BE"/>
    <w:rsid w:val="004D5F3B"/>
    <w:rsid w:val="004E2569"/>
    <w:rsid w:val="004E4884"/>
    <w:rsid w:val="004E74AF"/>
    <w:rsid w:val="004F49A6"/>
    <w:rsid w:val="004F63D7"/>
    <w:rsid w:val="005002C2"/>
    <w:rsid w:val="00500313"/>
    <w:rsid w:val="00500B7B"/>
    <w:rsid w:val="00502645"/>
    <w:rsid w:val="00502DCC"/>
    <w:rsid w:val="005035FC"/>
    <w:rsid w:val="005054B9"/>
    <w:rsid w:val="0050587D"/>
    <w:rsid w:val="00506B50"/>
    <w:rsid w:val="00506CDB"/>
    <w:rsid w:val="00507D49"/>
    <w:rsid w:val="00511D8D"/>
    <w:rsid w:val="00513D1D"/>
    <w:rsid w:val="00514E60"/>
    <w:rsid w:val="005178D9"/>
    <w:rsid w:val="00520B8A"/>
    <w:rsid w:val="0052311F"/>
    <w:rsid w:val="00523433"/>
    <w:rsid w:val="00523B30"/>
    <w:rsid w:val="00524C89"/>
    <w:rsid w:val="00526FB7"/>
    <w:rsid w:val="005340AC"/>
    <w:rsid w:val="00537D37"/>
    <w:rsid w:val="005416A7"/>
    <w:rsid w:val="00541E14"/>
    <w:rsid w:val="00542575"/>
    <w:rsid w:val="00542CE1"/>
    <w:rsid w:val="005539DF"/>
    <w:rsid w:val="00554B57"/>
    <w:rsid w:val="00557019"/>
    <w:rsid w:val="00557EDE"/>
    <w:rsid w:val="0056220C"/>
    <w:rsid w:val="0056455F"/>
    <w:rsid w:val="005665A5"/>
    <w:rsid w:val="00567595"/>
    <w:rsid w:val="0056769D"/>
    <w:rsid w:val="005677F8"/>
    <w:rsid w:val="005720BC"/>
    <w:rsid w:val="005729CA"/>
    <w:rsid w:val="00573DFB"/>
    <w:rsid w:val="00575AF1"/>
    <w:rsid w:val="00576084"/>
    <w:rsid w:val="005823EE"/>
    <w:rsid w:val="005831AA"/>
    <w:rsid w:val="0058399E"/>
    <w:rsid w:val="00584582"/>
    <w:rsid w:val="005862DE"/>
    <w:rsid w:val="00586361"/>
    <w:rsid w:val="005869B3"/>
    <w:rsid w:val="00594AC8"/>
    <w:rsid w:val="00597396"/>
    <w:rsid w:val="005A252B"/>
    <w:rsid w:val="005A29F4"/>
    <w:rsid w:val="005A344E"/>
    <w:rsid w:val="005A3D83"/>
    <w:rsid w:val="005B4223"/>
    <w:rsid w:val="005B54DE"/>
    <w:rsid w:val="005B5EC5"/>
    <w:rsid w:val="005B6C5E"/>
    <w:rsid w:val="005D11A9"/>
    <w:rsid w:val="005D1FDA"/>
    <w:rsid w:val="005D2E5C"/>
    <w:rsid w:val="005D2ED3"/>
    <w:rsid w:val="005D6A12"/>
    <w:rsid w:val="005E0964"/>
    <w:rsid w:val="005E0CB6"/>
    <w:rsid w:val="005E1DC3"/>
    <w:rsid w:val="005E3E82"/>
    <w:rsid w:val="005E5741"/>
    <w:rsid w:val="005E5FC7"/>
    <w:rsid w:val="005F040F"/>
    <w:rsid w:val="005F1719"/>
    <w:rsid w:val="005F4D33"/>
    <w:rsid w:val="005F507A"/>
    <w:rsid w:val="005F6469"/>
    <w:rsid w:val="00602D93"/>
    <w:rsid w:val="006061AE"/>
    <w:rsid w:val="00610E1A"/>
    <w:rsid w:val="0061160F"/>
    <w:rsid w:val="00615231"/>
    <w:rsid w:val="00616AB2"/>
    <w:rsid w:val="00620507"/>
    <w:rsid w:val="006206E5"/>
    <w:rsid w:val="006210E4"/>
    <w:rsid w:val="006228F6"/>
    <w:rsid w:val="0062290C"/>
    <w:rsid w:val="00623C1C"/>
    <w:rsid w:val="00624A03"/>
    <w:rsid w:val="00627428"/>
    <w:rsid w:val="00631FF8"/>
    <w:rsid w:val="0063591B"/>
    <w:rsid w:val="00636F72"/>
    <w:rsid w:val="00637B9A"/>
    <w:rsid w:val="00641381"/>
    <w:rsid w:val="0064458A"/>
    <w:rsid w:val="0064548A"/>
    <w:rsid w:val="006463E3"/>
    <w:rsid w:val="00647226"/>
    <w:rsid w:val="00647290"/>
    <w:rsid w:val="00650DF9"/>
    <w:rsid w:val="0065130C"/>
    <w:rsid w:val="0065243F"/>
    <w:rsid w:val="006565A3"/>
    <w:rsid w:val="00657F89"/>
    <w:rsid w:val="00661BC9"/>
    <w:rsid w:val="006637E0"/>
    <w:rsid w:val="006639B1"/>
    <w:rsid w:val="00671D35"/>
    <w:rsid w:val="00681007"/>
    <w:rsid w:val="00690F93"/>
    <w:rsid w:val="00692830"/>
    <w:rsid w:val="006928D1"/>
    <w:rsid w:val="00696071"/>
    <w:rsid w:val="006A6D08"/>
    <w:rsid w:val="006A733D"/>
    <w:rsid w:val="006B1081"/>
    <w:rsid w:val="006B24DB"/>
    <w:rsid w:val="006B2A7B"/>
    <w:rsid w:val="006B65EE"/>
    <w:rsid w:val="006B6761"/>
    <w:rsid w:val="006B6CF2"/>
    <w:rsid w:val="006B730A"/>
    <w:rsid w:val="006B7C48"/>
    <w:rsid w:val="006D15E3"/>
    <w:rsid w:val="006D2D2E"/>
    <w:rsid w:val="006D33D8"/>
    <w:rsid w:val="006D5884"/>
    <w:rsid w:val="006D5C7C"/>
    <w:rsid w:val="006E144F"/>
    <w:rsid w:val="006E5756"/>
    <w:rsid w:val="006E68F3"/>
    <w:rsid w:val="006F2E7B"/>
    <w:rsid w:val="006F4E11"/>
    <w:rsid w:val="006F4FDC"/>
    <w:rsid w:val="007006F2"/>
    <w:rsid w:val="007065B0"/>
    <w:rsid w:val="007112D9"/>
    <w:rsid w:val="007133F8"/>
    <w:rsid w:val="007148B9"/>
    <w:rsid w:val="0071493A"/>
    <w:rsid w:val="00725228"/>
    <w:rsid w:val="0072740D"/>
    <w:rsid w:val="0073134F"/>
    <w:rsid w:val="00732976"/>
    <w:rsid w:val="00735396"/>
    <w:rsid w:val="00736B94"/>
    <w:rsid w:val="0073727E"/>
    <w:rsid w:val="007403E4"/>
    <w:rsid w:val="0074553D"/>
    <w:rsid w:val="0074588C"/>
    <w:rsid w:val="007460B7"/>
    <w:rsid w:val="007475B9"/>
    <w:rsid w:val="0075030A"/>
    <w:rsid w:val="007508EC"/>
    <w:rsid w:val="00753877"/>
    <w:rsid w:val="00760905"/>
    <w:rsid w:val="00760A5C"/>
    <w:rsid w:val="00761265"/>
    <w:rsid w:val="0076420A"/>
    <w:rsid w:val="00770A53"/>
    <w:rsid w:val="00774826"/>
    <w:rsid w:val="00781692"/>
    <w:rsid w:val="00785087"/>
    <w:rsid w:val="00786128"/>
    <w:rsid w:val="00787007"/>
    <w:rsid w:val="007913C0"/>
    <w:rsid w:val="00795789"/>
    <w:rsid w:val="0079583B"/>
    <w:rsid w:val="00796BD2"/>
    <w:rsid w:val="007A3644"/>
    <w:rsid w:val="007A3C41"/>
    <w:rsid w:val="007A627A"/>
    <w:rsid w:val="007B11E0"/>
    <w:rsid w:val="007B7DAA"/>
    <w:rsid w:val="007C6AB8"/>
    <w:rsid w:val="007C700B"/>
    <w:rsid w:val="007D4278"/>
    <w:rsid w:val="007E20E9"/>
    <w:rsid w:val="007E3927"/>
    <w:rsid w:val="007E4C0B"/>
    <w:rsid w:val="007E4E11"/>
    <w:rsid w:val="007E5A31"/>
    <w:rsid w:val="007E6744"/>
    <w:rsid w:val="007E72A2"/>
    <w:rsid w:val="007E7565"/>
    <w:rsid w:val="007F1C30"/>
    <w:rsid w:val="007F29A2"/>
    <w:rsid w:val="007F2E1A"/>
    <w:rsid w:val="007F2E23"/>
    <w:rsid w:val="007F3680"/>
    <w:rsid w:val="00803E50"/>
    <w:rsid w:val="008051A9"/>
    <w:rsid w:val="0081045D"/>
    <w:rsid w:val="00810F5A"/>
    <w:rsid w:val="00812306"/>
    <w:rsid w:val="00814E85"/>
    <w:rsid w:val="008153D0"/>
    <w:rsid w:val="00816AC0"/>
    <w:rsid w:val="008231DE"/>
    <w:rsid w:val="00824EF7"/>
    <w:rsid w:val="00827118"/>
    <w:rsid w:val="0082747F"/>
    <w:rsid w:val="00827821"/>
    <w:rsid w:val="00831645"/>
    <w:rsid w:val="00831AAE"/>
    <w:rsid w:val="0084532D"/>
    <w:rsid w:val="00846235"/>
    <w:rsid w:val="00850EAC"/>
    <w:rsid w:val="008654C4"/>
    <w:rsid w:val="008721CB"/>
    <w:rsid w:val="00873120"/>
    <w:rsid w:val="00874DB2"/>
    <w:rsid w:val="008752FE"/>
    <w:rsid w:val="00875834"/>
    <w:rsid w:val="008803C5"/>
    <w:rsid w:val="00881DA2"/>
    <w:rsid w:val="00883D4D"/>
    <w:rsid w:val="00886FD9"/>
    <w:rsid w:val="008911A2"/>
    <w:rsid w:val="0089213A"/>
    <w:rsid w:val="0089293C"/>
    <w:rsid w:val="00893589"/>
    <w:rsid w:val="0089438C"/>
    <w:rsid w:val="008A0B84"/>
    <w:rsid w:val="008A296E"/>
    <w:rsid w:val="008A783C"/>
    <w:rsid w:val="008A7A52"/>
    <w:rsid w:val="008B14FD"/>
    <w:rsid w:val="008B3F19"/>
    <w:rsid w:val="008B75F4"/>
    <w:rsid w:val="008C0900"/>
    <w:rsid w:val="008C0CA4"/>
    <w:rsid w:val="008C15E5"/>
    <w:rsid w:val="008D0DD1"/>
    <w:rsid w:val="008D15FA"/>
    <w:rsid w:val="008D4174"/>
    <w:rsid w:val="008E038F"/>
    <w:rsid w:val="008E5083"/>
    <w:rsid w:val="008E5A31"/>
    <w:rsid w:val="008E633E"/>
    <w:rsid w:val="008E756B"/>
    <w:rsid w:val="008E7C93"/>
    <w:rsid w:val="008F73A0"/>
    <w:rsid w:val="00900F8B"/>
    <w:rsid w:val="009036F6"/>
    <w:rsid w:val="0090487F"/>
    <w:rsid w:val="009103A8"/>
    <w:rsid w:val="0091077F"/>
    <w:rsid w:val="00911D59"/>
    <w:rsid w:val="00913F93"/>
    <w:rsid w:val="0091484C"/>
    <w:rsid w:val="00914A95"/>
    <w:rsid w:val="00914DD4"/>
    <w:rsid w:val="00916110"/>
    <w:rsid w:val="00923112"/>
    <w:rsid w:val="00925119"/>
    <w:rsid w:val="009337E5"/>
    <w:rsid w:val="00940CF0"/>
    <w:rsid w:val="00941E42"/>
    <w:rsid w:val="0094219F"/>
    <w:rsid w:val="00942408"/>
    <w:rsid w:val="009432CC"/>
    <w:rsid w:val="00944F10"/>
    <w:rsid w:val="009457FA"/>
    <w:rsid w:val="00946F13"/>
    <w:rsid w:val="00947AA8"/>
    <w:rsid w:val="00947AD0"/>
    <w:rsid w:val="00950D11"/>
    <w:rsid w:val="00951937"/>
    <w:rsid w:val="0095403D"/>
    <w:rsid w:val="00961406"/>
    <w:rsid w:val="00964600"/>
    <w:rsid w:val="00964E6F"/>
    <w:rsid w:val="00965732"/>
    <w:rsid w:val="00965C11"/>
    <w:rsid w:val="0096700B"/>
    <w:rsid w:val="00970C42"/>
    <w:rsid w:val="0097120A"/>
    <w:rsid w:val="009717DA"/>
    <w:rsid w:val="009727F0"/>
    <w:rsid w:val="009735DD"/>
    <w:rsid w:val="009739D5"/>
    <w:rsid w:val="00973D2A"/>
    <w:rsid w:val="00975B31"/>
    <w:rsid w:val="00983B5E"/>
    <w:rsid w:val="00984733"/>
    <w:rsid w:val="009870C4"/>
    <w:rsid w:val="00987D68"/>
    <w:rsid w:val="00990E59"/>
    <w:rsid w:val="009924EC"/>
    <w:rsid w:val="00992786"/>
    <w:rsid w:val="00992A96"/>
    <w:rsid w:val="00996569"/>
    <w:rsid w:val="009A40E6"/>
    <w:rsid w:val="009A4A4D"/>
    <w:rsid w:val="009B0339"/>
    <w:rsid w:val="009B0F53"/>
    <w:rsid w:val="009B1E2B"/>
    <w:rsid w:val="009B4B27"/>
    <w:rsid w:val="009B5389"/>
    <w:rsid w:val="009B5989"/>
    <w:rsid w:val="009B68A8"/>
    <w:rsid w:val="009C1BDB"/>
    <w:rsid w:val="009C33F1"/>
    <w:rsid w:val="009C3A10"/>
    <w:rsid w:val="009C57C9"/>
    <w:rsid w:val="009C6BC5"/>
    <w:rsid w:val="009D37F6"/>
    <w:rsid w:val="009E26A2"/>
    <w:rsid w:val="009E475E"/>
    <w:rsid w:val="009E48EB"/>
    <w:rsid w:val="009F1287"/>
    <w:rsid w:val="009F2E99"/>
    <w:rsid w:val="009F480B"/>
    <w:rsid w:val="009F78B6"/>
    <w:rsid w:val="00A01905"/>
    <w:rsid w:val="00A035CE"/>
    <w:rsid w:val="00A06B0D"/>
    <w:rsid w:val="00A07663"/>
    <w:rsid w:val="00A07CA2"/>
    <w:rsid w:val="00A14FAF"/>
    <w:rsid w:val="00A15FF5"/>
    <w:rsid w:val="00A20313"/>
    <w:rsid w:val="00A23116"/>
    <w:rsid w:val="00A25EC1"/>
    <w:rsid w:val="00A27632"/>
    <w:rsid w:val="00A27E44"/>
    <w:rsid w:val="00A32831"/>
    <w:rsid w:val="00A3623E"/>
    <w:rsid w:val="00A4075C"/>
    <w:rsid w:val="00A4205B"/>
    <w:rsid w:val="00A44F98"/>
    <w:rsid w:val="00A45B99"/>
    <w:rsid w:val="00A503F8"/>
    <w:rsid w:val="00A50959"/>
    <w:rsid w:val="00A559C6"/>
    <w:rsid w:val="00A61B73"/>
    <w:rsid w:val="00A62820"/>
    <w:rsid w:val="00A65C7F"/>
    <w:rsid w:val="00A677C5"/>
    <w:rsid w:val="00A73F5E"/>
    <w:rsid w:val="00A74D7E"/>
    <w:rsid w:val="00A7562D"/>
    <w:rsid w:val="00A77529"/>
    <w:rsid w:val="00A8106B"/>
    <w:rsid w:val="00A82220"/>
    <w:rsid w:val="00A82374"/>
    <w:rsid w:val="00A82FB6"/>
    <w:rsid w:val="00A83E41"/>
    <w:rsid w:val="00A854BA"/>
    <w:rsid w:val="00A875D2"/>
    <w:rsid w:val="00A8788D"/>
    <w:rsid w:val="00A9036A"/>
    <w:rsid w:val="00A9672D"/>
    <w:rsid w:val="00AA055C"/>
    <w:rsid w:val="00AA4348"/>
    <w:rsid w:val="00AA4FB4"/>
    <w:rsid w:val="00AA5697"/>
    <w:rsid w:val="00AA7BD1"/>
    <w:rsid w:val="00AB2049"/>
    <w:rsid w:val="00AB3F5C"/>
    <w:rsid w:val="00AB5CD7"/>
    <w:rsid w:val="00AB6AEF"/>
    <w:rsid w:val="00AC031F"/>
    <w:rsid w:val="00AC44F5"/>
    <w:rsid w:val="00AC6812"/>
    <w:rsid w:val="00AC7FEA"/>
    <w:rsid w:val="00AD081A"/>
    <w:rsid w:val="00AD0F86"/>
    <w:rsid w:val="00AD640B"/>
    <w:rsid w:val="00AD6A40"/>
    <w:rsid w:val="00AD6F9D"/>
    <w:rsid w:val="00AE1B70"/>
    <w:rsid w:val="00AE2288"/>
    <w:rsid w:val="00AE2559"/>
    <w:rsid w:val="00AE2D88"/>
    <w:rsid w:val="00AF1FF0"/>
    <w:rsid w:val="00AF6BD7"/>
    <w:rsid w:val="00B068FA"/>
    <w:rsid w:val="00B073D4"/>
    <w:rsid w:val="00B107FB"/>
    <w:rsid w:val="00B1170D"/>
    <w:rsid w:val="00B13C0D"/>
    <w:rsid w:val="00B148BC"/>
    <w:rsid w:val="00B171DC"/>
    <w:rsid w:val="00B21CCE"/>
    <w:rsid w:val="00B2472E"/>
    <w:rsid w:val="00B24DC4"/>
    <w:rsid w:val="00B25D11"/>
    <w:rsid w:val="00B31B71"/>
    <w:rsid w:val="00B322CE"/>
    <w:rsid w:val="00B40816"/>
    <w:rsid w:val="00B41935"/>
    <w:rsid w:val="00B42202"/>
    <w:rsid w:val="00B4227F"/>
    <w:rsid w:val="00B44041"/>
    <w:rsid w:val="00B5627E"/>
    <w:rsid w:val="00B572B4"/>
    <w:rsid w:val="00B57784"/>
    <w:rsid w:val="00B612A0"/>
    <w:rsid w:val="00B649C6"/>
    <w:rsid w:val="00B652DD"/>
    <w:rsid w:val="00B7113B"/>
    <w:rsid w:val="00B73B2E"/>
    <w:rsid w:val="00B75A02"/>
    <w:rsid w:val="00B808C7"/>
    <w:rsid w:val="00B81F08"/>
    <w:rsid w:val="00B834FC"/>
    <w:rsid w:val="00B854D9"/>
    <w:rsid w:val="00B9068D"/>
    <w:rsid w:val="00B9156A"/>
    <w:rsid w:val="00B93888"/>
    <w:rsid w:val="00B95629"/>
    <w:rsid w:val="00B95D5A"/>
    <w:rsid w:val="00B97884"/>
    <w:rsid w:val="00BA23A9"/>
    <w:rsid w:val="00BA4569"/>
    <w:rsid w:val="00BA637B"/>
    <w:rsid w:val="00BA70AD"/>
    <w:rsid w:val="00BA7874"/>
    <w:rsid w:val="00BB71C4"/>
    <w:rsid w:val="00BC3F79"/>
    <w:rsid w:val="00BC444D"/>
    <w:rsid w:val="00BC4DAD"/>
    <w:rsid w:val="00BC5FD5"/>
    <w:rsid w:val="00BC667D"/>
    <w:rsid w:val="00BC697F"/>
    <w:rsid w:val="00BE0595"/>
    <w:rsid w:val="00BE6ADE"/>
    <w:rsid w:val="00BF1832"/>
    <w:rsid w:val="00BF1D48"/>
    <w:rsid w:val="00BF365E"/>
    <w:rsid w:val="00C06BC0"/>
    <w:rsid w:val="00C07182"/>
    <w:rsid w:val="00C07F38"/>
    <w:rsid w:val="00C122C9"/>
    <w:rsid w:val="00C13067"/>
    <w:rsid w:val="00C16288"/>
    <w:rsid w:val="00C16AFA"/>
    <w:rsid w:val="00C20EBA"/>
    <w:rsid w:val="00C24F2A"/>
    <w:rsid w:val="00C25A91"/>
    <w:rsid w:val="00C31EB6"/>
    <w:rsid w:val="00C35F89"/>
    <w:rsid w:val="00C3796F"/>
    <w:rsid w:val="00C41C01"/>
    <w:rsid w:val="00C46147"/>
    <w:rsid w:val="00C501FC"/>
    <w:rsid w:val="00C50882"/>
    <w:rsid w:val="00C50B0E"/>
    <w:rsid w:val="00C53845"/>
    <w:rsid w:val="00C61245"/>
    <w:rsid w:val="00C6190D"/>
    <w:rsid w:val="00C70297"/>
    <w:rsid w:val="00C70889"/>
    <w:rsid w:val="00C72E36"/>
    <w:rsid w:val="00C777CB"/>
    <w:rsid w:val="00C82919"/>
    <w:rsid w:val="00C931BC"/>
    <w:rsid w:val="00C9561E"/>
    <w:rsid w:val="00C9688B"/>
    <w:rsid w:val="00CA28F5"/>
    <w:rsid w:val="00CA384D"/>
    <w:rsid w:val="00CA708F"/>
    <w:rsid w:val="00CB07BB"/>
    <w:rsid w:val="00CB1144"/>
    <w:rsid w:val="00CB4519"/>
    <w:rsid w:val="00CB771C"/>
    <w:rsid w:val="00CC3F32"/>
    <w:rsid w:val="00CC619D"/>
    <w:rsid w:val="00CD34A3"/>
    <w:rsid w:val="00CD6B40"/>
    <w:rsid w:val="00CD6D2F"/>
    <w:rsid w:val="00CE0FC7"/>
    <w:rsid w:val="00CE12FD"/>
    <w:rsid w:val="00CE2B1B"/>
    <w:rsid w:val="00CE3D84"/>
    <w:rsid w:val="00CE5156"/>
    <w:rsid w:val="00CE546F"/>
    <w:rsid w:val="00CE6AA4"/>
    <w:rsid w:val="00CF0EF5"/>
    <w:rsid w:val="00CF157A"/>
    <w:rsid w:val="00CF2C76"/>
    <w:rsid w:val="00CF2EDB"/>
    <w:rsid w:val="00CF453B"/>
    <w:rsid w:val="00D00401"/>
    <w:rsid w:val="00D006EF"/>
    <w:rsid w:val="00D01F57"/>
    <w:rsid w:val="00D02E01"/>
    <w:rsid w:val="00D02E78"/>
    <w:rsid w:val="00D04423"/>
    <w:rsid w:val="00D108A8"/>
    <w:rsid w:val="00D11F8C"/>
    <w:rsid w:val="00D13939"/>
    <w:rsid w:val="00D14789"/>
    <w:rsid w:val="00D1523E"/>
    <w:rsid w:val="00D167AA"/>
    <w:rsid w:val="00D176C7"/>
    <w:rsid w:val="00D24290"/>
    <w:rsid w:val="00D25FFF"/>
    <w:rsid w:val="00D32F37"/>
    <w:rsid w:val="00D335D3"/>
    <w:rsid w:val="00D40592"/>
    <w:rsid w:val="00D42584"/>
    <w:rsid w:val="00D44E5F"/>
    <w:rsid w:val="00D47365"/>
    <w:rsid w:val="00D50882"/>
    <w:rsid w:val="00D52258"/>
    <w:rsid w:val="00D53F76"/>
    <w:rsid w:val="00D5505B"/>
    <w:rsid w:val="00D56317"/>
    <w:rsid w:val="00D56D32"/>
    <w:rsid w:val="00D60FBB"/>
    <w:rsid w:val="00D6305A"/>
    <w:rsid w:val="00D65DCB"/>
    <w:rsid w:val="00D7062B"/>
    <w:rsid w:val="00D70B42"/>
    <w:rsid w:val="00D70C33"/>
    <w:rsid w:val="00D712AC"/>
    <w:rsid w:val="00D726E5"/>
    <w:rsid w:val="00D74799"/>
    <w:rsid w:val="00D76C1A"/>
    <w:rsid w:val="00D81662"/>
    <w:rsid w:val="00D820EB"/>
    <w:rsid w:val="00D83B76"/>
    <w:rsid w:val="00D862ED"/>
    <w:rsid w:val="00D87040"/>
    <w:rsid w:val="00D8794E"/>
    <w:rsid w:val="00D9105A"/>
    <w:rsid w:val="00D912DD"/>
    <w:rsid w:val="00D94863"/>
    <w:rsid w:val="00DA352A"/>
    <w:rsid w:val="00DA59A9"/>
    <w:rsid w:val="00DB3B5C"/>
    <w:rsid w:val="00DB4B74"/>
    <w:rsid w:val="00DC55FF"/>
    <w:rsid w:val="00DC5972"/>
    <w:rsid w:val="00DC6348"/>
    <w:rsid w:val="00DC6CD0"/>
    <w:rsid w:val="00DD0AF2"/>
    <w:rsid w:val="00DD24EF"/>
    <w:rsid w:val="00DD4834"/>
    <w:rsid w:val="00DE13D4"/>
    <w:rsid w:val="00DE1C69"/>
    <w:rsid w:val="00DE4C50"/>
    <w:rsid w:val="00DE54A6"/>
    <w:rsid w:val="00DE5562"/>
    <w:rsid w:val="00DE5742"/>
    <w:rsid w:val="00DF0F69"/>
    <w:rsid w:val="00DF2293"/>
    <w:rsid w:val="00DF2837"/>
    <w:rsid w:val="00DF3F0D"/>
    <w:rsid w:val="00E01357"/>
    <w:rsid w:val="00E15798"/>
    <w:rsid w:val="00E17D25"/>
    <w:rsid w:val="00E21483"/>
    <w:rsid w:val="00E223C0"/>
    <w:rsid w:val="00E22819"/>
    <w:rsid w:val="00E2376F"/>
    <w:rsid w:val="00E27676"/>
    <w:rsid w:val="00E27791"/>
    <w:rsid w:val="00E325DE"/>
    <w:rsid w:val="00E3440E"/>
    <w:rsid w:val="00E36288"/>
    <w:rsid w:val="00E37B4D"/>
    <w:rsid w:val="00E41B0A"/>
    <w:rsid w:val="00E46A3E"/>
    <w:rsid w:val="00E478F3"/>
    <w:rsid w:val="00E47B1E"/>
    <w:rsid w:val="00E47C34"/>
    <w:rsid w:val="00E558F4"/>
    <w:rsid w:val="00E564FF"/>
    <w:rsid w:val="00E571A7"/>
    <w:rsid w:val="00E66C98"/>
    <w:rsid w:val="00E743F9"/>
    <w:rsid w:val="00E77F88"/>
    <w:rsid w:val="00E81F41"/>
    <w:rsid w:val="00E82CEB"/>
    <w:rsid w:val="00E876BA"/>
    <w:rsid w:val="00E87C03"/>
    <w:rsid w:val="00E93521"/>
    <w:rsid w:val="00E97C19"/>
    <w:rsid w:val="00E97C1B"/>
    <w:rsid w:val="00EA193F"/>
    <w:rsid w:val="00EA3D22"/>
    <w:rsid w:val="00EA496D"/>
    <w:rsid w:val="00EA6AD7"/>
    <w:rsid w:val="00EA6B3D"/>
    <w:rsid w:val="00EA7751"/>
    <w:rsid w:val="00EB2711"/>
    <w:rsid w:val="00EB6F09"/>
    <w:rsid w:val="00EC1BE1"/>
    <w:rsid w:val="00EC37E6"/>
    <w:rsid w:val="00EC4FA2"/>
    <w:rsid w:val="00EC7CBF"/>
    <w:rsid w:val="00ED2C23"/>
    <w:rsid w:val="00ED37E0"/>
    <w:rsid w:val="00ED399F"/>
    <w:rsid w:val="00ED4FF8"/>
    <w:rsid w:val="00ED5E2F"/>
    <w:rsid w:val="00ED701D"/>
    <w:rsid w:val="00EE3416"/>
    <w:rsid w:val="00EE4784"/>
    <w:rsid w:val="00EF5132"/>
    <w:rsid w:val="00EF61FA"/>
    <w:rsid w:val="00EF6FED"/>
    <w:rsid w:val="00F05D93"/>
    <w:rsid w:val="00F06682"/>
    <w:rsid w:val="00F067CC"/>
    <w:rsid w:val="00F10653"/>
    <w:rsid w:val="00F12C81"/>
    <w:rsid w:val="00F131A5"/>
    <w:rsid w:val="00F133C4"/>
    <w:rsid w:val="00F13C96"/>
    <w:rsid w:val="00F15774"/>
    <w:rsid w:val="00F15EE8"/>
    <w:rsid w:val="00F21470"/>
    <w:rsid w:val="00F2346C"/>
    <w:rsid w:val="00F2720E"/>
    <w:rsid w:val="00F35C41"/>
    <w:rsid w:val="00F37B7F"/>
    <w:rsid w:val="00F43408"/>
    <w:rsid w:val="00F43B31"/>
    <w:rsid w:val="00F448DC"/>
    <w:rsid w:val="00F536FC"/>
    <w:rsid w:val="00F53870"/>
    <w:rsid w:val="00F5439D"/>
    <w:rsid w:val="00F54BC7"/>
    <w:rsid w:val="00F57289"/>
    <w:rsid w:val="00F57343"/>
    <w:rsid w:val="00F57AFF"/>
    <w:rsid w:val="00F61417"/>
    <w:rsid w:val="00F61F2B"/>
    <w:rsid w:val="00F64E6C"/>
    <w:rsid w:val="00F72FE2"/>
    <w:rsid w:val="00F76264"/>
    <w:rsid w:val="00F767C8"/>
    <w:rsid w:val="00F773E3"/>
    <w:rsid w:val="00F77553"/>
    <w:rsid w:val="00F8150E"/>
    <w:rsid w:val="00F83F4C"/>
    <w:rsid w:val="00F84BFA"/>
    <w:rsid w:val="00F857B2"/>
    <w:rsid w:val="00F87534"/>
    <w:rsid w:val="00F87BAB"/>
    <w:rsid w:val="00F921C8"/>
    <w:rsid w:val="00F9353B"/>
    <w:rsid w:val="00FA0501"/>
    <w:rsid w:val="00FA11EC"/>
    <w:rsid w:val="00FA3047"/>
    <w:rsid w:val="00FA620B"/>
    <w:rsid w:val="00FB064A"/>
    <w:rsid w:val="00FB11CC"/>
    <w:rsid w:val="00FB1BDA"/>
    <w:rsid w:val="00FB2ED7"/>
    <w:rsid w:val="00FB6C51"/>
    <w:rsid w:val="00FB77A0"/>
    <w:rsid w:val="00FC1AC7"/>
    <w:rsid w:val="00FC323E"/>
    <w:rsid w:val="00FC3A3E"/>
    <w:rsid w:val="00FC44A0"/>
    <w:rsid w:val="00FC7A4F"/>
    <w:rsid w:val="00FD5B38"/>
    <w:rsid w:val="00FD72E0"/>
    <w:rsid w:val="00FD7DD0"/>
    <w:rsid w:val="00FE059B"/>
    <w:rsid w:val="00FE50AB"/>
    <w:rsid w:val="00FF456F"/>
    <w:rsid w:val="00FF4D6A"/>
    <w:rsid w:val="00FF65E0"/>
    <w:rsid w:val="00FF7C7B"/>
    <w:rsid w:val="00FF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412BEC"/>
  <w15:docId w15:val="{D5D511E9-9F55-4A79-A32D-4D019060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rPr>
  </w:style>
  <w:style w:type="paragraph" w:styleId="Heading2">
    <w:name w:val="heading 2"/>
    <w:basedOn w:val="Normal"/>
    <w:next w:val="Normal"/>
    <w:qFormat/>
    <w:rsid w:val="00C9688B"/>
    <w:pPr>
      <w:keepNext/>
      <w:jc w:val="right"/>
      <w:outlineLvl w:val="1"/>
    </w:pPr>
    <w:rPr>
      <w:rFonts w:cs="Arial"/>
      <w:b/>
      <w:bCs/>
      <w:sz w:val="32"/>
    </w:rPr>
  </w:style>
  <w:style w:type="paragraph" w:styleId="Heading3">
    <w:name w:val="heading 3"/>
    <w:basedOn w:val="Normal"/>
    <w:next w:val="Normal"/>
    <w:qFormat/>
    <w:rsid w:val="00C9688B"/>
    <w:pPr>
      <w:keepNext/>
      <w:jc w:val="right"/>
      <w:outlineLvl w:val="2"/>
    </w:pPr>
    <w:rPr>
      <w:sz w:val="36"/>
    </w:rPr>
  </w:style>
  <w:style w:type="paragraph" w:styleId="Heading4">
    <w:name w:val="heading 4"/>
    <w:basedOn w:val="Normal"/>
    <w:next w:val="Normal"/>
    <w:qFormat/>
    <w:rsid w:val="00C9688B"/>
    <w:pPr>
      <w:keepNext/>
      <w:jc w:val="center"/>
      <w:outlineLvl w:val="3"/>
    </w:pPr>
    <w:rPr>
      <w:sz w:val="34"/>
    </w:rPr>
  </w:style>
  <w:style w:type="paragraph" w:styleId="Heading5">
    <w:name w:val="heading 5"/>
    <w:basedOn w:val="Normal"/>
    <w:next w:val="Normal"/>
    <w:link w:val="Heading5Char"/>
    <w:qFormat/>
    <w:rsid w:val="00C9688B"/>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rPr>
  </w:style>
  <w:style w:type="character" w:styleId="FootnoteReference">
    <w:name w:val="footnote reference"/>
    <w:semiHidden/>
    <w:rsid w:val="00F2346C"/>
    <w:rPr>
      <w:vertAlign w:val="superscript"/>
    </w:rPr>
  </w:style>
  <w:style w:type="paragraph" w:styleId="NormalWeb">
    <w:name w:val="Normal (Web)"/>
    <w:basedOn w:val="Normal"/>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uiPriority w:val="22"/>
    <w:qFormat/>
    <w:rsid w:val="001D2025"/>
    <w:rPr>
      <w:b/>
      <w:bCs/>
    </w:rPr>
  </w:style>
  <w:style w:type="table" w:styleId="TableGrid">
    <w:name w:val="Table Grid"/>
    <w:basedOn w:val="TableNormal"/>
    <w:rsid w:val="00CB07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75AF1"/>
    <w:rPr>
      <w:color w:val="0000FF"/>
      <w:u w:val="single"/>
    </w:rPr>
  </w:style>
  <w:style w:type="character" w:customStyle="1" w:styleId="Heading5Char">
    <w:name w:val="Heading 5 Char"/>
    <w:link w:val="Heading5"/>
    <w:rsid w:val="0064458A"/>
    <w:rPr>
      <w:rFonts w:ascii="Arial" w:hAnsi="Arial"/>
      <w:b/>
      <w:bCs/>
      <w:szCs w:val="24"/>
      <w:lang w:eastAsia="fr-FR"/>
    </w:rPr>
  </w:style>
  <w:style w:type="character" w:customStyle="1" w:styleId="FooterChar">
    <w:name w:val="Footer Char"/>
    <w:link w:val="Footer"/>
    <w:uiPriority w:val="99"/>
    <w:rsid w:val="00C35F89"/>
    <w:rPr>
      <w:rFonts w:ascii="Verdana" w:hAnsi="Verdana"/>
      <w:szCs w:val="24"/>
      <w:lang w:val="fr-FR" w:eastAsia="fr-FR"/>
    </w:rPr>
  </w:style>
  <w:style w:type="paragraph" w:styleId="ListParagraph">
    <w:name w:val="List Paragraph"/>
    <w:basedOn w:val="Normal"/>
    <w:uiPriority w:val="34"/>
    <w:qFormat/>
    <w:rsid w:val="00A25EC1"/>
    <w:pPr>
      <w:ind w:left="720"/>
      <w:contextualSpacing/>
    </w:pPr>
  </w:style>
  <w:style w:type="paragraph" w:styleId="CommentText">
    <w:name w:val="annotation text"/>
    <w:basedOn w:val="Normal"/>
    <w:uiPriority w:val="99"/>
    <w:semiHidden/>
    <w:unhideWhenUsed/>
    <w:rPr>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946107">
      <w:bodyDiv w:val="1"/>
      <w:marLeft w:val="0"/>
      <w:marRight w:val="0"/>
      <w:marTop w:val="0"/>
      <w:marBottom w:val="0"/>
      <w:divBdr>
        <w:top w:val="none" w:sz="0" w:space="0" w:color="auto"/>
        <w:left w:val="none" w:sz="0" w:space="0" w:color="auto"/>
        <w:bottom w:val="none" w:sz="0" w:space="0" w:color="auto"/>
        <w:right w:val="none" w:sz="0" w:space="0" w:color="auto"/>
      </w:divBdr>
    </w:div>
    <w:div w:id="1879852475">
      <w:bodyDiv w:val="1"/>
      <w:marLeft w:val="0"/>
      <w:marRight w:val="0"/>
      <w:marTop w:val="0"/>
      <w:marBottom w:val="0"/>
      <w:divBdr>
        <w:top w:val="none" w:sz="0" w:space="0" w:color="auto"/>
        <w:left w:val="none" w:sz="0" w:space="0" w:color="auto"/>
        <w:bottom w:val="none" w:sz="0" w:space="0" w:color="auto"/>
        <w:right w:val="none" w:sz="0" w:space="0" w:color="auto"/>
      </w:divBdr>
      <w:divsChild>
        <w:div w:id="1031415140">
          <w:marLeft w:val="0"/>
          <w:marRight w:val="0"/>
          <w:marTop w:val="0"/>
          <w:marBottom w:val="0"/>
          <w:divBdr>
            <w:top w:val="none" w:sz="0" w:space="0" w:color="auto"/>
            <w:left w:val="none" w:sz="0" w:space="0" w:color="auto"/>
            <w:bottom w:val="none" w:sz="0" w:space="0" w:color="auto"/>
            <w:right w:val="none" w:sz="0" w:space="0" w:color="auto"/>
          </w:divBdr>
          <w:divsChild>
            <w:div w:id="478767343">
              <w:marLeft w:val="0"/>
              <w:marRight w:val="0"/>
              <w:marTop w:val="0"/>
              <w:marBottom w:val="150"/>
              <w:divBdr>
                <w:top w:val="none" w:sz="0" w:space="0" w:color="auto"/>
                <w:left w:val="none" w:sz="0" w:space="0" w:color="auto"/>
                <w:bottom w:val="none" w:sz="0" w:space="0" w:color="auto"/>
                <w:right w:val="none" w:sz="0" w:space="0" w:color="auto"/>
              </w:divBdr>
              <w:divsChild>
                <w:div w:id="947740806">
                  <w:marLeft w:val="0"/>
                  <w:marRight w:val="150"/>
                  <w:marTop w:val="0"/>
                  <w:marBottom w:val="0"/>
                  <w:divBdr>
                    <w:top w:val="single" w:sz="6" w:space="11" w:color="C0DDEB"/>
                    <w:left w:val="single" w:sz="6" w:space="8" w:color="C0DDEB"/>
                    <w:bottom w:val="single" w:sz="6" w:space="15" w:color="C0DDEB"/>
                    <w:right w:val="single" w:sz="6" w:space="8" w:color="C0DDEB"/>
                  </w:divBdr>
                  <w:divsChild>
                    <w:div w:id="922836039">
                      <w:marLeft w:val="0"/>
                      <w:marRight w:val="0"/>
                      <w:marTop w:val="0"/>
                      <w:marBottom w:val="0"/>
                      <w:divBdr>
                        <w:top w:val="none" w:sz="0" w:space="0" w:color="auto"/>
                        <w:left w:val="none" w:sz="0" w:space="0" w:color="auto"/>
                        <w:bottom w:val="none" w:sz="0" w:space="0" w:color="auto"/>
                        <w:right w:val="none" w:sz="0" w:space="0" w:color="auto"/>
                      </w:divBdr>
                      <w:divsChild>
                        <w:div w:id="8532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tena-professional.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4537</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Enquête</vt:lpstr>
      <vt:lpstr>Enquête</vt:lpstr>
    </vt:vector>
  </TitlesOfParts>
  <Company>ARISTA</Company>
  <LinksUpToDate>false</LinksUpToDate>
  <CharactersWithSpaces>5322</CharactersWithSpaces>
  <SharedDoc>false</SharedDoc>
  <HLinks>
    <vt:vector size="18" baseType="variant">
      <vt:variant>
        <vt:i4>7798863</vt:i4>
      </vt:variant>
      <vt:variant>
        <vt:i4>6</vt:i4>
      </vt:variant>
      <vt:variant>
        <vt:i4>0</vt:i4>
      </vt:variant>
      <vt:variant>
        <vt:i4>5</vt:i4>
      </vt:variant>
      <vt:variant>
        <vt:lpwstr>mailto:mertveldt@partena.be</vt:lpwstr>
      </vt:variant>
      <vt:variant>
        <vt:lpwstr/>
      </vt:variant>
      <vt:variant>
        <vt:i4>6291552</vt:i4>
      </vt:variant>
      <vt:variant>
        <vt:i4>3</vt:i4>
      </vt:variant>
      <vt:variant>
        <vt:i4>0</vt:i4>
      </vt:variant>
      <vt:variant>
        <vt:i4>5</vt:i4>
      </vt:variant>
      <vt:variant>
        <vt:lpwstr>http://www.partena.be/</vt:lpwstr>
      </vt:variant>
      <vt:variant>
        <vt:lpwstr/>
      </vt:variant>
      <vt:variant>
        <vt:i4>8257663</vt:i4>
      </vt:variant>
      <vt:variant>
        <vt:i4>0</vt:i4>
      </vt:variant>
      <vt:variant>
        <vt:i4>0</vt:i4>
      </vt:variant>
      <vt:variant>
        <vt:i4>5</vt:i4>
      </vt:variant>
      <vt:variant>
        <vt:lpwstr>http://www.hdp.be/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dc:title>
  <dc:creator>motd</dc:creator>
  <cp:lastModifiedBy>Microsoft Office User</cp:lastModifiedBy>
  <cp:revision>2</cp:revision>
  <cp:lastPrinted>2018-03-05T10:19:00Z</cp:lastPrinted>
  <dcterms:created xsi:type="dcterms:W3CDTF">2018-03-07T12:17:00Z</dcterms:created>
  <dcterms:modified xsi:type="dcterms:W3CDTF">2018-03-07T12:17:00Z</dcterms:modified>
</cp:coreProperties>
</file>