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Calibri" w:cs="Calibri" w:eastAsia="Calibri" w:hAnsi="Calibri"/>
        </w:rPr>
      </w:pPr>
      <w:r w:rsidDel="00000000" w:rsidR="00000000" w:rsidRPr="00000000">
        <w:rPr>
          <w:rFonts w:ascii="Calibri" w:cs="Calibri" w:eastAsia="Calibri" w:hAnsi="Calibri"/>
        </w:rPr>
        <w:drawing>
          <wp:inline distB="0" distT="0" distL="0" distR="0">
            <wp:extent cx="1828800" cy="512064"/>
            <wp:effectExtent b="0" l="0" r="0" t="0"/>
            <wp:docPr id="173553405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828800" cy="51206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1"/>
        <w:keepNext w:val="0"/>
        <w:keepLines w:val="0"/>
        <w:jc w:val="center"/>
        <w:rPr/>
      </w:pPr>
      <w:bookmarkStart w:colFirst="0" w:colLast="0" w:name="_heading=h.aabqeg5bad35" w:id="0"/>
      <w:bookmarkEnd w:id="0"/>
      <w:r w:rsidDel="00000000" w:rsidR="00000000" w:rsidRPr="00000000">
        <w:rPr>
          <w:sz w:val="28"/>
          <w:szCs w:val="28"/>
          <w:rtl w:val="0"/>
        </w:rPr>
        <w:t xml:space="preserve">inDrive fortalece la protección de conductores, pasajeros y repartidores en México junto a SURA y ARVIDA</w:t>
      </w:r>
      <w:r w:rsidDel="00000000" w:rsidR="00000000" w:rsidRPr="00000000">
        <w:rPr>
          <w:rtl w:val="0"/>
        </w:rPr>
      </w:r>
    </w:p>
    <w:p w:rsidR="00000000" w:rsidDel="00000000" w:rsidP="00000000" w:rsidRDefault="00000000" w:rsidRPr="00000000" w14:paraId="00000003">
      <w:pPr>
        <w:pStyle w:val="Heading2"/>
        <w:keepNext w:val="0"/>
        <w:keepLines w:val="0"/>
        <w:rPr/>
      </w:pPr>
      <w:bookmarkStart w:colFirst="0" w:colLast="0" w:name="_heading=h.umumwtbx6lt4" w:id="1"/>
      <w:bookmarkEnd w:id="1"/>
      <w:r w:rsidDel="00000000" w:rsidR="00000000" w:rsidRPr="00000000">
        <w:rPr>
          <w:b w:val="0"/>
          <w:bCs w:val="0"/>
          <w:i w:val="1"/>
          <w:iCs w:val="1"/>
          <w:sz w:val="22"/>
          <w:szCs w:val="22"/>
          <w:rtl w:val="0"/>
        </w:rPr>
        <w:t xml:space="preserve">El nuevo esquema de seguro flexibiliza los criterios de elegibilidad, incorpora coberturas y agiliza la atención de siniestros: todos los casos documentados y cerrados se han resuelto en menos de 30 días.</w:t>
      </w:r>
      <w:r w:rsidDel="00000000" w:rsidR="00000000" w:rsidRPr="00000000">
        <w:rPr>
          <w:rtl w:val="0"/>
        </w:rPr>
      </w:r>
    </w:p>
    <w:p w:rsidR="00000000" w:rsidDel="00000000" w:rsidP="00000000" w:rsidRDefault="00000000" w:rsidRPr="00000000" w14:paraId="00000004">
      <w:pPr>
        <w:spacing w:after="240" w:before="240" w:lineRule="auto"/>
        <w:jc w:val="both"/>
        <w:rPr>
          <w:sz w:val="22"/>
          <w:szCs w:val="22"/>
        </w:rPr>
      </w:pPr>
      <w:r w:rsidDel="00000000" w:rsidR="00000000" w:rsidRPr="00000000">
        <w:rPr>
          <w:rFonts w:ascii="Arial" w:cs="Arial" w:eastAsia="Arial" w:hAnsi="Arial"/>
          <w:b w:val="1"/>
          <w:bCs w:val="1"/>
          <w:sz w:val="22"/>
          <w:szCs w:val="22"/>
          <w:rtl w:val="0"/>
        </w:rPr>
        <w:t xml:space="preserve">Ciudad de México, </w:t>
      </w:r>
      <w:r w:rsidDel="00000000" w:rsidR="00000000" w:rsidRPr="00000000">
        <w:rPr>
          <w:b w:val="1"/>
          <w:bCs w:val="1"/>
          <w:sz w:val="22"/>
          <w:szCs w:val="22"/>
          <w:rtl w:val="0"/>
        </w:rPr>
        <w:t xml:space="preserve">15</w:t>
      </w:r>
      <w:r w:rsidDel="00000000" w:rsidR="00000000" w:rsidRPr="00000000">
        <w:rPr>
          <w:rFonts w:ascii="Arial" w:cs="Arial" w:eastAsia="Arial" w:hAnsi="Arial"/>
          <w:b w:val="1"/>
          <w:bCs w:val="1"/>
          <w:sz w:val="22"/>
          <w:szCs w:val="22"/>
          <w:rtl w:val="0"/>
        </w:rPr>
        <w:t xml:space="preserve"> de </w:t>
      </w:r>
      <w:r w:rsidDel="00000000" w:rsidR="00000000" w:rsidRPr="00000000">
        <w:rPr>
          <w:b w:val="1"/>
          <w:bCs w:val="1"/>
          <w:sz w:val="22"/>
          <w:szCs w:val="22"/>
          <w:rtl w:val="0"/>
        </w:rPr>
        <w:t xml:space="preserve">octubre</w:t>
      </w:r>
      <w:r w:rsidDel="00000000" w:rsidR="00000000" w:rsidRPr="00000000">
        <w:rPr>
          <w:rFonts w:ascii="Arial" w:cs="Arial" w:eastAsia="Arial" w:hAnsi="Arial"/>
          <w:b w:val="1"/>
          <w:bCs w:val="1"/>
          <w:sz w:val="22"/>
          <w:szCs w:val="22"/>
          <w:rtl w:val="0"/>
        </w:rPr>
        <w:t xml:space="preserve"> de 2026 </w:t>
      </w:r>
      <w:r w:rsidDel="00000000" w:rsidR="00000000" w:rsidRPr="00000000">
        <w:rPr>
          <w:rFonts w:ascii="Arial" w:cs="Arial" w:eastAsia="Arial" w:hAnsi="Arial"/>
          <w:sz w:val="22"/>
          <w:szCs w:val="22"/>
          <w:rtl w:val="0"/>
        </w:rPr>
        <w:t xml:space="preserve">– </w:t>
      </w:r>
      <w:r w:rsidDel="00000000" w:rsidR="00000000" w:rsidRPr="00000000">
        <w:rPr>
          <w:sz w:val="22"/>
          <w:szCs w:val="22"/>
          <w:rtl w:val="0"/>
        </w:rPr>
        <w:t xml:space="preserve">La protección integral en la movilidad diaria es cada vez más prioritaria, considerando que la brecha de aseguramiento vehicular sigue siendo un desafío. De acuerdo con datos de la Asociación Mexicana de Instituciones de Seguros (AMIS), sólo cerca del 30% del parque vehicular cuenta con una póliza de seguro, al tiempo que los incidentes viales registran incremento. </w:t>
      </w:r>
    </w:p>
    <w:p w:rsidR="00000000" w:rsidDel="00000000" w:rsidP="00000000" w:rsidRDefault="00000000" w:rsidRPr="00000000" w14:paraId="00000005">
      <w:pPr>
        <w:spacing w:after="240" w:before="240" w:lineRule="auto"/>
        <w:jc w:val="both"/>
        <w:rPr>
          <w:sz w:val="22"/>
          <w:szCs w:val="22"/>
        </w:rPr>
      </w:pPr>
      <w:r w:rsidDel="00000000" w:rsidR="00000000" w:rsidRPr="00000000">
        <w:rPr>
          <w:sz w:val="22"/>
          <w:szCs w:val="22"/>
          <w:rtl w:val="0"/>
        </w:rPr>
        <w:t xml:space="preserve">Por ello, inDrive dio un paso firme para respaldar a su comunidad en México al presentar una nueva cobertura de Accidentes Personales, contratada con SURA y con la gestión especializada de ARVIDA. Aunque la compañía ya contaba con seguro, las condiciones de este ahora son mejoras dado que fue diseñado para simplificar el acceso y eliminar la burocracia, resguardando a conductores, pasajeros y repartidores durante los viajes y servicios realizados a través de la aplicación.</w:t>
      </w:r>
    </w:p>
    <w:p w:rsidR="00000000" w:rsidDel="00000000" w:rsidP="00000000" w:rsidRDefault="00000000" w:rsidRPr="00000000" w14:paraId="00000006">
      <w:pPr>
        <w:pStyle w:val="Heading3"/>
        <w:keepNext w:val="0"/>
        <w:keepLines w:val="0"/>
        <w:spacing w:before="0" w:line="276" w:lineRule="auto"/>
        <w:rPr>
          <w:sz w:val="26"/>
          <w:szCs w:val="26"/>
        </w:rPr>
      </w:pPr>
      <w:bookmarkStart w:colFirst="0" w:colLast="0" w:name="_heading=h.riibir256tnl" w:id="2"/>
      <w:bookmarkEnd w:id="2"/>
      <w:r w:rsidDel="00000000" w:rsidR="00000000" w:rsidRPr="00000000">
        <w:rPr>
          <w:sz w:val="26"/>
          <w:szCs w:val="26"/>
          <w:rtl w:val="0"/>
        </w:rPr>
        <w:t xml:space="preserve">Proceso ágil y tiempos de respuesta rápidos</w:t>
      </w:r>
    </w:p>
    <w:p w:rsidR="00000000" w:rsidDel="00000000" w:rsidP="00000000" w:rsidRDefault="00000000" w:rsidRPr="00000000" w14:paraId="00000007">
      <w:pPr>
        <w:spacing w:after="240" w:line="276" w:lineRule="auto"/>
        <w:rPr>
          <w:sz w:val="22"/>
          <w:szCs w:val="22"/>
        </w:rPr>
      </w:pPr>
      <w:r w:rsidDel="00000000" w:rsidR="00000000" w:rsidRPr="00000000">
        <w:rPr>
          <w:sz w:val="22"/>
          <w:szCs w:val="22"/>
          <w:rtl w:val="0"/>
        </w:rPr>
        <w:t xml:space="preserve">Uno de los mayores avances del nuevo programa se refleja en la velocidad de atención y resolución. Tras los primeros reportes gestionados bajo este esquema, todos los casos documentados y cerrados hasta el momento se han resuelto en menos de 30 días, ya sea con el pago de la indemnización correspondiente o con la dictaminación del caso.</w:t>
      </w:r>
    </w:p>
    <w:p w:rsidR="00000000" w:rsidDel="00000000" w:rsidP="00000000" w:rsidRDefault="00000000" w:rsidRPr="00000000" w14:paraId="00000008">
      <w:pPr>
        <w:spacing w:after="240" w:line="276" w:lineRule="auto"/>
        <w:rPr>
          <w:sz w:val="22"/>
          <w:szCs w:val="22"/>
        </w:rPr>
      </w:pPr>
      <w:r w:rsidDel="00000000" w:rsidR="00000000" w:rsidRPr="00000000">
        <w:rPr>
          <w:sz w:val="22"/>
          <w:szCs w:val="22"/>
          <w:rtl w:val="0"/>
        </w:rPr>
        <w:t xml:space="preserve">Entre los pilares del nuevo esquema destacan:</w:t>
      </w:r>
    </w:p>
    <w:p w:rsidR="00000000" w:rsidDel="00000000" w:rsidP="00000000" w:rsidRDefault="00000000" w:rsidRPr="00000000" w14:paraId="00000009">
      <w:pPr>
        <w:numPr>
          <w:ilvl w:val="0"/>
          <w:numId w:val="1"/>
        </w:numPr>
        <w:spacing w:after="0" w:afterAutospacing="0" w:line="276" w:lineRule="auto"/>
        <w:ind w:left="720" w:hanging="360"/>
        <w:rPr>
          <w:sz w:val="22"/>
          <w:szCs w:val="22"/>
        </w:rPr>
      </w:pPr>
      <w:r w:rsidDel="00000000" w:rsidR="00000000" w:rsidRPr="00000000">
        <w:rPr>
          <w:b w:val="1"/>
          <w:bCs w:val="1"/>
          <w:sz w:val="22"/>
          <w:szCs w:val="22"/>
          <w:rtl w:val="0"/>
        </w:rPr>
        <w:t xml:space="preserve">Criterios de elegibilidad más flexibles:</w:t>
      </w:r>
      <w:r w:rsidDel="00000000" w:rsidR="00000000" w:rsidRPr="00000000">
        <w:rPr>
          <w:sz w:val="22"/>
          <w:szCs w:val="22"/>
          <w:rtl w:val="0"/>
        </w:rPr>
        <w:t xml:space="preserve"> Simplificación de requisitos para facilitar el acceso.</w:t>
      </w:r>
    </w:p>
    <w:p w:rsidR="00000000" w:rsidDel="00000000" w:rsidP="00000000" w:rsidRDefault="00000000" w:rsidRPr="00000000" w14:paraId="0000000A">
      <w:pPr>
        <w:numPr>
          <w:ilvl w:val="0"/>
          <w:numId w:val="1"/>
        </w:numPr>
        <w:spacing w:after="0" w:afterAutospacing="0" w:line="276" w:lineRule="auto"/>
        <w:ind w:left="720" w:hanging="360"/>
        <w:rPr>
          <w:sz w:val="22"/>
          <w:szCs w:val="22"/>
        </w:rPr>
      </w:pPr>
      <w:r w:rsidDel="00000000" w:rsidR="00000000" w:rsidRPr="00000000">
        <w:rPr>
          <w:b w:val="1"/>
          <w:bCs w:val="1"/>
          <w:sz w:val="22"/>
          <w:szCs w:val="22"/>
          <w:rtl w:val="0"/>
        </w:rPr>
        <w:t xml:space="preserve">Protección por incapacidad parcial:</w:t>
      </w:r>
      <w:r w:rsidDel="00000000" w:rsidR="00000000" w:rsidRPr="00000000">
        <w:rPr>
          <w:sz w:val="22"/>
          <w:szCs w:val="22"/>
          <w:rtl w:val="0"/>
        </w:rPr>
        <w:t xml:space="preserve"> Cobertura ante lesiones o afectaciones temporales que </w:t>
      </w:r>
      <w:r w:rsidDel="00000000" w:rsidR="00000000" w:rsidRPr="00000000">
        <w:rPr>
          <w:sz w:val="22"/>
          <w:szCs w:val="22"/>
          <w:rtl w:val="0"/>
        </w:rPr>
        <w:t xml:space="preserve">limiten</w:t>
      </w:r>
      <w:r w:rsidDel="00000000" w:rsidR="00000000" w:rsidRPr="00000000">
        <w:rPr>
          <w:sz w:val="22"/>
          <w:szCs w:val="22"/>
          <w:rtl w:val="0"/>
        </w:rPr>
        <w:t xml:space="preserve"> el desarrollo de las actividades cotidianas del afectado.</w:t>
      </w:r>
    </w:p>
    <w:p w:rsidR="00000000" w:rsidDel="00000000" w:rsidP="00000000" w:rsidRDefault="00000000" w:rsidRPr="00000000" w14:paraId="0000000B">
      <w:pPr>
        <w:numPr>
          <w:ilvl w:val="0"/>
          <w:numId w:val="1"/>
        </w:numPr>
        <w:spacing w:after="240" w:line="276" w:lineRule="auto"/>
        <w:ind w:left="720" w:hanging="360"/>
        <w:rPr>
          <w:sz w:val="22"/>
          <w:szCs w:val="22"/>
        </w:rPr>
      </w:pPr>
      <w:r w:rsidDel="00000000" w:rsidR="00000000" w:rsidRPr="00000000">
        <w:rPr>
          <w:b w:val="1"/>
          <w:bCs w:val="1"/>
          <w:sz w:val="22"/>
          <w:szCs w:val="22"/>
          <w:rtl w:val="0"/>
        </w:rPr>
        <w:t xml:space="preserve">Seguimiento transparente e interconectado:</w:t>
      </w:r>
      <w:r w:rsidDel="00000000" w:rsidR="00000000" w:rsidRPr="00000000">
        <w:rPr>
          <w:sz w:val="22"/>
          <w:szCs w:val="22"/>
          <w:rtl w:val="0"/>
        </w:rPr>
        <w:t xml:space="preserve"> Un panel de control compartido entre las tres compañías para monitorear cada caso en tiempo real. </w:t>
      </w:r>
    </w:p>
    <w:p w:rsidR="00000000" w:rsidDel="00000000" w:rsidP="00000000" w:rsidRDefault="00000000" w:rsidRPr="00000000" w14:paraId="0000000C">
      <w:pPr>
        <w:spacing w:after="240" w:line="276" w:lineRule="auto"/>
        <w:ind w:left="0" w:firstLine="0"/>
        <w:rPr>
          <w:sz w:val="22"/>
          <w:szCs w:val="22"/>
        </w:rPr>
      </w:pPr>
      <w:r w:rsidDel="00000000" w:rsidR="00000000" w:rsidRPr="00000000">
        <w:rPr>
          <w:i w:val="1"/>
          <w:iCs w:val="1"/>
          <w:sz w:val="22"/>
          <w:szCs w:val="22"/>
          <w:rtl w:val="0"/>
        </w:rPr>
        <w:t xml:space="preserve">“En inDrive buscamos que la seguridad se traduzca en acciones y herramientas reales que acompañen a las personas siempre, sobre todo cuando más las necesitan. Esta nueva cobertura de seguro ofrece un proceso más ágil, claro y accesible. Queremos que tanto quienes conducen y reparten como quienes viajan con nosotros conozcan la protección con la que cuentan y sepan que nos importa su seguridad”</w:t>
      </w:r>
      <w:r w:rsidDel="00000000" w:rsidR="00000000" w:rsidRPr="00000000">
        <w:rPr>
          <w:sz w:val="22"/>
          <w:szCs w:val="22"/>
          <w:rtl w:val="0"/>
        </w:rPr>
        <w:t xml:space="preserve">, señaló </w:t>
      </w:r>
      <w:r w:rsidDel="00000000" w:rsidR="00000000" w:rsidRPr="00000000">
        <w:rPr>
          <w:b w:val="1"/>
          <w:bCs w:val="1"/>
          <w:sz w:val="22"/>
          <w:szCs w:val="22"/>
          <w:rtl w:val="0"/>
        </w:rPr>
        <w:t xml:space="preserve">Rafael Garza Medrano, director de inDrive en México</w:t>
      </w:r>
      <w:r w:rsidDel="00000000" w:rsidR="00000000" w:rsidRPr="00000000">
        <w:rPr>
          <w:sz w:val="22"/>
          <w:szCs w:val="22"/>
          <w:rtl w:val="0"/>
        </w:rPr>
        <w:t xml:space="preserve">.</w:t>
      </w:r>
    </w:p>
    <w:p w:rsidR="00000000" w:rsidDel="00000000" w:rsidP="00000000" w:rsidRDefault="00000000" w:rsidRPr="00000000" w14:paraId="0000000D">
      <w:pPr>
        <w:spacing w:after="240" w:line="276" w:lineRule="auto"/>
        <w:jc w:val="both"/>
        <w:rPr>
          <w:sz w:val="22"/>
          <w:szCs w:val="22"/>
        </w:rPr>
      </w:pPr>
      <w:r w:rsidDel="00000000" w:rsidR="00000000" w:rsidRPr="00000000">
        <w:rPr>
          <w:sz w:val="22"/>
          <w:szCs w:val="22"/>
          <w:rtl w:val="0"/>
        </w:rPr>
        <w:t xml:space="preserve">El producto fue desarrollado a la medida por un equipo de expertos en la ejecución de programas de seguros especializados para plataformas digitales de movilidad, a cargo de Elías Pier Poplawski, asesor de riesgo asociado a ARVIDA. </w:t>
      </w:r>
    </w:p>
    <w:p w:rsidR="00000000" w:rsidDel="00000000" w:rsidP="00000000" w:rsidRDefault="00000000" w:rsidRPr="00000000" w14:paraId="0000000E">
      <w:pPr>
        <w:spacing w:after="240" w:line="276" w:lineRule="auto"/>
        <w:jc w:val="both"/>
        <w:rPr>
          <w:sz w:val="22"/>
          <w:szCs w:val="22"/>
        </w:rPr>
      </w:pPr>
      <w:r w:rsidDel="00000000" w:rsidR="00000000" w:rsidRPr="00000000">
        <w:rPr>
          <w:sz w:val="22"/>
          <w:szCs w:val="22"/>
          <w:rtl w:val="0"/>
        </w:rPr>
        <w:t xml:space="preserve">Con esta evolución, inDrive, </w:t>
      </w:r>
      <w:r w:rsidDel="00000000" w:rsidR="00000000" w:rsidRPr="00000000">
        <w:rPr>
          <w:sz w:val="22"/>
          <w:szCs w:val="22"/>
          <w:rtl w:val="0"/>
        </w:rPr>
        <w:t xml:space="preserve">empresa global que ya cuenta con una plantilla de más de 3,700 personas trabajando para el corporativo a nivel mundial,</w:t>
      </w:r>
      <w:r w:rsidDel="00000000" w:rsidR="00000000" w:rsidRPr="00000000">
        <w:rPr>
          <w:sz w:val="22"/>
          <w:szCs w:val="22"/>
          <w:rtl w:val="0"/>
        </w:rPr>
        <w:t xml:space="preserve"> reafirma su compromiso de brindar certidumbre y bienestar a toda su comunidad en México, consolidando la protección y la prevención como ejes fundamentales en la experiencia de movilidad urbana.</w:t>
      </w:r>
    </w:p>
    <w:p w:rsidR="00000000" w:rsidDel="00000000" w:rsidP="00000000" w:rsidRDefault="00000000" w:rsidRPr="00000000" w14:paraId="0000000F">
      <w:pPr>
        <w:spacing w:after="240" w:line="276" w:lineRule="auto"/>
        <w:jc w:val="both"/>
        <w:rPr>
          <w:sz w:val="22"/>
          <w:szCs w:val="22"/>
        </w:rPr>
      </w:pPr>
      <w:r w:rsidDel="00000000" w:rsidR="00000000" w:rsidRPr="00000000">
        <w:rPr>
          <w:rtl w:val="0"/>
        </w:rPr>
      </w:r>
    </w:p>
    <w:p w:rsidR="00000000" w:rsidDel="00000000" w:rsidP="00000000" w:rsidRDefault="00000000" w:rsidRPr="00000000" w14:paraId="00000010">
      <w:pPr>
        <w:spacing w:after="240" w:line="276" w:lineRule="auto"/>
        <w:jc w:val="center"/>
        <w:rPr>
          <w:sz w:val="22"/>
          <w:szCs w:val="22"/>
        </w:rPr>
      </w:pPr>
      <w:r w:rsidDel="00000000" w:rsidR="00000000" w:rsidRPr="00000000">
        <w:rPr>
          <w:sz w:val="22"/>
          <w:szCs w:val="22"/>
          <w:rtl w:val="0"/>
        </w:rPr>
        <w:t xml:space="preserve">###</w:t>
      </w:r>
    </w:p>
    <w:p w:rsidR="00000000" w:rsidDel="00000000" w:rsidP="00000000" w:rsidRDefault="00000000" w:rsidRPr="00000000" w14:paraId="00000011">
      <w:pPr>
        <w:spacing w:after="0" w:line="240" w:lineRule="auto"/>
        <w:jc w:val="both"/>
        <w:rPr>
          <w:rFonts w:ascii="Arial" w:cs="Arial" w:eastAsia="Arial" w:hAnsi="Arial"/>
          <w:b w:val="0"/>
          <w:bCs w:val="0"/>
          <w:i w:val="0"/>
          <w:iCs w:val="0"/>
          <w:smallCaps w:val="0"/>
          <w:color w:val="000000"/>
          <w:sz w:val="20"/>
          <w:szCs w:val="20"/>
        </w:rPr>
      </w:pPr>
      <w:r w:rsidDel="00000000" w:rsidR="00000000" w:rsidRPr="00000000">
        <w:rPr>
          <w:rtl w:val="0"/>
        </w:rPr>
      </w:r>
    </w:p>
    <w:p w:rsidR="00000000" w:rsidDel="00000000" w:rsidP="00000000" w:rsidRDefault="00000000" w:rsidRPr="00000000" w14:paraId="00000012">
      <w:pPr>
        <w:rPr>
          <w:rFonts w:ascii="Aptos" w:cs="Aptos" w:eastAsia="Aptos" w:hAnsi="Aptos"/>
          <w:color w:val="0b769f"/>
          <w:sz w:val="18"/>
          <w:szCs w:val="18"/>
        </w:rPr>
      </w:pPr>
      <w:r w:rsidDel="00000000" w:rsidR="00000000" w:rsidRPr="00000000">
        <w:rPr>
          <w:rFonts w:ascii="Aptos" w:cs="Aptos" w:eastAsia="Aptos" w:hAnsi="Aptos"/>
          <w:b w:val="1"/>
          <w:bCs w:val="1"/>
          <w:sz w:val="18"/>
          <w:szCs w:val="18"/>
          <w:rtl w:val="0"/>
        </w:rPr>
        <w:t xml:space="preserve">Acerca de </w:t>
      </w:r>
      <w:hyperlink r:id="rId8">
        <w:r w:rsidDel="00000000" w:rsidR="00000000" w:rsidRPr="00000000">
          <w:rPr>
            <w:b w:val="1"/>
            <w:bCs w:val="1"/>
            <w:color w:val="0b769f"/>
            <w:sz w:val="18"/>
            <w:szCs w:val="18"/>
            <w:u w:val="single"/>
            <w:rtl w:val="0"/>
          </w:rPr>
          <w:t xml:space="preserve">inDrive</w:t>
        </w:r>
      </w:hyperlink>
      <w:r w:rsidDel="00000000" w:rsidR="00000000" w:rsidRPr="00000000">
        <w:rPr>
          <w:rtl w:val="0"/>
        </w:rPr>
      </w:r>
    </w:p>
    <w:p w:rsidR="00000000" w:rsidDel="00000000" w:rsidP="00000000" w:rsidRDefault="00000000" w:rsidRPr="00000000" w14:paraId="00000013">
      <w:pPr>
        <w:jc w:val="both"/>
        <w:rPr>
          <w:sz w:val="18"/>
          <w:szCs w:val="18"/>
        </w:rPr>
      </w:pPr>
      <w:r w:rsidDel="00000000" w:rsidR="00000000" w:rsidRPr="00000000">
        <w:rPr>
          <w:sz w:val="18"/>
          <w:szCs w:val="18"/>
          <w:rtl w:val="0"/>
        </w:rPr>
        <w:t xml:space="preserve">inDrive es una plataforma global de movilidad y entregas. La aplicación de inDrive ha sido descargada más de 400 millones de veces y fue la segunda app de movilidad más descargada por cuarto año consecutivo. Además de viajes, inDrive ofrece una extensa lista de servicios urbanos, incluyendo transporte ciudad a ciudad, entregas, además de servicios financieros. En 2023, inDrive lanzó New Ventures, su brazo de capital de riesgo y M&amp;A.</w:t>
      </w:r>
    </w:p>
    <w:p w:rsidR="00000000" w:rsidDel="00000000" w:rsidP="00000000" w:rsidRDefault="00000000" w:rsidRPr="00000000" w14:paraId="00000014">
      <w:pPr>
        <w:spacing w:after="0" w:line="240" w:lineRule="auto"/>
        <w:jc w:val="both"/>
        <w:rPr>
          <w:sz w:val="18"/>
          <w:szCs w:val="18"/>
        </w:rPr>
      </w:pPr>
      <w:r w:rsidDel="00000000" w:rsidR="00000000" w:rsidRPr="00000000">
        <w:rPr>
          <w:sz w:val="18"/>
          <w:szCs w:val="18"/>
          <w:rtl w:val="0"/>
        </w:rPr>
        <w:t xml:space="preserve">inDrive opera en más de 1,200 ciudades de 47 países. Impulsada por su misión de desafiar la injusticia a través de elecciones justas, la empresa persigue este objetivo tanto mediante su negocio principal, que apoya a las comunidades locales a través de un modelo de precios justos, como a través del trabajo de sus programas de impacto.</w:t>
      </w:r>
    </w:p>
    <w:p w:rsidR="00000000" w:rsidDel="00000000" w:rsidP="00000000" w:rsidRDefault="00000000" w:rsidRPr="00000000" w14:paraId="00000015">
      <w:pPr>
        <w:spacing w:after="0" w:line="240" w:lineRule="auto"/>
        <w:jc w:val="both"/>
        <w:rPr>
          <w:sz w:val="18"/>
          <w:szCs w:val="18"/>
        </w:rPr>
      </w:pPr>
      <w:r w:rsidDel="00000000" w:rsidR="00000000" w:rsidRPr="00000000">
        <w:rPr>
          <w:rtl w:val="0"/>
        </w:rPr>
      </w:r>
    </w:p>
    <w:p w:rsidR="00000000" w:rsidDel="00000000" w:rsidP="00000000" w:rsidRDefault="00000000" w:rsidRPr="00000000" w14:paraId="00000016">
      <w:pPr>
        <w:spacing w:after="0" w:line="240" w:lineRule="auto"/>
        <w:jc w:val="both"/>
        <w:rPr>
          <w:sz w:val="18"/>
          <w:szCs w:val="18"/>
        </w:rPr>
      </w:pPr>
      <w:r w:rsidDel="00000000" w:rsidR="00000000" w:rsidRPr="00000000">
        <w:rPr>
          <w:sz w:val="18"/>
          <w:szCs w:val="18"/>
          <w:rtl w:val="0"/>
        </w:rPr>
        <w:t xml:space="preserve">Para más información visite </w:t>
      </w:r>
      <w:hyperlink r:id="rId9">
        <w:r w:rsidDel="00000000" w:rsidR="00000000" w:rsidRPr="00000000">
          <w:rPr>
            <w:color w:val="1155cc"/>
            <w:sz w:val="18"/>
            <w:szCs w:val="18"/>
            <w:u w:val="single"/>
            <w:rtl w:val="0"/>
          </w:rPr>
          <w:t xml:space="preserve">www.inDrive.com</w:t>
        </w:r>
      </w:hyperlink>
      <w:r w:rsidDel="00000000" w:rsidR="00000000" w:rsidRPr="00000000">
        <w:rPr>
          <w:sz w:val="18"/>
          <w:szCs w:val="18"/>
          <w:rtl w:val="0"/>
        </w:rPr>
        <w:t xml:space="preserve"> </w:t>
      </w:r>
    </w:p>
    <w:p w:rsidR="00000000" w:rsidDel="00000000" w:rsidP="00000000" w:rsidRDefault="00000000" w:rsidRPr="00000000" w14:paraId="00000017">
      <w:pPr>
        <w:jc w:val="both"/>
        <w:rPr>
          <w:sz w:val="18"/>
          <w:szCs w:val="18"/>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b w:val="1"/>
          <w:bCs w:val="1"/>
          <w:sz w:val="20"/>
          <w:szCs w:val="20"/>
          <w:rtl w:val="0"/>
        </w:rPr>
        <w:t xml:space="preserve">Contacto para medios:</w:t>
      </w:r>
      <w:r w:rsidDel="00000000" w:rsidR="00000000" w:rsidRPr="00000000">
        <w:rPr>
          <w:sz w:val="20"/>
          <w:szCs w:val="20"/>
          <w:rtl w:val="0"/>
        </w:rPr>
        <w:t xml:space="preserve">  </w:t>
      </w:r>
    </w:p>
    <w:p w:rsidR="00000000" w:rsidDel="00000000" w:rsidP="00000000" w:rsidRDefault="00000000" w:rsidRPr="00000000" w14:paraId="00000019">
      <w:pPr>
        <w:rPr>
          <w:sz w:val="20"/>
          <w:szCs w:val="20"/>
        </w:rPr>
      </w:pPr>
      <w:r w:rsidDel="00000000" w:rsidR="00000000" w:rsidRPr="00000000">
        <w:rPr>
          <w:b w:val="1"/>
          <w:bCs w:val="1"/>
          <w:sz w:val="20"/>
          <w:szCs w:val="20"/>
          <w:rtl w:val="0"/>
        </w:rPr>
        <w:t xml:space="preserve">Eduardo Abud | </w:t>
      </w:r>
      <w:r w:rsidDel="00000000" w:rsidR="00000000" w:rsidRPr="00000000">
        <w:rPr>
          <w:sz w:val="20"/>
          <w:szCs w:val="20"/>
          <w:rtl w:val="0"/>
        </w:rPr>
        <w:t xml:space="preserve">Communications Director - LATAM | inDrive  </w:t>
      </w:r>
    </w:p>
    <w:p w:rsidR="00000000" w:rsidDel="00000000" w:rsidP="00000000" w:rsidRDefault="00000000" w:rsidRPr="00000000" w14:paraId="0000001A">
      <w:pPr>
        <w:rPr>
          <w:sz w:val="20"/>
          <w:szCs w:val="20"/>
        </w:rPr>
      </w:pPr>
      <w:hyperlink r:id="rId10">
        <w:r w:rsidDel="00000000" w:rsidR="00000000" w:rsidRPr="00000000">
          <w:rPr>
            <w:color w:val="467886"/>
            <w:sz w:val="20"/>
            <w:szCs w:val="20"/>
            <w:u w:val="single"/>
            <w:rtl w:val="0"/>
          </w:rPr>
          <w:t xml:space="preserve">eduardoa@indrive.com</w:t>
        </w:r>
      </w:hyperlink>
      <w:r w:rsidDel="00000000" w:rsidR="00000000" w:rsidRPr="00000000">
        <w:rPr>
          <w:sz w:val="20"/>
          <w:szCs w:val="20"/>
          <w:rtl w:val="0"/>
        </w:rPr>
        <w:t xml:space="preserve">  </w:t>
      </w:r>
    </w:p>
    <w:p w:rsidR="00000000" w:rsidDel="00000000" w:rsidP="00000000" w:rsidRDefault="00000000" w:rsidRPr="00000000" w14:paraId="0000001B">
      <w:pPr>
        <w:rPr>
          <w:sz w:val="20"/>
          <w:szCs w:val="20"/>
        </w:rPr>
      </w:pPr>
      <w:r w:rsidDel="00000000" w:rsidR="00000000" w:rsidRPr="00000000">
        <w:rPr>
          <w:b w:val="1"/>
          <w:bCs w:val="1"/>
          <w:sz w:val="20"/>
          <w:szCs w:val="20"/>
          <w:rtl w:val="0"/>
        </w:rPr>
        <w:t xml:space="preserve">Luis G. Fiscal | </w:t>
      </w:r>
      <w:r w:rsidDel="00000000" w:rsidR="00000000" w:rsidRPr="00000000">
        <w:rPr>
          <w:sz w:val="20"/>
          <w:szCs w:val="20"/>
          <w:rtl w:val="0"/>
        </w:rPr>
        <w:t xml:space="preserve">Sr. PR Expert | another  </w:t>
      </w:r>
    </w:p>
    <w:p w:rsidR="00000000" w:rsidDel="00000000" w:rsidP="00000000" w:rsidRDefault="00000000" w:rsidRPr="00000000" w14:paraId="0000001C">
      <w:pPr>
        <w:rPr>
          <w:sz w:val="26"/>
          <w:szCs w:val="26"/>
        </w:rPr>
      </w:pPr>
      <w:hyperlink r:id="rId11">
        <w:r w:rsidDel="00000000" w:rsidR="00000000" w:rsidRPr="00000000">
          <w:rPr>
            <w:color w:val="467886"/>
            <w:sz w:val="20"/>
            <w:szCs w:val="20"/>
            <w:u w:val="single"/>
            <w:rtl w:val="0"/>
          </w:rPr>
          <w:t xml:space="preserve">luis.fiscal@another.co</w:t>
        </w:r>
      </w:hyperlink>
      <w:r w:rsidDel="00000000" w:rsidR="00000000" w:rsidRPr="00000000">
        <w:rPr>
          <w:sz w:val="20"/>
          <w:szCs w:val="20"/>
          <w:rtl w:val="0"/>
        </w:rPr>
        <w:t xml:space="preserve">  </w:t>
      </w:r>
      <w:r w:rsidDel="00000000" w:rsidR="00000000" w:rsidRPr="00000000">
        <w:rPr>
          <w:rtl w:val="0"/>
        </w:rPr>
      </w:r>
    </w:p>
    <w:sectPr>
      <w:headerReference r:id="rId12" w:type="default"/>
      <w:footerReference r:id="rId13"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2"/>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015.0" w:type="dxa"/>
      <w:jc w:val="left"/>
      <w:tblLayout w:type="fixed"/>
      <w:tblLook w:val="0600"/>
    </w:tblPr>
    <w:tblGrid>
      <w:gridCol w:w="3005"/>
      <w:gridCol w:w="3005"/>
      <w:gridCol w:w="3005"/>
      <w:tblGridChange w:id="0">
        <w:tblGrid>
          <w:gridCol w:w="3005"/>
          <w:gridCol w:w="3005"/>
          <w:gridCol w:w="3005"/>
        </w:tblGrid>
      </w:tblGridChange>
    </w:tblGrid>
    <w:tr>
      <w:trPr>
        <w:cantSplit w:val="0"/>
        <w:trHeight w:val="300" w:hRule="atLeast"/>
        <w:tblHeader w:val="0"/>
      </w:trPr>
      <w:tc>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115"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11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s"/>
      </w:rPr>
    </w:rPrDefault>
    <w:pPrDefault>
      <w:pPr>
        <w:spacing w:after="160" w:line="27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uiPriority w:val="99"/>
    <w:unhideWhenUsed w:val="1"/>
    <w:rsid w:val="5A021E29"/>
    <w:pPr>
      <w:tabs>
        <w:tab w:val="center" w:leader="none" w:pos="4680"/>
        <w:tab w:val="right" w:leader="none" w:pos="9360"/>
      </w:tabs>
      <w:spacing w:after="0" w:line="240" w:lineRule="auto"/>
    </w:pPr>
  </w:style>
  <w:style w:type="paragraph" w:styleId="Footer">
    <w:name w:val="footer"/>
    <w:basedOn w:val="Normal"/>
    <w:uiPriority w:val="99"/>
    <w:unhideWhenUsed w:val="1"/>
    <w:rsid w:val="5A021E29"/>
    <w:pPr>
      <w:tabs>
        <w:tab w:val="center" w:leader="none" w:pos="4680"/>
        <w:tab w:val="right" w:leader="none" w:pos="9360"/>
      </w:tabs>
      <w:spacing w:after="0" w:line="240" w:lineRule="auto"/>
    </w:pPr>
  </w:style>
  <w:style w:type="character" w:styleId="Hyperlink">
    <w:name w:val="Hyperlink"/>
    <w:basedOn w:val="DefaultParagraphFont"/>
    <w:uiPriority w:val="99"/>
    <w:unhideWhenUsed w:val="1"/>
    <w:rsid w:val="5A021E29"/>
    <w:rPr>
      <w:color w:val="467886"/>
      <w:u w:val="single"/>
    </w:rPr>
  </w:style>
  <w:style w:type="paragraph" w:styleId="ListParagraph">
    <w:name w:val="List Paragraph"/>
    <w:basedOn w:val="Normal"/>
    <w:uiPriority w:val="34"/>
    <w:qFormat w:val="1"/>
    <w:rsid w:val="5A021E29"/>
    <w:pPr>
      <w:spacing/>
      <w:ind w:left="720"/>
      <w:contextualSpacing w:val="1"/>
    </w:pPr>
  </w:style>
  <w:style w:type="table" w:styleId="TableGrid">
    <w:name w:val="Table Grid"/>
    <w:basedOn w:val="TableNormal"/>
    <w:uiPriority w:val="59"/>
    <w:rsid w:val="00FB4123"/>
    <w:pPr>
      <w:spacing w:after="0" w:line="240" w:lineRule="auto"/>
    </w:pPr>
    <w:tblPr>
      <w:tblInd w:w="0.0" w:type="dxa"/>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luis.fiscal@another.co" TargetMode="External"/><Relationship Id="rId10" Type="http://schemas.openxmlformats.org/officeDocument/2006/relationships/hyperlink" Target="mailto:eduardoa@indrive.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ndrive.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indrive.com/es/home/" TargetMode="Externa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tzJepX2Nm3QAooSCJcRGREMcww==">CgMxLjAyDmguYWFicWVnNWJhZDM1Mg5oLnVtdW13dGJ4Nmx0NDIOaC5yaWliaXIyNTZ0bmw4AHIhMVRyTEVEUDlJeVd5U0pCdVFzN0pTWHRvV1lLZUlkY2Ji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2026-07-09T16:56:49.0000000Z</dcterms:created>
  <dc:creator>Diana Hernandez</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0x010100BEF8A35E8CDD4140B74EF995C17CD9E2</vt:lpwstr>
  </property>
  <property fmtid="{D5CDD505-2E9C-101B-9397-08002B2CF9AE}" pid="3" name="MediaServiceImageTags">
    <vt:lpwstr/>
  </property>
</Properties>
</file>