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61574" w:rsidRDefault="00261574">
      <w:pPr>
        <w:pStyle w:val="BodyA"/>
        <w:spacing w:after="0"/>
        <w:ind w:firstLine="720"/>
        <w:jc w:val="center"/>
        <w:rPr>
          <w:rFonts w:ascii="Gill Sans MT" w:eastAsia="Gill Sans MT" w:hAnsi="Gill Sans MT" w:cs="Gill Sans MT"/>
          <w:b/>
          <w:bCs/>
          <w:sz w:val="22"/>
          <w:szCs w:val="22"/>
        </w:rPr>
      </w:pPr>
    </w:p>
    <w:p w:rsidR="00261574" w:rsidRDefault="005F23C1">
      <w:pPr>
        <w:pStyle w:val="BodyA"/>
        <w:jc w:val="right"/>
        <w:rPr>
          <w:rFonts w:ascii="Gill Sans MT" w:eastAsia="Gill Sans MT" w:hAnsi="Gill Sans MT" w:cs="Gill Sans MT"/>
          <w:b/>
          <w:bCs/>
          <w:i/>
          <w:iCs/>
          <w:sz w:val="20"/>
          <w:szCs w:val="20"/>
          <w:u w:val="single"/>
        </w:rPr>
      </w:pPr>
      <w:r>
        <w:rPr>
          <w:rFonts w:ascii="Gill Sans MT" w:eastAsia="Gill Sans MT" w:hAnsi="Gill Sans MT" w:cs="Gill Sans MT"/>
          <w:b/>
          <w:bCs/>
          <w:i/>
          <w:iCs/>
          <w:sz w:val="20"/>
          <w:szCs w:val="20"/>
          <w:u w:val="single"/>
        </w:rPr>
        <w:t>For immediate distribution</w:t>
      </w:r>
    </w:p>
    <w:p w:rsidR="00261574" w:rsidRDefault="00261574">
      <w:pPr>
        <w:pStyle w:val="BodyA"/>
        <w:spacing w:after="0" w:line="336" w:lineRule="auto"/>
        <w:rPr>
          <w:rFonts w:ascii="Gill Sans MT" w:eastAsia="Gill Sans MT" w:hAnsi="Gill Sans MT" w:cs="Gill Sans MT"/>
          <w:b/>
          <w:bCs/>
        </w:rPr>
      </w:pPr>
    </w:p>
    <w:p w:rsidR="00261574" w:rsidRDefault="005F23C1">
      <w:pPr>
        <w:pStyle w:val="BodyA"/>
        <w:spacing w:after="0" w:line="336" w:lineRule="auto"/>
        <w:jc w:val="center"/>
        <w:rPr>
          <w:rFonts w:ascii="Gill Sans MT" w:eastAsia="Gill Sans MT" w:hAnsi="Gill Sans MT" w:cs="Gill Sans MT"/>
          <w:b/>
          <w:bCs/>
        </w:rPr>
      </w:pPr>
      <w:r>
        <w:rPr>
          <w:rFonts w:ascii="Gill Sans MT" w:eastAsia="Gill Sans MT" w:hAnsi="Gill Sans MT" w:cs="Gill Sans MT"/>
          <w:b/>
          <w:bCs/>
        </w:rPr>
        <w:t xml:space="preserve">Ferrofish A32, A32 Dante Chosen by Mobile TV Group </w:t>
      </w:r>
      <w:r>
        <w:rPr>
          <w:rFonts w:ascii="Gill Sans MT" w:eastAsia="Gill Sans MT" w:hAnsi="Gill Sans MT" w:cs="Gill Sans MT"/>
          <w:b/>
          <w:bCs/>
        </w:rPr>
        <w:br/>
        <w:t>for Live Sports Broadcasts Across the Country</w:t>
      </w:r>
    </w:p>
    <w:p w:rsidR="00261574" w:rsidRDefault="00261574">
      <w:pPr>
        <w:pStyle w:val="BodyA"/>
        <w:spacing w:after="0" w:line="336" w:lineRule="auto"/>
        <w:rPr>
          <w:rFonts w:ascii="Gill Sans MT" w:eastAsia="Gill Sans MT" w:hAnsi="Gill Sans MT" w:cs="Gill Sans MT"/>
          <w:i/>
          <w:iCs/>
        </w:rPr>
      </w:pPr>
    </w:p>
    <w:p w:rsidR="00261574" w:rsidRDefault="005F23C1">
      <w:pPr>
        <w:pStyle w:val="Normal1"/>
        <w:spacing w:line="336" w:lineRule="auto"/>
        <w:jc w:val="center"/>
        <w:rPr>
          <w:rFonts w:ascii="Gill Sans" w:eastAsia="Gill Sans" w:hAnsi="Gill Sans" w:cs="Gill Sans"/>
          <w:i/>
          <w:iCs/>
          <w:sz w:val="24"/>
          <w:szCs w:val="24"/>
        </w:rPr>
      </w:pPr>
      <w:r>
        <w:rPr>
          <w:rFonts w:ascii="Gill Sans"/>
          <w:i/>
          <w:iCs/>
          <w:sz w:val="24"/>
          <w:szCs w:val="24"/>
        </w:rPr>
        <w:t>Premium Dante- and MADI-compatible interfaces selected for their flexibility and ease of use</w:t>
      </w:r>
      <w:r>
        <w:rPr>
          <w:rFonts w:ascii="Gill Sans" w:eastAsia="Gill Sans" w:hAnsi="Gill Sans" w:cs="Gill Sans"/>
          <w:i/>
          <w:iCs/>
          <w:sz w:val="24"/>
          <w:szCs w:val="24"/>
        </w:rPr>
        <w:br/>
      </w:r>
    </w:p>
    <w:p w:rsidR="00261574" w:rsidRDefault="005F23C1">
      <w:pPr>
        <w:pStyle w:val="Normal1"/>
        <w:spacing w:line="336" w:lineRule="auto"/>
        <w:rPr>
          <w:rFonts w:ascii="Gill Sans" w:eastAsia="Gill Sans" w:hAnsi="Gill Sans" w:cs="Gill Sans"/>
          <w:sz w:val="24"/>
          <w:szCs w:val="24"/>
        </w:rPr>
      </w:pPr>
      <w:r>
        <w:rPr>
          <w:rFonts w:ascii="Gill Sans" w:eastAsia="Gill Sans" w:hAnsi="Gill Sans" w:cs="Gill Sans"/>
          <w:noProof/>
          <w:sz w:val="24"/>
          <w:szCs w:val="24"/>
        </w:rPr>
        <w:drawing>
          <wp:anchor distT="57150" distB="57150" distL="57150" distR="57150" simplePos="0" relativeHeight="251660288" behindDoc="0" locked="0" layoutInCell="1" allowOverlap="1">
            <wp:simplePos x="0" y="0"/>
            <wp:positionH relativeFrom="column">
              <wp:posOffset>3505200</wp:posOffset>
            </wp:positionH>
            <wp:positionV relativeFrom="line">
              <wp:posOffset>493394</wp:posOffset>
            </wp:positionV>
            <wp:extent cx="2743200" cy="2057400"/>
            <wp:effectExtent l="0" t="0" r="0" b="0"/>
            <wp:wrapThrough wrapText="bothSides" distL="57150" distR="57150">
              <wp:wrapPolygon edited="1">
                <wp:start x="0" y="0"/>
                <wp:lineTo x="0" y="21600"/>
                <wp:lineTo x="21600" y="21600"/>
                <wp:lineTo x="21600" y="0"/>
                <wp:lineTo x="0" y="0"/>
              </wp:wrapPolygon>
            </wp:wrapThrough>
            <wp:docPr id="1073741825" name="officeArt object" descr="katiekailus:Users:jennydomine:Desktop:20171117_100543.jpg"/>
            <wp:cNvGraphicFramePr/>
            <a:graphic xmlns:a="http://schemas.openxmlformats.org/drawingml/2006/main">
              <a:graphicData uri="http://schemas.openxmlformats.org/drawingml/2006/picture">
                <pic:pic xmlns:pic="http://schemas.openxmlformats.org/drawingml/2006/picture">
                  <pic:nvPicPr>
                    <pic:cNvPr id="1073741825" name="image1.jpeg" descr="katiekailus:Users:jennydomine:Desktop:20171117_100543.jpg"/>
                    <pic:cNvPicPr/>
                  </pic:nvPicPr>
                  <pic:blipFill>
                    <a:blip r:embed="rId4">
                      <a:extLst/>
                    </a:blip>
                    <a:stretch>
                      <a:fillRect/>
                    </a:stretch>
                  </pic:blipFill>
                  <pic:spPr>
                    <a:xfrm>
                      <a:off x="0" y="0"/>
                      <a:ext cx="2743200" cy="2057400"/>
                    </a:xfrm>
                    <a:prstGeom prst="rect">
                      <a:avLst/>
                    </a:prstGeom>
                    <a:ln w="12700" cap="flat">
                      <a:noFill/>
                      <a:miter lim="400000"/>
                    </a:ln>
                    <a:effectLst/>
                  </pic:spPr>
                </pic:pic>
              </a:graphicData>
            </a:graphic>
          </wp:anchor>
        </w:drawing>
      </w:r>
      <w:r>
        <w:rPr>
          <w:rFonts w:ascii="Gill Sans"/>
          <w:b/>
          <w:bCs/>
          <w:sz w:val="24"/>
          <w:szCs w:val="24"/>
        </w:rPr>
        <w:t xml:space="preserve">Englewood, CO </w:t>
      </w:r>
      <w:r>
        <w:rPr>
          <w:rFonts w:hAnsi="Gill Sans"/>
          <w:b/>
          <w:bCs/>
          <w:sz w:val="24"/>
          <w:szCs w:val="24"/>
        </w:rPr>
        <w:t>–</w:t>
      </w:r>
      <w:r>
        <w:rPr>
          <w:rFonts w:hAnsi="Gill Sans"/>
          <w:b/>
          <w:bCs/>
          <w:sz w:val="24"/>
          <w:szCs w:val="24"/>
        </w:rPr>
        <w:t xml:space="preserve"> </w:t>
      </w:r>
      <w:r>
        <w:rPr>
          <w:rFonts w:ascii="Gill Sans"/>
          <w:b/>
          <w:bCs/>
          <w:sz w:val="24"/>
          <w:szCs w:val="24"/>
        </w:rPr>
        <w:t xml:space="preserve">November </w:t>
      </w:r>
      <w:r w:rsidR="00D11A85">
        <w:rPr>
          <w:rFonts w:ascii="Gill Sans"/>
          <w:b/>
          <w:bCs/>
          <w:sz w:val="24"/>
          <w:szCs w:val="24"/>
        </w:rPr>
        <w:t>28</w:t>
      </w:r>
      <w:r>
        <w:rPr>
          <w:rFonts w:ascii="Gill Sans"/>
          <w:b/>
          <w:bCs/>
          <w:sz w:val="24"/>
          <w:szCs w:val="24"/>
        </w:rPr>
        <w:t xml:space="preserve">, 2017 </w:t>
      </w:r>
      <w:r>
        <w:rPr>
          <w:rFonts w:hAnsi="Gill Sans"/>
          <w:b/>
          <w:bCs/>
          <w:sz w:val="24"/>
          <w:szCs w:val="24"/>
        </w:rPr>
        <w:t>–</w:t>
      </w:r>
      <w:r>
        <w:rPr>
          <w:rFonts w:hAnsi="Gill Sans"/>
          <w:b/>
          <w:bCs/>
          <w:sz w:val="24"/>
          <w:szCs w:val="24"/>
        </w:rPr>
        <w:t xml:space="preserve"> </w:t>
      </w:r>
      <w:hyperlink r:id="rId5" w:history="1">
        <w:r>
          <w:rPr>
            <w:rStyle w:val="Hyperlink0"/>
          </w:rPr>
          <w:t>Ferrofish</w:t>
        </w:r>
      </w:hyperlink>
      <w:r>
        <w:rPr>
          <w:rFonts w:hAnsi="Gill Sans"/>
          <w:color w:val="1155CC"/>
          <w:sz w:val="24"/>
          <w:szCs w:val="24"/>
          <w:u w:val="single" w:color="1155CC"/>
        </w:rPr>
        <w:t>’</w:t>
      </w:r>
      <w:r>
        <w:rPr>
          <w:rFonts w:ascii="Gill Sans"/>
          <w:color w:val="1155CC"/>
          <w:sz w:val="24"/>
          <w:szCs w:val="24"/>
          <w:u w:val="single" w:color="1155CC"/>
        </w:rPr>
        <w:t>s</w:t>
      </w:r>
      <w:r>
        <w:rPr>
          <w:rFonts w:ascii="Gill Sans"/>
          <w:sz w:val="24"/>
          <w:szCs w:val="24"/>
        </w:rPr>
        <w:t xml:space="preserve"> A32 and A32 Dante, the premium Ge</w:t>
      </w:r>
      <w:r>
        <w:rPr>
          <w:rFonts w:ascii="Gill Sans"/>
          <w:sz w:val="24"/>
          <w:szCs w:val="24"/>
        </w:rPr>
        <w:t>r</w:t>
      </w:r>
      <w:r>
        <w:rPr>
          <w:rFonts w:ascii="Gill Sans"/>
          <w:sz w:val="24"/>
          <w:szCs w:val="24"/>
        </w:rPr>
        <w:t>man-manufactured AD/DA converters, have been selected by Mobile TV Group, a broadcast company which deploys mobile units across the nation for the broadcasting of sporting events, including r</w:t>
      </w:r>
      <w:r>
        <w:rPr>
          <w:rFonts w:ascii="Gill Sans"/>
          <w:sz w:val="24"/>
          <w:szCs w:val="24"/>
        </w:rPr>
        <w:t>e</w:t>
      </w:r>
      <w:r>
        <w:rPr>
          <w:rFonts w:ascii="Gill Sans"/>
          <w:sz w:val="24"/>
          <w:szCs w:val="24"/>
        </w:rPr>
        <w:t>gional and national NBA, NHL, MLB and college football games.</w:t>
      </w:r>
    </w:p>
    <w:p w:rsidR="00261574" w:rsidRDefault="005F23C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rPr>
      </w:pPr>
      <w:r>
        <w:rPr>
          <w:rFonts w:ascii="Gill Sans"/>
        </w:rPr>
        <w:t>Ferrofish's A32 and A32 Dante are used in three of Mobile TV Group</w:t>
      </w:r>
      <w:r>
        <w:rPr>
          <w:rFonts w:hAnsi="Gill Sans"/>
        </w:rPr>
        <w:t>’</w:t>
      </w:r>
      <w:r>
        <w:rPr>
          <w:rFonts w:ascii="Gill Sans"/>
        </w:rPr>
        <w:t>s mobile units: 39 Flex, 42 Flex and 42 VMU. Mobile unit 39 Flex includes the company</w:t>
      </w:r>
      <w:r>
        <w:rPr>
          <w:rFonts w:hAnsi="Gill Sans"/>
        </w:rPr>
        <w:t>’</w:t>
      </w:r>
      <w:r>
        <w:rPr>
          <w:rFonts w:ascii="Gill Sans"/>
        </w:rPr>
        <w:t>s fiber booth kit which employs two A32s which receive audio from the announce booth in the venue and send it back out to the truck on one fiber. Because of limited space in most venues, Mobile TV Group</w:t>
      </w:r>
      <w:r>
        <w:rPr>
          <w:rFonts w:hAnsi="Gill Sans"/>
        </w:rPr>
        <w:t>’</w:t>
      </w:r>
      <w:r>
        <w:rPr>
          <w:rFonts w:ascii="Gill Sans"/>
        </w:rPr>
        <w:t>s D</w:t>
      </w:r>
      <w:r>
        <w:rPr>
          <w:rFonts w:ascii="Gill Sans"/>
        </w:rPr>
        <w:t>i</w:t>
      </w:r>
      <w:r>
        <w:rPr>
          <w:rFonts w:ascii="Gill Sans"/>
        </w:rPr>
        <w:t>rector of Engineering Peter Wehner was looking for a compact solution for this process, which is fr</w:t>
      </w:r>
      <w:r>
        <w:rPr>
          <w:rFonts w:ascii="Gill Sans"/>
        </w:rPr>
        <w:t>e</w:t>
      </w:r>
      <w:r>
        <w:rPr>
          <w:rFonts w:ascii="Gill Sans"/>
        </w:rPr>
        <w:t>quently used for college football broadcasts.</w:t>
      </w:r>
    </w:p>
    <w:p w:rsidR="00261574" w:rsidRDefault="00261574">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rPr>
      </w:pPr>
    </w:p>
    <w:p w:rsidR="00261574" w:rsidRDefault="005F23C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rPr>
      </w:pPr>
      <w:r>
        <w:rPr>
          <w:rFonts w:hAnsi="Gill Sans"/>
        </w:rPr>
        <w:t>“</w:t>
      </w:r>
      <w:r>
        <w:rPr>
          <w:rFonts w:ascii="Gill Sans"/>
        </w:rPr>
        <w:t>Our clients want these fiber booth kits, but we need them to be very compact and small because of the limited space,</w:t>
      </w:r>
      <w:r>
        <w:rPr>
          <w:rFonts w:hAnsi="Gill Sans"/>
        </w:rPr>
        <w:t>”</w:t>
      </w:r>
      <w:r>
        <w:rPr>
          <w:rFonts w:hAnsi="Gill Sans"/>
        </w:rPr>
        <w:t xml:space="preserve"> </w:t>
      </w:r>
      <w:r>
        <w:rPr>
          <w:rFonts w:ascii="Gill Sans"/>
        </w:rPr>
        <w:t xml:space="preserve">Wehner said. </w:t>
      </w:r>
      <w:r>
        <w:rPr>
          <w:rFonts w:hAnsi="Gill Sans"/>
        </w:rPr>
        <w:t>“</w:t>
      </w:r>
      <w:r>
        <w:rPr>
          <w:rFonts w:ascii="Gill Sans"/>
        </w:rPr>
        <w:t>I set out to make the whole booth kit a six rack unit or less. We used the Ferrofish A32 Dante to take all of our 32 channels of analog audio to and from the booth. It goes into the Ferrofish Dante, converts to Dante and then converts to fiber to get the audio back to and from the trucks.</w:t>
      </w:r>
      <w:r>
        <w:rPr>
          <w:rFonts w:hAnsi="Gill Sans"/>
        </w:rPr>
        <w:t>”</w:t>
      </w:r>
    </w:p>
    <w:p w:rsidR="00261574" w:rsidRDefault="00261574">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rPr>
      </w:pPr>
    </w:p>
    <w:p w:rsidR="00261574" w:rsidRDefault="005F23C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bCs/>
        </w:rPr>
      </w:pPr>
      <w:r>
        <w:rPr>
          <w:rFonts w:ascii="Gill Sans"/>
          <w:b/>
          <w:bCs/>
        </w:rPr>
        <w:t>Dual-Feed Solution</w:t>
      </w:r>
    </w:p>
    <w:p w:rsidR="00261574" w:rsidRDefault="005F23C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rPr>
      </w:pPr>
      <w:r>
        <w:rPr>
          <w:rFonts w:ascii="Gill Sans"/>
        </w:rPr>
        <w:t>Mobile TV Group also employed Ferrofish</w:t>
      </w:r>
      <w:r>
        <w:rPr>
          <w:rFonts w:hAnsi="Gill Sans"/>
        </w:rPr>
        <w:t>’</w:t>
      </w:r>
      <w:r>
        <w:rPr>
          <w:rFonts w:ascii="Gill Sans"/>
        </w:rPr>
        <w:t xml:space="preserve">s A32 in mobile unit 42 VMU, which the company dubs its </w:t>
      </w:r>
      <w:r>
        <w:rPr>
          <w:rFonts w:hAnsi="Gill Sans"/>
        </w:rPr>
        <w:t>“</w:t>
      </w:r>
      <w:r>
        <w:rPr>
          <w:rFonts w:ascii="Gill Sans"/>
        </w:rPr>
        <w:t>Shared Resource</w:t>
      </w:r>
      <w:r>
        <w:rPr>
          <w:rFonts w:hAnsi="Gill Sans"/>
        </w:rPr>
        <w:t>”</w:t>
      </w:r>
      <w:r>
        <w:rPr>
          <w:rFonts w:hAnsi="Gill Sans"/>
        </w:rPr>
        <w:t xml:space="preserve"> </w:t>
      </w:r>
      <w:r>
        <w:rPr>
          <w:rFonts w:ascii="Gill Sans"/>
        </w:rPr>
        <w:t xml:space="preserve">unit that handles dual-feed production </w:t>
      </w:r>
      <w:r>
        <w:rPr>
          <w:rFonts w:hAnsi="Gill Sans"/>
        </w:rPr>
        <w:t>—</w:t>
      </w:r>
      <w:r>
        <w:rPr>
          <w:rFonts w:hAnsi="Gill Sans"/>
        </w:rPr>
        <w:t xml:space="preserve"> </w:t>
      </w:r>
      <w:r>
        <w:rPr>
          <w:rFonts w:ascii="Gill Sans"/>
        </w:rPr>
        <w:t>a process Mobile TV Group has pi</w:t>
      </w:r>
      <w:r>
        <w:rPr>
          <w:rFonts w:ascii="Gill Sans"/>
        </w:rPr>
        <w:t>o</w:t>
      </w:r>
      <w:r>
        <w:rPr>
          <w:rFonts w:ascii="Gill Sans"/>
        </w:rPr>
        <w:t>neered. This process is used when the company has two clients or teams each doing individual broa</w:t>
      </w:r>
      <w:r>
        <w:rPr>
          <w:rFonts w:ascii="Gill Sans"/>
        </w:rPr>
        <w:t>d</w:t>
      </w:r>
      <w:r>
        <w:rPr>
          <w:rFonts w:ascii="Gill Sans"/>
        </w:rPr>
        <w:t xml:space="preserve">casts and sharing resources. </w:t>
      </w:r>
    </w:p>
    <w:p w:rsidR="00261574" w:rsidRDefault="005F23C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rPr>
      </w:pPr>
      <w:r>
        <w:rPr>
          <w:rFonts w:ascii="Gill Sans" w:eastAsia="Gill Sans" w:hAnsi="Gill Sans" w:cs="Gill Sans"/>
          <w:noProof/>
        </w:rPr>
        <w:drawing>
          <wp:anchor distT="57150" distB="57150" distL="57150" distR="57150" simplePos="0" relativeHeight="251659264" behindDoc="0" locked="0" layoutInCell="1" allowOverlap="1">
            <wp:simplePos x="0" y="0"/>
            <wp:positionH relativeFrom="column">
              <wp:posOffset>-152400</wp:posOffset>
            </wp:positionH>
            <wp:positionV relativeFrom="line">
              <wp:posOffset>179068</wp:posOffset>
            </wp:positionV>
            <wp:extent cx="2599055" cy="1362075"/>
            <wp:effectExtent l="0" t="0" r="0" b="0"/>
            <wp:wrapThrough wrapText="bothSides" distL="57150" distR="57150">
              <wp:wrapPolygon edited="1">
                <wp:start x="0" y="0"/>
                <wp:lineTo x="0" y="21600"/>
                <wp:lineTo x="21600" y="21600"/>
                <wp:lineTo x="21600" y="0"/>
                <wp:lineTo x="0" y="0"/>
              </wp:wrapPolygon>
            </wp:wrapThrough>
            <wp:docPr id="1073741826" name="officeArt object" descr="katiekailus:Users:jennydomine:Desktop:a32dantefront.jpg"/>
            <wp:cNvGraphicFramePr/>
            <a:graphic xmlns:a="http://schemas.openxmlformats.org/drawingml/2006/main">
              <a:graphicData uri="http://schemas.openxmlformats.org/drawingml/2006/picture">
                <pic:pic xmlns:pic="http://schemas.openxmlformats.org/drawingml/2006/picture">
                  <pic:nvPicPr>
                    <pic:cNvPr id="1073741826" name="image2.jpeg" descr="katiekailus:Users:jennydomine:Desktop:a32dantefront.jpg"/>
                    <pic:cNvPicPr/>
                  </pic:nvPicPr>
                  <pic:blipFill>
                    <a:blip r:embed="rId6">
                      <a:extLst/>
                    </a:blip>
                    <a:stretch>
                      <a:fillRect/>
                    </a:stretch>
                  </pic:blipFill>
                  <pic:spPr>
                    <a:xfrm>
                      <a:off x="0" y="0"/>
                      <a:ext cx="2599055" cy="1362075"/>
                    </a:xfrm>
                    <a:prstGeom prst="rect">
                      <a:avLst/>
                    </a:prstGeom>
                    <a:ln w="12700" cap="flat">
                      <a:noFill/>
                      <a:miter lim="400000"/>
                    </a:ln>
                    <a:effectLst/>
                  </pic:spPr>
                </pic:pic>
              </a:graphicData>
            </a:graphic>
          </wp:anchor>
        </w:drawing>
      </w:r>
    </w:p>
    <w:p w:rsidR="00261574" w:rsidRDefault="005F23C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rPr>
      </w:pPr>
      <w:r>
        <w:rPr>
          <w:rFonts w:hAnsi="Gill Sans"/>
        </w:rPr>
        <w:t>“</w:t>
      </w:r>
      <w:r>
        <w:rPr>
          <w:rFonts w:ascii="Gill Sans"/>
        </w:rPr>
        <w:t>We have one production switcher, and we spilt it in half,</w:t>
      </w:r>
      <w:r>
        <w:rPr>
          <w:rFonts w:hAnsi="Gill Sans"/>
        </w:rPr>
        <w:t>”</w:t>
      </w:r>
      <w:r>
        <w:rPr>
          <w:rFonts w:hAnsi="Gill Sans"/>
        </w:rPr>
        <w:t xml:space="preserve"> </w:t>
      </w:r>
      <w:r>
        <w:rPr>
          <w:rFonts w:ascii="Gill Sans"/>
        </w:rPr>
        <w:t xml:space="preserve">Wehner explained. </w:t>
      </w:r>
      <w:r>
        <w:rPr>
          <w:rFonts w:hAnsi="Gill Sans"/>
        </w:rPr>
        <w:t>“</w:t>
      </w:r>
      <w:r>
        <w:rPr>
          <w:rFonts w:ascii="Gill Sans"/>
        </w:rPr>
        <w:t>One show has half of the switcher and the other has the other half, and then they share the cameras. There</w:t>
      </w:r>
      <w:r>
        <w:rPr>
          <w:rFonts w:hAnsi="Gill Sans"/>
        </w:rPr>
        <w:t>’</w:t>
      </w:r>
      <w:r>
        <w:rPr>
          <w:rFonts w:ascii="Gill Sans"/>
        </w:rPr>
        <w:t>s a lot of sharing going on which is basically a cost reduction for them, but it requires two distinct shows going on at once.</w:t>
      </w:r>
      <w:r>
        <w:rPr>
          <w:rFonts w:hAnsi="Gill Sans"/>
        </w:rPr>
        <w:t>”</w:t>
      </w:r>
    </w:p>
    <w:p w:rsidR="00261574" w:rsidRDefault="00261574">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rPr>
      </w:pPr>
    </w:p>
    <w:p w:rsidR="00261574" w:rsidRDefault="005F23C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rPr>
      </w:pPr>
      <w:r>
        <w:rPr>
          <w:rFonts w:ascii="Gill Sans"/>
        </w:rPr>
        <w:t xml:space="preserve">Mobile TV Group utilizes two trailers for this process </w:t>
      </w:r>
      <w:r>
        <w:rPr>
          <w:rFonts w:hAnsi="Gill Sans"/>
        </w:rPr>
        <w:t>—</w:t>
      </w:r>
      <w:r>
        <w:rPr>
          <w:rFonts w:hAnsi="Gill Sans"/>
        </w:rPr>
        <w:t xml:space="preserve"> </w:t>
      </w:r>
      <w:r>
        <w:rPr>
          <w:rFonts w:ascii="Gill Sans"/>
        </w:rPr>
        <w:t>the main truck, or the A unit, and the se</w:t>
      </w:r>
      <w:r>
        <w:rPr>
          <w:rFonts w:ascii="Gill Sans"/>
        </w:rPr>
        <w:t>c</w:t>
      </w:r>
      <w:r>
        <w:rPr>
          <w:rFonts w:ascii="Gill Sans"/>
        </w:rPr>
        <w:t>ond truck, VMU (Visitor Mobile Unit). The Ferrofish A32 is used to move audio via MADI between the two trucks.</w:t>
      </w:r>
    </w:p>
    <w:p w:rsidR="00261574" w:rsidRDefault="00261574">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rPr>
      </w:pPr>
    </w:p>
    <w:p w:rsidR="00261574" w:rsidRDefault="005F23C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rPr>
      </w:pPr>
      <w:r>
        <w:rPr>
          <w:rFonts w:hAnsi="Gill Sans"/>
        </w:rPr>
        <w:t>“</w:t>
      </w:r>
      <w:r>
        <w:rPr>
          <w:rFonts w:ascii="Gill Sans"/>
        </w:rPr>
        <w:t>The main truck has all the resources, and we extend everything over to the VMU,</w:t>
      </w:r>
      <w:r>
        <w:rPr>
          <w:rFonts w:hAnsi="Gill Sans"/>
        </w:rPr>
        <w:t>”</w:t>
      </w:r>
      <w:r>
        <w:rPr>
          <w:rFonts w:hAnsi="Gill Sans"/>
        </w:rPr>
        <w:t xml:space="preserve"> </w:t>
      </w:r>
      <w:r>
        <w:rPr>
          <w:rFonts w:ascii="Gill Sans"/>
        </w:rPr>
        <w:t xml:space="preserve">Wehner said. </w:t>
      </w:r>
      <w:r>
        <w:rPr>
          <w:rFonts w:hAnsi="Gill Sans"/>
        </w:rPr>
        <w:t>“</w:t>
      </w:r>
      <w:r>
        <w:rPr>
          <w:rFonts w:ascii="Gill Sans"/>
        </w:rPr>
        <w:t>The A32 is helpful in this instance because it can take a lot of different types of audio in.</w:t>
      </w:r>
      <w:r>
        <w:rPr>
          <w:rFonts w:hAnsi="Gill Sans"/>
        </w:rPr>
        <w:t>”</w:t>
      </w:r>
    </w:p>
    <w:p w:rsidR="00261574" w:rsidRDefault="00261574">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rPr>
      </w:pPr>
    </w:p>
    <w:p w:rsidR="00261574" w:rsidRDefault="005F23C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bCs/>
        </w:rPr>
      </w:pPr>
      <w:r>
        <w:rPr>
          <w:rFonts w:ascii="Gill Sans"/>
          <w:b/>
          <w:bCs/>
        </w:rPr>
        <w:t>Flexibility &amp; Footprint</w:t>
      </w:r>
    </w:p>
    <w:p w:rsidR="00261574" w:rsidRDefault="005F23C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rPr>
      </w:pPr>
      <w:r>
        <w:rPr>
          <w:rFonts w:ascii="Gill Sans"/>
        </w:rPr>
        <w:t>One factor that drew Wehner to the Ferrofish interfaces was flexibility and ease of use.</w:t>
      </w:r>
    </w:p>
    <w:p w:rsidR="00261574" w:rsidRDefault="00261574">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rPr>
      </w:pPr>
    </w:p>
    <w:p w:rsidR="00261574" w:rsidRDefault="005F23C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rPr>
      </w:pPr>
      <w:r>
        <w:rPr>
          <w:rFonts w:hAnsi="Gill Sans"/>
        </w:rPr>
        <w:t>“</w:t>
      </w:r>
      <w:r>
        <w:rPr>
          <w:rFonts w:ascii="Gill Sans"/>
        </w:rPr>
        <w:t>The thing that stands out about the A32 and A32 Dante is that they</w:t>
      </w:r>
      <w:r>
        <w:rPr>
          <w:rFonts w:hAnsi="Gill Sans"/>
        </w:rPr>
        <w:t>’</w:t>
      </w:r>
      <w:r>
        <w:rPr>
          <w:rFonts w:ascii="Gill Sans"/>
        </w:rPr>
        <w:t>re extremely flexible,</w:t>
      </w:r>
      <w:r>
        <w:rPr>
          <w:rFonts w:hAnsi="Gill Sans"/>
        </w:rPr>
        <w:t>”</w:t>
      </w:r>
      <w:r>
        <w:rPr>
          <w:rFonts w:hAnsi="Gill Sans"/>
        </w:rPr>
        <w:t xml:space="preserve"> </w:t>
      </w:r>
      <w:r>
        <w:rPr>
          <w:rFonts w:ascii="Gill Sans"/>
        </w:rPr>
        <w:t xml:space="preserve">Wehner said </w:t>
      </w:r>
      <w:r>
        <w:rPr>
          <w:rFonts w:hAnsi="Gill Sans"/>
        </w:rPr>
        <w:t>“</w:t>
      </w:r>
      <w:r>
        <w:rPr>
          <w:rFonts w:ascii="Gill Sans"/>
        </w:rPr>
        <w:t xml:space="preserve">They can take a lot of different types of audio in </w:t>
      </w:r>
      <w:r>
        <w:rPr>
          <w:rFonts w:hAnsi="Gill Sans"/>
        </w:rPr>
        <w:t>—</w:t>
      </w:r>
      <w:r>
        <w:rPr>
          <w:rFonts w:hAnsi="Gill Sans"/>
        </w:rPr>
        <w:t xml:space="preserve"> </w:t>
      </w:r>
      <w:r>
        <w:rPr>
          <w:rFonts w:ascii="Gill Sans"/>
        </w:rPr>
        <w:t xml:space="preserve">Dante, MADI and ADAT </w:t>
      </w:r>
      <w:r>
        <w:rPr>
          <w:rFonts w:hAnsi="Gill Sans"/>
        </w:rPr>
        <w:t>—</w:t>
      </w:r>
      <w:r>
        <w:rPr>
          <w:rFonts w:hAnsi="Gill Sans"/>
        </w:rPr>
        <w:t xml:space="preserve"> </w:t>
      </w:r>
      <w:r>
        <w:rPr>
          <w:rFonts w:ascii="Gill Sans"/>
        </w:rPr>
        <w:t>and combine it all into one, and we can route internally in the box. Anything in can be anything out.</w:t>
      </w:r>
      <w:r>
        <w:rPr>
          <w:rFonts w:hAnsi="Gill Sans"/>
        </w:rPr>
        <w:t>”</w:t>
      </w:r>
    </w:p>
    <w:p w:rsidR="00261574" w:rsidRDefault="005F23C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rPr>
      </w:pPr>
      <w:r>
        <w:rPr>
          <w:rFonts w:ascii="Gill Sans" w:eastAsia="Gill Sans" w:hAnsi="Gill Sans" w:cs="Gill Sans"/>
          <w:noProof/>
        </w:rPr>
        <w:drawing>
          <wp:anchor distT="57150" distB="57150" distL="57150" distR="57150" simplePos="0" relativeHeight="251661312" behindDoc="0" locked="0" layoutInCell="1" allowOverlap="1">
            <wp:simplePos x="0" y="0"/>
            <wp:positionH relativeFrom="column">
              <wp:posOffset>3810000</wp:posOffset>
            </wp:positionH>
            <wp:positionV relativeFrom="line">
              <wp:posOffset>232409</wp:posOffset>
            </wp:positionV>
            <wp:extent cx="2514600" cy="1885950"/>
            <wp:effectExtent l="0" t="0" r="0" b="0"/>
            <wp:wrapThrough wrapText="bothSides" distL="57150" distR="57150">
              <wp:wrapPolygon edited="1">
                <wp:start x="0" y="0"/>
                <wp:lineTo x="0" y="21600"/>
                <wp:lineTo x="21600" y="21600"/>
                <wp:lineTo x="21600" y="0"/>
                <wp:lineTo x="0" y="0"/>
              </wp:wrapPolygon>
            </wp:wrapThrough>
            <wp:docPr id="1073741827" name="officeArt object" descr="katiekailus:Users:jennydomine:Desktop:20171117_100444.jpg"/>
            <wp:cNvGraphicFramePr/>
            <a:graphic xmlns:a="http://schemas.openxmlformats.org/drawingml/2006/main">
              <a:graphicData uri="http://schemas.openxmlformats.org/drawingml/2006/picture">
                <pic:pic xmlns:pic="http://schemas.openxmlformats.org/drawingml/2006/picture">
                  <pic:nvPicPr>
                    <pic:cNvPr id="1073741827" name="image3.jpeg" descr="katiekailus:Users:jennydomine:Desktop:20171117_100444.jpg"/>
                    <pic:cNvPicPr/>
                  </pic:nvPicPr>
                  <pic:blipFill>
                    <a:blip r:embed="rId7">
                      <a:extLst/>
                    </a:blip>
                    <a:stretch>
                      <a:fillRect/>
                    </a:stretch>
                  </pic:blipFill>
                  <pic:spPr>
                    <a:xfrm>
                      <a:off x="0" y="0"/>
                      <a:ext cx="2514600" cy="1885950"/>
                    </a:xfrm>
                    <a:prstGeom prst="rect">
                      <a:avLst/>
                    </a:prstGeom>
                    <a:ln w="12700" cap="flat">
                      <a:noFill/>
                      <a:miter lim="400000"/>
                    </a:ln>
                    <a:effectLst/>
                  </pic:spPr>
                </pic:pic>
              </a:graphicData>
            </a:graphic>
          </wp:anchor>
        </w:drawing>
      </w:r>
    </w:p>
    <w:p w:rsidR="00261574" w:rsidRDefault="005F23C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rPr>
      </w:pPr>
      <w:r>
        <w:rPr>
          <w:rFonts w:ascii="Gill Sans"/>
        </w:rPr>
        <w:t>Additionally, Wehner appreciates the interfaces</w:t>
      </w:r>
      <w:r>
        <w:rPr>
          <w:rFonts w:hAnsi="Gill Sans"/>
        </w:rPr>
        <w:t>’</w:t>
      </w:r>
      <w:r>
        <w:rPr>
          <w:rFonts w:hAnsi="Gill Sans"/>
        </w:rPr>
        <w:t xml:space="preserve"> </w:t>
      </w:r>
      <w:r>
        <w:rPr>
          <w:rFonts w:ascii="Gill Sans"/>
        </w:rPr>
        <w:t xml:space="preserve">redundancy capabilities </w:t>
      </w:r>
      <w:r>
        <w:rPr>
          <w:rFonts w:hAnsi="Gill Sans"/>
        </w:rPr>
        <w:t>—</w:t>
      </w:r>
      <w:r>
        <w:rPr>
          <w:rFonts w:hAnsi="Gill Sans"/>
        </w:rPr>
        <w:t xml:space="preserve"> </w:t>
      </w:r>
      <w:r>
        <w:rPr>
          <w:rFonts w:ascii="Gill Sans"/>
        </w:rPr>
        <w:t>a must he said for this type of broadcasting.</w:t>
      </w:r>
    </w:p>
    <w:p w:rsidR="00261574" w:rsidRDefault="00261574">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rPr>
      </w:pPr>
    </w:p>
    <w:p w:rsidR="00261574" w:rsidRDefault="005F23C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rPr>
      </w:pPr>
      <w:r>
        <w:rPr>
          <w:rFonts w:hAnsi="Gill Sans"/>
        </w:rPr>
        <w:t>“</w:t>
      </w:r>
      <w:r>
        <w:rPr>
          <w:rFonts w:ascii="Gill Sans"/>
        </w:rPr>
        <w:t>What we really found interesting with the Dante unit is that we can run Dante and MADI at the same time, and if one fails it will automatically change to the other one,</w:t>
      </w:r>
      <w:r>
        <w:rPr>
          <w:rFonts w:hAnsi="Gill Sans"/>
        </w:rPr>
        <w:t>”</w:t>
      </w:r>
      <w:r>
        <w:rPr>
          <w:rFonts w:hAnsi="Gill Sans"/>
        </w:rPr>
        <w:t xml:space="preserve"> </w:t>
      </w:r>
      <w:r>
        <w:rPr>
          <w:rFonts w:ascii="Gill Sans"/>
        </w:rPr>
        <w:t xml:space="preserve">Wehner said. </w:t>
      </w:r>
      <w:r>
        <w:rPr>
          <w:rFonts w:hAnsi="Gill Sans"/>
        </w:rPr>
        <w:t>“</w:t>
      </w:r>
      <w:r>
        <w:rPr>
          <w:rFonts w:ascii="Gill Sans"/>
        </w:rPr>
        <w:t>Redundancy is a big thing with us in broadcasting with these trucks, so that was a huge plus and it</w:t>
      </w:r>
      <w:r>
        <w:rPr>
          <w:rFonts w:hAnsi="Gill Sans"/>
        </w:rPr>
        <w:t>’</w:t>
      </w:r>
      <w:r>
        <w:rPr>
          <w:rFonts w:ascii="Gill Sans"/>
        </w:rPr>
        <w:t>s not available in any other product that I</w:t>
      </w:r>
      <w:r>
        <w:rPr>
          <w:rFonts w:hAnsi="Gill Sans"/>
        </w:rPr>
        <w:t>’</w:t>
      </w:r>
      <w:r>
        <w:rPr>
          <w:rFonts w:ascii="Gill Sans"/>
        </w:rPr>
        <w:t>m aware of. Plus, there are dual-power supplies in them. Everything can be run from the front panel and that was a huge plus for us without having to get a computer out and change settings.</w:t>
      </w:r>
      <w:r>
        <w:rPr>
          <w:rFonts w:hAnsi="Gill Sans"/>
        </w:rPr>
        <w:t>”</w:t>
      </w:r>
      <w:r>
        <w:rPr>
          <w:rFonts w:hAnsi="Gill Sans"/>
        </w:rPr>
        <w:t xml:space="preserve"> </w:t>
      </w:r>
    </w:p>
    <w:p w:rsidR="00261574" w:rsidRDefault="00261574">
      <w:pPr>
        <w:pStyle w:val="Normal1"/>
        <w:spacing w:line="336" w:lineRule="auto"/>
        <w:rPr>
          <w:rFonts w:ascii="Gill Sans" w:eastAsia="Gill Sans" w:hAnsi="Gill Sans" w:cs="Gill Sans"/>
          <w:sz w:val="24"/>
          <w:szCs w:val="24"/>
        </w:rPr>
      </w:pPr>
    </w:p>
    <w:p w:rsidR="00261574" w:rsidRDefault="005F23C1">
      <w:pPr>
        <w:pStyle w:val="Normal1"/>
        <w:spacing w:line="336" w:lineRule="auto"/>
        <w:rPr>
          <w:rFonts w:ascii="Gill Sans" w:eastAsia="Gill Sans" w:hAnsi="Gill Sans" w:cs="Gill Sans"/>
          <w:sz w:val="24"/>
          <w:szCs w:val="24"/>
        </w:rPr>
      </w:pPr>
      <w:r>
        <w:rPr>
          <w:rFonts w:ascii="Gill Sans"/>
          <w:sz w:val="24"/>
          <w:szCs w:val="24"/>
        </w:rPr>
        <w:t xml:space="preserve">For more information about the A32 Dante, visit </w:t>
      </w:r>
      <w:hyperlink r:id="rId8" w:history="1">
        <w:r>
          <w:rPr>
            <w:rStyle w:val="Hyperlink0"/>
          </w:rPr>
          <w:t>ferrofish.com</w:t>
        </w:r>
      </w:hyperlink>
      <w:r>
        <w:rPr>
          <w:rFonts w:ascii="Gill Sans"/>
          <w:sz w:val="24"/>
          <w:szCs w:val="24"/>
        </w:rPr>
        <w:t>.</w:t>
      </w:r>
    </w:p>
    <w:p w:rsidR="00261574" w:rsidRDefault="005F23C1">
      <w:pPr>
        <w:pStyle w:val="Normal1"/>
        <w:spacing w:line="336" w:lineRule="auto"/>
        <w:rPr>
          <w:rFonts w:ascii="Gill Sans" w:eastAsia="Gill Sans" w:hAnsi="Gill Sans" w:cs="Gill Sans"/>
          <w:sz w:val="24"/>
          <w:szCs w:val="24"/>
        </w:rPr>
      </w:pPr>
      <w:r>
        <w:rPr>
          <w:rFonts w:ascii="Gill Sans"/>
          <w:sz w:val="24"/>
          <w:szCs w:val="24"/>
        </w:rPr>
        <w:t>For more information about Mobile TV Group, visit mobiletvgroup.com</w:t>
      </w:r>
      <w:r>
        <w:rPr>
          <w:rFonts w:ascii="Gill Sans"/>
          <w:sz w:val="24"/>
          <w:szCs w:val="24"/>
          <w:u w:val="single"/>
        </w:rPr>
        <w:t>.</w:t>
      </w:r>
    </w:p>
    <w:p w:rsidR="00261574" w:rsidRDefault="00261574">
      <w:pPr>
        <w:pStyle w:val="Normal1"/>
        <w:spacing w:line="336" w:lineRule="auto"/>
        <w:rPr>
          <w:rFonts w:ascii="Gill Sans" w:eastAsia="Gill Sans" w:hAnsi="Gill Sans" w:cs="Gill Sans"/>
          <w:sz w:val="24"/>
          <w:szCs w:val="24"/>
        </w:rPr>
      </w:pPr>
    </w:p>
    <w:p w:rsidR="00261574" w:rsidRDefault="005F23C1">
      <w:pPr>
        <w:pStyle w:val="Normal1"/>
        <w:spacing w:line="240" w:lineRule="auto"/>
        <w:rPr>
          <w:rFonts w:ascii="Gill Sans" w:eastAsia="Gill Sans" w:hAnsi="Gill Sans" w:cs="Gill Sans"/>
          <w:b/>
          <w:bCs/>
          <w:sz w:val="24"/>
          <w:szCs w:val="24"/>
        </w:rPr>
      </w:pPr>
      <w:r>
        <w:rPr>
          <w:rFonts w:ascii="Gill Sans"/>
          <w:b/>
          <w:bCs/>
          <w:sz w:val="24"/>
          <w:szCs w:val="24"/>
        </w:rPr>
        <w:t>About Ferrofish</w:t>
      </w:r>
    </w:p>
    <w:p w:rsidR="00261574" w:rsidRDefault="005F23C1">
      <w:pPr>
        <w:pStyle w:val="Normal1"/>
        <w:spacing w:line="240" w:lineRule="auto"/>
        <w:rPr>
          <w:rFonts w:ascii="Gill Sans" w:eastAsia="Gill Sans" w:hAnsi="Gill Sans" w:cs="Gill Sans"/>
          <w:sz w:val="24"/>
          <w:szCs w:val="24"/>
        </w:rPr>
      </w:pPr>
      <w:r>
        <w:rPr>
          <w:rFonts w:ascii="Gill Sans"/>
          <w:sz w:val="24"/>
          <w:szCs w:val="24"/>
        </w:rPr>
        <w:t>Known for its precision-engineered German technology, Ferrofish manufacturers high quality, innov</w:t>
      </w:r>
      <w:r>
        <w:rPr>
          <w:rFonts w:ascii="Gill Sans"/>
          <w:sz w:val="24"/>
          <w:szCs w:val="24"/>
        </w:rPr>
        <w:t>a</w:t>
      </w:r>
      <w:r>
        <w:rPr>
          <w:rFonts w:ascii="Gill Sans"/>
          <w:sz w:val="24"/>
          <w:szCs w:val="24"/>
        </w:rPr>
        <w:t xml:space="preserve">tive advanced audio applications. From its class-leading A16 MK-II and A32 AD/DA converters to its Verto Series of intuitive Dante converters, Ferrofish is known for its premium conversion solutions that are ideal for a wide range of applications. For additional information, visit the company online at </w:t>
      </w:r>
      <w:hyperlink r:id="rId9" w:history="1">
        <w:r>
          <w:rPr>
            <w:rStyle w:val="Hyperlink0"/>
          </w:rPr>
          <w:t>http://www.ferrofish.com</w:t>
        </w:r>
      </w:hyperlink>
      <w:r>
        <w:rPr>
          <w:rFonts w:ascii="Gill Sans"/>
          <w:sz w:val="24"/>
          <w:szCs w:val="24"/>
        </w:rPr>
        <w:t>.</w:t>
      </w:r>
    </w:p>
    <w:p w:rsidR="00261574" w:rsidRDefault="00261574">
      <w:pPr>
        <w:pStyle w:val="Normal1"/>
        <w:spacing w:line="240" w:lineRule="auto"/>
        <w:rPr>
          <w:rFonts w:ascii="Gill Sans" w:eastAsia="Gill Sans" w:hAnsi="Gill Sans" w:cs="Gill Sans"/>
          <w:sz w:val="24"/>
          <w:szCs w:val="24"/>
        </w:rPr>
      </w:pPr>
    </w:p>
    <w:p w:rsidR="00261574" w:rsidRDefault="00261574">
      <w:pPr>
        <w:pStyle w:val="Normal1"/>
        <w:spacing w:line="240" w:lineRule="auto"/>
        <w:rPr>
          <w:rFonts w:ascii="Gill Sans" w:eastAsia="Gill Sans" w:hAnsi="Gill Sans" w:cs="Gill Sans"/>
          <w:sz w:val="24"/>
          <w:szCs w:val="24"/>
        </w:rPr>
      </w:pPr>
    </w:p>
    <w:p w:rsidR="00261574" w:rsidRDefault="005F23C1">
      <w:pPr>
        <w:pStyle w:val="Normal1"/>
        <w:spacing w:line="240" w:lineRule="auto"/>
        <w:rPr>
          <w:rFonts w:ascii="Gill Sans" w:eastAsia="Gill Sans" w:hAnsi="Gill Sans" w:cs="Gill Sans"/>
          <w:b/>
          <w:bCs/>
          <w:sz w:val="24"/>
          <w:szCs w:val="24"/>
        </w:rPr>
      </w:pPr>
      <w:r>
        <w:rPr>
          <w:rFonts w:ascii="Gill Sans"/>
          <w:b/>
          <w:bCs/>
          <w:sz w:val="24"/>
          <w:szCs w:val="24"/>
        </w:rPr>
        <w:t>Media Contacts:</w:t>
      </w:r>
    </w:p>
    <w:p w:rsidR="00261574" w:rsidRDefault="005F23C1">
      <w:pPr>
        <w:pStyle w:val="Normal1"/>
        <w:spacing w:line="240" w:lineRule="auto"/>
        <w:rPr>
          <w:rFonts w:ascii="Gill Sans" w:eastAsia="Gill Sans" w:hAnsi="Gill Sans" w:cs="Gill Sans"/>
          <w:sz w:val="24"/>
          <w:szCs w:val="24"/>
        </w:rPr>
      </w:pPr>
      <w:r>
        <w:rPr>
          <w:rFonts w:ascii="Gill Sans"/>
          <w:sz w:val="24"/>
          <w:szCs w:val="24"/>
        </w:rPr>
        <w:t>Jeff Touzeau</w:t>
      </w:r>
    </w:p>
    <w:p w:rsidR="00261574" w:rsidRDefault="005F23C1">
      <w:pPr>
        <w:pStyle w:val="Normal1"/>
        <w:spacing w:line="240" w:lineRule="auto"/>
        <w:rPr>
          <w:rFonts w:ascii="Gill Sans" w:eastAsia="Gill Sans" w:hAnsi="Gill Sans" w:cs="Gill Sans"/>
          <w:sz w:val="24"/>
          <w:szCs w:val="24"/>
        </w:rPr>
      </w:pPr>
      <w:r>
        <w:rPr>
          <w:rFonts w:ascii="Gill Sans"/>
          <w:sz w:val="24"/>
          <w:szCs w:val="24"/>
        </w:rPr>
        <w:t>Public Relations</w:t>
      </w:r>
    </w:p>
    <w:p w:rsidR="00261574" w:rsidRDefault="005F23C1">
      <w:pPr>
        <w:pStyle w:val="Normal1"/>
        <w:spacing w:line="240" w:lineRule="auto"/>
        <w:rPr>
          <w:rFonts w:ascii="Gill Sans" w:eastAsia="Gill Sans" w:hAnsi="Gill Sans" w:cs="Gill Sans"/>
          <w:sz w:val="24"/>
          <w:szCs w:val="24"/>
        </w:rPr>
      </w:pPr>
      <w:r>
        <w:rPr>
          <w:rFonts w:ascii="Gill Sans"/>
          <w:sz w:val="24"/>
          <w:szCs w:val="24"/>
        </w:rPr>
        <w:t>Hummingbird Media</w:t>
      </w:r>
    </w:p>
    <w:p w:rsidR="00261574" w:rsidRDefault="005F23C1">
      <w:pPr>
        <w:pStyle w:val="Normal1"/>
        <w:spacing w:line="240" w:lineRule="auto"/>
        <w:rPr>
          <w:rFonts w:ascii="Gill Sans" w:eastAsia="Gill Sans" w:hAnsi="Gill Sans" w:cs="Gill Sans"/>
          <w:sz w:val="24"/>
          <w:szCs w:val="24"/>
        </w:rPr>
      </w:pPr>
      <w:r>
        <w:rPr>
          <w:rFonts w:ascii="Gill Sans"/>
          <w:sz w:val="24"/>
          <w:szCs w:val="24"/>
        </w:rPr>
        <w:t>+1 (914) 602 2913</w:t>
      </w:r>
    </w:p>
    <w:p w:rsidR="00261574" w:rsidRDefault="005F23C1">
      <w:pPr>
        <w:pStyle w:val="Normal1"/>
        <w:spacing w:line="240" w:lineRule="auto"/>
        <w:rPr>
          <w:rFonts w:ascii="Gill Sans" w:eastAsia="Gill Sans" w:hAnsi="Gill Sans" w:cs="Gill Sans"/>
          <w:sz w:val="24"/>
          <w:szCs w:val="24"/>
        </w:rPr>
      </w:pPr>
      <w:r>
        <w:rPr>
          <w:rFonts w:ascii="Gill Sans"/>
          <w:sz w:val="24"/>
          <w:szCs w:val="24"/>
        </w:rPr>
        <w:t>jeff@hummingbirdmedia.com</w:t>
      </w:r>
    </w:p>
    <w:p w:rsidR="00261574" w:rsidRDefault="00261574">
      <w:pPr>
        <w:pStyle w:val="Normal1"/>
        <w:spacing w:line="336" w:lineRule="auto"/>
        <w:rPr>
          <w:rFonts w:ascii="Gill Sans" w:eastAsia="Gill Sans" w:hAnsi="Gill Sans" w:cs="Gill Sans"/>
          <w:sz w:val="24"/>
          <w:szCs w:val="24"/>
        </w:rPr>
      </w:pPr>
    </w:p>
    <w:p w:rsidR="00261574" w:rsidRDefault="005F23C1">
      <w:pPr>
        <w:pStyle w:val="Normal1"/>
        <w:spacing w:line="240" w:lineRule="auto"/>
        <w:rPr>
          <w:rFonts w:ascii="Gill Sans" w:eastAsia="Gill Sans" w:hAnsi="Gill Sans" w:cs="Gill Sans"/>
          <w:sz w:val="24"/>
          <w:szCs w:val="24"/>
        </w:rPr>
      </w:pPr>
      <w:r>
        <w:rPr>
          <w:rFonts w:ascii="Gill Sans"/>
          <w:sz w:val="24"/>
          <w:szCs w:val="24"/>
        </w:rPr>
        <w:t>Katie Kailus</w:t>
      </w:r>
    </w:p>
    <w:p w:rsidR="00261574" w:rsidRDefault="005F23C1">
      <w:pPr>
        <w:pStyle w:val="Normal1"/>
        <w:spacing w:line="240" w:lineRule="auto"/>
        <w:rPr>
          <w:rFonts w:ascii="Gill Sans" w:eastAsia="Gill Sans" w:hAnsi="Gill Sans" w:cs="Gill Sans"/>
          <w:sz w:val="24"/>
          <w:szCs w:val="24"/>
        </w:rPr>
      </w:pPr>
      <w:r>
        <w:rPr>
          <w:rFonts w:ascii="Gill Sans"/>
          <w:sz w:val="24"/>
          <w:szCs w:val="24"/>
        </w:rPr>
        <w:t>Public Relations</w:t>
      </w:r>
    </w:p>
    <w:p w:rsidR="00261574" w:rsidRDefault="005F23C1">
      <w:pPr>
        <w:pStyle w:val="Normal1"/>
        <w:spacing w:line="240" w:lineRule="auto"/>
        <w:rPr>
          <w:rFonts w:ascii="Gill Sans" w:eastAsia="Gill Sans" w:hAnsi="Gill Sans" w:cs="Gill Sans"/>
          <w:sz w:val="24"/>
          <w:szCs w:val="24"/>
        </w:rPr>
      </w:pPr>
      <w:r>
        <w:rPr>
          <w:rFonts w:ascii="Gill Sans"/>
          <w:sz w:val="24"/>
          <w:szCs w:val="24"/>
        </w:rPr>
        <w:t>Hummingbird Media</w:t>
      </w:r>
    </w:p>
    <w:p w:rsidR="00261574" w:rsidRDefault="005F23C1">
      <w:pPr>
        <w:pStyle w:val="Normal1"/>
        <w:spacing w:line="240" w:lineRule="auto"/>
        <w:rPr>
          <w:rFonts w:ascii="Gill Sans" w:eastAsia="Gill Sans" w:hAnsi="Gill Sans" w:cs="Gill Sans"/>
          <w:sz w:val="24"/>
          <w:szCs w:val="24"/>
        </w:rPr>
      </w:pPr>
      <w:r>
        <w:rPr>
          <w:rFonts w:ascii="Gill Sans"/>
          <w:sz w:val="24"/>
          <w:szCs w:val="24"/>
        </w:rPr>
        <w:t>+1 (630) 319-5226</w:t>
      </w:r>
    </w:p>
    <w:p w:rsidR="00261574" w:rsidRDefault="005F23C1">
      <w:pPr>
        <w:pStyle w:val="Normal1"/>
        <w:spacing w:line="240" w:lineRule="auto"/>
      </w:pPr>
      <w:r>
        <w:rPr>
          <w:rFonts w:ascii="Gill Sans"/>
          <w:sz w:val="24"/>
          <w:szCs w:val="24"/>
        </w:rPr>
        <w:t>katie@hummingbirdmedia.com</w:t>
      </w:r>
    </w:p>
    <w:sectPr w:rsidR="00261574" w:rsidSect="00261574">
      <w:headerReference w:type="default" r:id="rId10"/>
      <w:footerReference w:type="default" r:id="rId11"/>
      <w:headerReference w:type="first" r:id="rId12"/>
      <w:footerReference w:type="first" r:id="rId13"/>
      <w:pgSz w:w="12240" w:h="15840"/>
      <w:pgMar w:top="1440" w:right="1170" w:bottom="1440" w:left="108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61574" w:rsidRDefault="00261574">
    <w:pPr>
      <w:pStyle w:val="Header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61574" w:rsidRDefault="00261574">
    <w:pPr>
      <w:pStyle w:val="Header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61574" w:rsidRDefault="00261574">
    <w:pPr>
      <w:pStyle w:val="HeaderFoot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61574" w:rsidRDefault="00261574">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visionView w:formatting="0"/>
  <w:doNotTrackMoves/>
  <w:defaultTabStop w:val="720"/>
  <w:autoHyphenation/>
  <w:characterSpacingControl w:val="doNotCompress"/>
  <w:compat/>
  <w:rsids>
    <w:rsidRoot w:val="00261574"/>
    <w:rsid w:val="00261574"/>
    <w:rsid w:val="005F23C1"/>
    <w:rsid w:val="0083796B"/>
    <w:rsid w:val="00D11A85"/>
  </w:rsids>
  <m:mathPr>
    <m:mathFont m:val="Gill Sans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157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61574"/>
    <w:rPr>
      <w:u w:val="single"/>
    </w:rPr>
  </w:style>
  <w:style w:type="paragraph" w:customStyle="1" w:styleId="HeaderFooter">
    <w:name w:val="Header &amp; Footer"/>
    <w:rsid w:val="00261574"/>
    <w:pPr>
      <w:tabs>
        <w:tab w:val="right" w:pos="9020"/>
      </w:tabs>
    </w:pPr>
    <w:rPr>
      <w:rFonts w:ascii="Helvetica" w:hAnsi="Arial Unicode MS" w:cs="Arial Unicode MS"/>
      <w:color w:val="000000"/>
      <w:sz w:val="24"/>
      <w:szCs w:val="24"/>
    </w:rPr>
  </w:style>
  <w:style w:type="paragraph" w:customStyle="1" w:styleId="BodyA">
    <w:name w:val="Body A"/>
    <w:rsid w:val="00261574"/>
    <w:pPr>
      <w:spacing w:after="200"/>
    </w:pPr>
    <w:rPr>
      <w:rFonts w:ascii="Arial" w:hAnsi="Arial Unicode MS" w:cs="Arial Unicode MS"/>
      <w:color w:val="000000"/>
      <w:sz w:val="24"/>
      <w:szCs w:val="24"/>
      <w:u w:color="000000"/>
    </w:rPr>
  </w:style>
  <w:style w:type="paragraph" w:customStyle="1" w:styleId="Normal1">
    <w:name w:val="Normal1"/>
    <w:rsid w:val="00261574"/>
    <w:pPr>
      <w:spacing w:after="200" w:line="276" w:lineRule="auto"/>
    </w:pPr>
    <w:rPr>
      <w:rFonts w:ascii="Arial" w:hAnsi="Arial Unicode MS" w:cs="Arial Unicode MS"/>
      <w:color w:val="000000"/>
      <w:sz w:val="22"/>
      <w:szCs w:val="22"/>
      <w:u w:color="000000"/>
    </w:rPr>
  </w:style>
  <w:style w:type="character" w:customStyle="1" w:styleId="None">
    <w:name w:val="None"/>
    <w:rsid w:val="00261574"/>
  </w:style>
  <w:style w:type="character" w:customStyle="1" w:styleId="Hyperlink0">
    <w:name w:val="Hyperlink.0"/>
    <w:basedOn w:val="None"/>
    <w:rsid w:val="00261574"/>
    <w:rPr>
      <w:rFonts w:ascii="Gill Sans" w:eastAsia="Gill Sans" w:hAnsi="Gill Sans" w:cs="Gill Sans"/>
      <w:color w:val="1155CC"/>
      <w:sz w:val="24"/>
      <w:szCs w:val="24"/>
      <w:u w:val="single" w:color="1155CC"/>
      <w:lang w:val="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ferrofish.com/en/" TargetMode="Externa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s://ferrofish.com/en/" TargetMode="External"/><Relationship Id="rId9" Type="http://schemas.openxmlformats.org/officeDocument/2006/relationships/hyperlink" Target="http://www.ferrofish.com"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649</Words>
  <Characters>3702</Characters>
  <Application>Microsoft Macintosh Word</Application>
  <DocSecurity>0</DocSecurity>
  <Lines>30</Lines>
  <Paragraphs>7</Paragraphs>
  <ScaleCrop>false</ScaleCrop>
  <Company>Hummingbird Sound</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3</cp:revision>
  <dcterms:created xsi:type="dcterms:W3CDTF">2017-11-21T23:22:00Z</dcterms:created>
  <dcterms:modified xsi:type="dcterms:W3CDTF">2017-11-28T14:35:00Z</dcterms:modified>
</cp:coreProperties>
</file>