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F2" w:rsidRDefault="001572F2" w:rsidP="004278B1">
      <w:pPr>
        <w:pStyle w:val="NoSpacing"/>
        <w:ind w:left="993"/>
      </w:pPr>
    </w:p>
    <w:p w:rsidR="00B97593" w:rsidRDefault="00B74BE8" w:rsidP="006917E1">
      <w:pPr>
        <w:pStyle w:val="NoSpacing"/>
        <w:ind w:left="993"/>
      </w:pPr>
      <w:r>
        <w:rPr>
          <w:noProof/>
        </w:rPr>
        <mc:AlternateContent>
          <mc:Choice Requires="wps">
            <w:drawing>
              <wp:anchor distT="0" distB="0" distL="114300" distR="114300" simplePos="0" relativeHeight="251656704" behindDoc="0" locked="0" layoutInCell="1" allowOverlap="1">
                <wp:simplePos x="0" y="0"/>
                <wp:positionH relativeFrom="column">
                  <wp:posOffset>1990725</wp:posOffset>
                </wp:positionH>
                <wp:positionV relativeFrom="paragraph">
                  <wp:posOffset>66040</wp:posOffset>
                </wp:positionV>
                <wp:extent cx="4709795" cy="675640"/>
                <wp:effectExtent l="0" t="2540" r="508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6B" w:rsidRPr="00D01FB0" w:rsidRDefault="0082296B"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p w:rsidR="0082296B" w:rsidRPr="00017FD1" w:rsidRDefault="0082296B" w:rsidP="00673D3E">
                            <w:pPr>
                              <w:rPr>
                                <w:color w:val="003768"/>
                                <w:szCs w:val="20"/>
                                <w:lang w:val="fr-FR"/>
                              </w:rPr>
                            </w:pPr>
                            <w:r w:rsidRPr="00017FD1">
                              <w:rPr>
                                <w:rFonts w:ascii="Rockwell" w:hAnsi="Rockwell" w:cs="Rockwell"/>
                                <w:color w:val="003768"/>
                                <w:sz w:val="20"/>
                                <w:szCs w:val="20"/>
                                <w:lang w:val="fr-FR" w:eastAsia="nl-BE"/>
                              </w:rPr>
                              <w:t>Hors séance boursière – Information réglementée*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56.75pt;margin-top:5.2pt;width:370.85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UhyLYCAAC5BQAADgAAAGRycy9lMm9Eb2MueG1srFTbbtwgEH2v1H9AvDu+FK/XVrxRspeqUnqR&#10;kn4Aa/Aa1QYX2PWmVf+9A95bkpeqrR8sYIYzc2YOc32z71q049oIJUscX0UYcVkpJuSmxF8fV8EU&#10;I2OpZLRVkpf4iRt8M3v75nroC56oRrWMawQg0hRDX+LG2r4IQ1M1vKPmSvVcgrFWuqMWtnoTMk0H&#10;QO/aMImiSTgozXqtKm4MnC5GI555/Lrmlf1c14Zb1JYYcrP+r/1/7f7h7JoWG037RlSHNOhfZNFR&#10;ISHoCWpBLUVbLV5BdaLSyqjaXlWqC1Vdi4p7DsAmjl6weWhozz0XKI7pT2Uy/w+2+rT7opFgJc4w&#10;krSDFj3yvUV3ao8SV52hNwU4PfTgZvdwDF32TE1/r6pvBkk1b6jc8Fut1dBwyiC72N0ML66OOMaB&#10;rIePikEYurXKA+1r3bnSQTEQoEOXnk6dcalUcEiyKM/yFKMKbJMsnRDfupAWx9u9NvY9Vx1yixJr&#10;6LxHp7t7Y102tDi6uGBSrUTb+u638tkBOI4nEBuuOpvLwjfzZx7ly+lySgKSTJYBiRgLbldzEkxW&#10;cZYu3i3m80X8y8WNSdEIxrh0YY7CismfNe4g8VESJ2kZ1Qrm4FxKRm/W81ajHQVhr/znaw6Ws1v4&#10;PA1fBODyglKckOguyYPVZJoFpCZpkGfRNIji/C6fRCQni9VzSvdC8n+nhIYS52mSjmI6J/2CW+S/&#10;19xo0QkLo6MVXYmnJydaOAkuJfOttVS04/qiFC79cymg3cdGe8E6jY5qtfv1HlCciteKPYF0tQJl&#10;gT5h3sGiUfoHRgPMjhKb71uqOUbtBwnyz2MC+kTWb0iaJbDRl5b1pYXKCqBKbDEal3M7Dqhtr8Wm&#10;gUjjg5PqFp5MLbyaz1kdHhrMB0/qMMvcALrce6/zxJ39BgAA//8DAFBLAwQUAAYACAAAACEAe6Wa&#10;sN4AAAALAQAADwAAAGRycy9kb3ducmV2LnhtbEyPwW7CMAyG75N4h8iTdhtJgSLWNUVo066bxgCJ&#10;W2hMW61xqibQ7u1nTtvN1v/p9+d8PbpWXLEPjScNyVSBQCq9bajSsPt6e1yBCNGQNa0n1PCDAdbF&#10;5C43mfUDfeJ1GyvBJRQyo6GOscukDGWNzoSp75A4O/vemchrX0nbm4HLXStnSi2lMw3xhdp0+FJj&#10;+b29OA379/PxsFAf1atLu8GPSpJ7klo/3I+bZxARx/gHw02f1aFgp5O/kA2i1TBP5imjHKgFiBug&#10;0nQG4sRTslyBLHL5/4fiFwAA//8DAFBLAQItABQABgAIAAAAIQDkmcPA+wAAAOEBAAATAAAAAAAA&#10;AAAAAAAAAAAAAABbQ29udGVudF9UeXBlc10ueG1sUEsBAi0AFAAGAAgAAAAhACOyauHXAAAAlAEA&#10;AAsAAAAAAAAAAAAAAAAALAEAAF9yZWxzLy5yZWxzUEsBAi0AFAAGAAgAAAAhAA7FIci2AgAAuQUA&#10;AA4AAAAAAAAAAAAAAAAALAIAAGRycy9lMm9Eb2MueG1sUEsBAi0AFAAGAAgAAAAhAHulmrDeAAAA&#10;CwEAAA8AAAAAAAAAAAAAAAAADgUAAGRycy9kb3ducmV2LnhtbFBLBQYAAAAABAAEAPMAAAAZBgAA&#10;AAA=&#10;" filled="f" stroked="f">
                <v:textbox>
                  <w:txbxContent>
                    <w:p w:rsidR="0082296B" w:rsidRPr="00D01FB0" w:rsidRDefault="0082296B" w:rsidP="00673D3E">
                      <w:pPr>
                        <w:spacing w:after="0" w:line="240" w:lineRule="auto"/>
                        <w:rPr>
                          <w:rFonts w:ascii="Rockwell" w:hAnsi="Rockwell" w:cs="Rockwell"/>
                          <w:color w:val="00AEEF"/>
                          <w:sz w:val="48"/>
                          <w:szCs w:val="48"/>
                          <w:lang w:val="fr-FR" w:eastAsia="nl-BE"/>
                        </w:rPr>
                      </w:pPr>
                      <w:r w:rsidRPr="00D01FB0">
                        <w:rPr>
                          <w:rFonts w:ascii="Rockwell" w:hAnsi="Rockwell" w:cs="Rockwell"/>
                          <w:color w:val="00AEEF"/>
                          <w:sz w:val="48"/>
                          <w:szCs w:val="48"/>
                          <w:lang w:val="fr-FR" w:eastAsia="nl-BE"/>
                        </w:rPr>
                        <w:t>Communiqué de presse</w:t>
                      </w:r>
                    </w:p>
                    <w:p w:rsidR="0082296B" w:rsidRPr="00017FD1" w:rsidRDefault="0082296B" w:rsidP="00673D3E">
                      <w:pPr>
                        <w:rPr>
                          <w:color w:val="003768"/>
                          <w:szCs w:val="20"/>
                          <w:lang w:val="fr-FR"/>
                        </w:rPr>
                      </w:pPr>
                      <w:r w:rsidRPr="00017FD1">
                        <w:rPr>
                          <w:rFonts w:ascii="Rockwell" w:hAnsi="Rockwell" w:cs="Rockwell"/>
                          <w:color w:val="003768"/>
                          <w:sz w:val="20"/>
                          <w:szCs w:val="20"/>
                          <w:lang w:val="fr-FR" w:eastAsia="nl-BE"/>
                        </w:rPr>
                        <w:t>Hors séance boursière – Information réglementée*</w:t>
                      </w:r>
                    </w:p>
                  </w:txbxContent>
                </v:textbox>
              </v:shape>
            </w:pict>
          </mc:Fallback>
        </mc:AlternateContent>
      </w:r>
      <w:r w:rsidR="00D57A50">
        <w:rPr>
          <w:noProof/>
        </w:rPr>
        <w:drawing>
          <wp:inline distT="0" distB="0" distL="0" distR="0">
            <wp:extent cx="808355" cy="616585"/>
            <wp:effectExtent l="19050" t="0" r="0" b="0"/>
            <wp:docPr id="1" name="Picture 1" descr="KBC_Logo_5cm_300dpi_no_anti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C_Logo_5cm_300dpi_no_antialias"/>
                    <pic:cNvPicPr>
                      <a:picLocks noChangeAspect="1" noChangeArrowheads="1"/>
                    </pic:cNvPicPr>
                  </pic:nvPicPr>
                  <pic:blipFill>
                    <a:blip r:embed="rId8" cstate="print"/>
                    <a:srcRect/>
                    <a:stretch>
                      <a:fillRect/>
                    </a:stretch>
                  </pic:blipFill>
                  <pic:spPr bwMode="auto">
                    <a:xfrm>
                      <a:off x="0" y="0"/>
                      <a:ext cx="808355" cy="616585"/>
                    </a:xfrm>
                    <a:prstGeom prst="rect">
                      <a:avLst/>
                    </a:prstGeom>
                    <a:noFill/>
                    <a:ln w="9525">
                      <a:noFill/>
                      <a:miter lim="800000"/>
                      <a:headEnd/>
                      <a:tailEnd/>
                    </a:ln>
                  </pic:spPr>
                </pic:pic>
              </a:graphicData>
            </a:graphic>
          </wp:inline>
        </w:drawing>
      </w:r>
    </w:p>
    <w:p w:rsidR="004278B1" w:rsidRDefault="004278B1" w:rsidP="00673D3E">
      <w:pPr>
        <w:pStyle w:val="NoSpacing"/>
        <w:ind w:left="1440"/>
        <w:rPr>
          <w:sz w:val="8"/>
          <w:szCs w:val="8"/>
        </w:rPr>
      </w:pPr>
    </w:p>
    <w:p w:rsidR="00FC36C2" w:rsidRPr="004278B1" w:rsidRDefault="00FC36C2" w:rsidP="00673D3E">
      <w:pPr>
        <w:pStyle w:val="NoSpacing"/>
        <w:ind w:left="1440"/>
        <w:rPr>
          <w:sz w:val="8"/>
          <w:szCs w:val="8"/>
        </w:rPr>
      </w:pPr>
    </w:p>
    <w:p w:rsidR="004278B1" w:rsidRDefault="00D57A50" w:rsidP="00FC36C2">
      <w:pPr>
        <w:pStyle w:val="NoSpacing"/>
        <w:ind w:left="284"/>
      </w:pPr>
      <w:r>
        <w:rPr>
          <w:noProof/>
        </w:rPr>
        <w:drawing>
          <wp:inline distT="0" distB="0" distL="0" distR="0">
            <wp:extent cx="6772910" cy="170180"/>
            <wp:effectExtent l="19050" t="0" r="8890" b="0"/>
            <wp:docPr id="2" name="Picture 2" descr="curve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ve01b"/>
                    <pic:cNvPicPr>
                      <a:picLocks noChangeAspect="1" noChangeArrowheads="1"/>
                    </pic:cNvPicPr>
                  </pic:nvPicPr>
                  <pic:blipFill>
                    <a:blip r:embed="rId9" cstate="print"/>
                    <a:srcRect/>
                    <a:stretch>
                      <a:fillRect/>
                    </a:stretch>
                  </pic:blipFill>
                  <pic:spPr bwMode="auto">
                    <a:xfrm>
                      <a:off x="0" y="0"/>
                      <a:ext cx="6772910" cy="170180"/>
                    </a:xfrm>
                    <a:prstGeom prst="rect">
                      <a:avLst/>
                    </a:prstGeom>
                    <a:noFill/>
                    <a:ln w="9525">
                      <a:noFill/>
                      <a:miter lim="800000"/>
                      <a:headEnd/>
                      <a:tailEnd/>
                    </a:ln>
                  </pic:spPr>
                </pic:pic>
              </a:graphicData>
            </a:graphic>
          </wp:inline>
        </w:drawing>
      </w:r>
    </w:p>
    <w:p w:rsidR="00D14EBE" w:rsidRDefault="00D14EBE" w:rsidP="00D14EBE">
      <w:pPr>
        <w:pStyle w:val="NoSpacing"/>
        <w:ind w:left="993"/>
        <w:rPr>
          <w:lang w:val="fr-FR"/>
        </w:rPr>
      </w:pPr>
    </w:p>
    <w:p w:rsidR="0077354C" w:rsidRPr="009C1678" w:rsidRDefault="00001188" w:rsidP="0077354C">
      <w:pPr>
        <w:ind w:left="993"/>
        <w:rPr>
          <w:color w:val="003768"/>
          <w:lang w:val="fr-FR"/>
        </w:rPr>
      </w:pPr>
      <w:r>
        <w:rPr>
          <w:color w:val="003768"/>
          <w:lang w:val="fr-FR"/>
        </w:rPr>
        <w:t xml:space="preserve">Bruxelles, </w:t>
      </w:r>
      <w:r w:rsidR="008F6600">
        <w:rPr>
          <w:color w:val="003768"/>
          <w:lang w:val="fr-FR"/>
        </w:rPr>
        <w:t>11 Août (07</w:t>
      </w:r>
      <w:r w:rsidR="0077354C" w:rsidRPr="009C1678">
        <w:rPr>
          <w:color w:val="003768"/>
          <w:lang w:val="fr-FR"/>
        </w:rPr>
        <w:t xml:space="preserve">.00 </w:t>
      </w:r>
      <w:proofErr w:type="spellStart"/>
      <w:r w:rsidR="0077354C" w:rsidRPr="009C1678">
        <w:rPr>
          <w:color w:val="003768"/>
          <w:lang w:val="fr-FR"/>
        </w:rPr>
        <w:t>a.m</w:t>
      </w:r>
      <w:proofErr w:type="spellEnd"/>
      <w:r w:rsidR="0077354C" w:rsidRPr="009C1678">
        <w:rPr>
          <w:color w:val="003768"/>
          <w:lang w:val="fr-FR"/>
        </w:rPr>
        <w:t>. CE</w:t>
      </w:r>
      <w:r w:rsidR="008F6600">
        <w:rPr>
          <w:color w:val="003768"/>
          <w:lang w:val="fr-FR"/>
        </w:rPr>
        <w:t>S</w:t>
      </w:r>
      <w:r w:rsidR="0077354C" w:rsidRPr="009C1678">
        <w:rPr>
          <w:color w:val="003768"/>
          <w:lang w:val="fr-FR"/>
        </w:rPr>
        <w:t>T)</w:t>
      </w:r>
    </w:p>
    <w:p w:rsidR="0077354C" w:rsidRPr="00017FD1" w:rsidRDefault="0077354C" w:rsidP="0077354C">
      <w:pPr>
        <w:autoSpaceDE w:val="0"/>
        <w:autoSpaceDN w:val="0"/>
        <w:adjustRightInd w:val="0"/>
        <w:spacing w:after="0" w:line="240" w:lineRule="auto"/>
        <w:ind w:left="993" w:right="4"/>
        <w:rPr>
          <w:rFonts w:cs="Arial"/>
          <w:b/>
          <w:bCs/>
          <w:color w:val="003768"/>
          <w:sz w:val="28"/>
          <w:szCs w:val="28"/>
          <w:lang w:val="fr-FR"/>
        </w:rPr>
      </w:pPr>
    </w:p>
    <w:p w:rsidR="0077354C" w:rsidRPr="00D01FB0" w:rsidRDefault="008F6600" w:rsidP="008F6600">
      <w:pPr>
        <w:ind w:left="993" w:right="-31"/>
        <w:rPr>
          <w:rFonts w:cs="Arial"/>
          <w:b/>
          <w:bCs/>
          <w:color w:val="003768"/>
          <w:sz w:val="28"/>
          <w:szCs w:val="28"/>
          <w:lang w:val="fr-FR"/>
        </w:rPr>
      </w:pPr>
      <w:r>
        <w:rPr>
          <w:rFonts w:ascii="Rockwell" w:hAnsi="Rockwell" w:cs="Rockwell,Bold"/>
          <w:b/>
          <w:bCs/>
          <w:color w:val="00AEEF"/>
          <w:sz w:val="48"/>
          <w:szCs w:val="48"/>
          <w:lang w:val="fr-FR"/>
        </w:rPr>
        <w:t xml:space="preserve">KBC Groupe : </w:t>
      </w:r>
      <w:r w:rsidRPr="008F6600">
        <w:rPr>
          <w:rFonts w:ascii="Rockwell" w:hAnsi="Rockwell" w:cs="Rockwell,Bold"/>
          <w:b/>
          <w:bCs/>
          <w:color w:val="00AEEF"/>
          <w:sz w:val="48"/>
          <w:szCs w:val="48"/>
          <w:lang w:val="fr-FR"/>
        </w:rPr>
        <w:t>Bénéfice solide de 1,1 milliard d'euros pour le premier semestre. Dividende intérimaire de 1 euro prévu pour novembre</w:t>
      </w:r>
    </w:p>
    <w:p w:rsidR="0077354C" w:rsidRPr="008F6600" w:rsidRDefault="0077354C" w:rsidP="008F6600">
      <w:pPr>
        <w:autoSpaceDE w:val="0"/>
        <w:autoSpaceDN w:val="0"/>
        <w:adjustRightInd w:val="0"/>
        <w:spacing w:after="0" w:line="240" w:lineRule="auto"/>
        <w:ind w:left="993" w:right="4"/>
        <w:rPr>
          <w:rFonts w:cs="Arial"/>
          <w:b/>
          <w:bCs/>
          <w:color w:val="002060"/>
          <w:sz w:val="28"/>
          <w:szCs w:val="28"/>
          <w:lang w:val="fr-FR"/>
        </w:rPr>
      </w:pPr>
    </w:p>
    <w:p w:rsidR="008F6600" w:rsidRPr="008F6600" w:rsidRDefault="008F6600" w:rsidP="00BA3603">
      <w:pPr>
        <w:autoSpaceDE w:val="0"/>
        <w:autoSpaceDN w:val="0"/>
        <w:adjustRightInd w:val="0"/>
        <w:spacing w:after="0" w:line="240" w:lineRule="auto"/>
        <w:ind w:left="993" w:right="4"/>
        <w:jc w:val="both"/>
        <w:rPr>
          <w:rFonts w:cs="Arial"/>
          <w:b/>
          <w:bCs/>
          <w:color w:val="002060"/>
          <w:sz w:val="28"/>
          <w:szCs w:val="28"/>
          <w:lang w:val="fr-FR"/>
        </w:rPr>
      </w:pPr>
      <w:r w:rsidRPr="008F6600">
        <w:rPr>
          <w:rFonts w:cs="Arial"/>
          <w:b/>
          <w:bCs/>
          <w:color w:val="002060"/>
          <w:sz w:val="28"/>
          <w:szCs w:val="28"/>
          <w:lang w:val="fr-FR"/>
        </w:rPr>
        <w:t xml:space="preserve">Dans un contexte de taux d’intérêt bas persistants, de croissance économique modérée en Belgique et de dynamique plus soutenue en Europe centrale, KBC a enregistré un solide bénéfice net de 721 millions d’euros au deuxième trimestre 2016, contre 392 millions d’euros au trimestre précédent et 666 millions d’euros au deuxième trimestre 2015. Nos volumes de prêts et de dépôts se sont à nouveau inscrits en hausse au deuxième trimestre, ce qui témoigne de la confiance de nos clients. Nos résultats ont été influencés par les solides revenus totaux générés par nos activités traditionnelles, le niveau stable des charges d'exploitation (hors taxes </w:t>
      </w:r>
      <w:proofErr w:type="gramStart"/>
      <w:r w:rsidRPr="008F6600">
        <w:rPr>
          <w:rFonts w:cs="Arial"/>
          <w:b/>
          <w:bCs/>
          <w:color w:val="002060"/>
          <w:sz w:val="28"/>
          <w:szCs w:val="28"/>
          <w:lang w:val="fr-FR"/>
        </w:rPr>
        <w:t>bancaires</w:t>
      </w:r>
      <w:proofErr w:type="gramEnd"/>
      <w:r w:rsidRPr="008F6600">
        <w:rPr>
          <w:rFonts w:cs="Arial"/>
          <w:b/>
          <w:bCs/>
          <w:color w:val="002060"/>
          <w:sz w:val="28"/>
          <w:szCs w:val="28"/>
          <w:lang w:val="fr-FR"/>
        </w:rPr>
        <w:t>) et le niveau toujours extrêmement bas des réductions de valeur pour pertes de crédit. Ils ont également été dopés par l'impact positif unique découlant de la cession de nos actions Visa Europe. En tenant compte du bénéfice net de 392 millions d'euros réalisé au premier trimestre, notre résultat pour les six premiers mois de l’année s’établit à 1 113 millions d’euros, contre 1 176 millions d’euros pour la même période en 2015. À cela s'ajoutent des fondamentaux solides au niveau de nos positions de solvabilité et de liquidité. Le Conseil d'administration a approuvé une nouvelle politique en matière de dividende pour KBC Groupe</w:t>
      </w:r>
      <w:r w:rsidR="00BA3603">
        <w:rPr>
          <w:rFonts w:cs="Arial"/>
          <w:b/>
          <w:bCs/>
          <w:color w:val="002060"/>
          <w:sz w:val="28"/>
          <w:szCs w:val="28"/>
          <w:lang w:val="fr-FR"/>
        </w:rPr>
        <w:t xml:space="preserve">. </w:t>
      </w:r>
      <w:r w:rsidR="00BA3603" w:rsidRPr="00BA3603">
        <w:rPr>
          <w:rFonts w:cs="Arial"/>
          <w:b/>
          <w:bCs/>
          <w:color w:val="002060"/>
          <w:sz w:val="28"/>
          <w:szCs w:val="28"/>
          <w:lang w:val="fr-FR"/>
        </w:rPr>
        <w:t>À partir de cette année et sous réserve de conditions exceptionnelles ou imprévues, KBC versera annuellement un dividende intérimaire de 1 euro par action durant le mois de</w:t>
      </w:r>
      <w:r w:rsidR="00BA3603">
        <w:rPr>
          <w:rFonts w:cs="Arial"/>
          <w:b/>
          <w:bCs/>
          <w:color w:val="002060"/>
          <w:sz w:val="28"/>
          <w:szCs w:val="28"/>
          <w:lang w:val="fr-FR"/>
        </w:rPr>
        <w:t xml:space="preserve"> novembre de l'année comptable a</w:t>
      </w:r>
      <w:r w:rsidR="00BA3603" w:rsidRPr="00BA3603">
        <w:rPr>
          <w:rFonts w:cs="Arial"/>
          <w:b/>
          <w:bCs/>
          <w:color w:val="002060"/>
          <w:sz w:val="28"/>
          <w:szCs w:val="28"/>
          <w:lang w:val="fr-FR"/>
        </w:rPr>
        <w:t xml:space="preserve">insi qu'un dividende final après l'assemblée annuelle des actionnaires. Le dividende intérimaire sera une avance sur le dividende total. </w:t>
      </w:r>
      <w:r w:rsidRPr="008F6600">
        <w:rPr>
          <w:rFonts w:cs="Arial"/>
          <w:b/>
          <w:bCs/>
          <w:color w:val="002060"/>
          <w:sz w:val="28"/>
          <w:szCs w:val="28"/>
          <w:lang w:val="fr-FR"/>
        </w:rPr>
        <w:t>La politique actuelle prévoyant le versement d'un dividende total (et d'un coupon additionnel Tier-1) représentant au moins 50% du bénéfice consolidé annuel restera en vigueur. Le dividende intérimaire de 1 euro par action pour l’exercice 2016 sera mis en paiement le 18 novembre 2016.</w:t>
      </w:r>
    </w:p>
    <w:p w:rsidR="008F6600" w:rsidRDefault="008F6600" w:rsidP="008F6600">
      <w:pPr>
        <w:autoSpaceDE w:val="0"/>
        <w:autoSpaceDN w:val="0"/>
        <w:adjustRightInd w:val="0"/>
        <w:spacing w:after="0" w:line="240" w:lineRule="auto"/>
        <w:ind w:left="1276" w:right="4" w:hanging="283"/>
        <w:rPr>
          <w:rFonts w:cs="Arial"/>
          <w:b/>
          <w:color w:val="00AEEF"/>
          <w:sz w:val="28"/>
          <w:szCs w:val="28"/>
          <w:lang w:val="fr-FR"/>
        </w:rPr>
      </w:pPr>
    </w:p>
    <w:p w:rsidR="008F6600" w:rsidRPr="008F6600" w:rsidRDefault="008F6600" w:rsidP="008F6600">
      <w:p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lastRenderedPageBreak/>
        <w:t>Principales données financières du deuxième trimestre 2016 par rapport au trimestre précédent :</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Nos franchises de banque et d’assurance ont toutes deux réalisé une belle performance sur nos marchés clés et dans nos principales activités.</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Notre volume de prêts a progressé en Belgique (+1%), en République tchèque (+2%), en Slovaquie (+3%) et en Bulgarie (+3%). Les clients ont encore augmenté leurs dépôts dans tous les pays où nous opérons : Belgique (+5%), République tchèque (+3%), Slovaquie (+4%), Hongrie (+4%), Bulgarie (+1%) et Irlande (+2%).</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Nos revenus nets d'intérêts sont ressortis globalement inchangés en glissement trimestriel, l'impact négatif des taux bas ayant été compensé par des facteurs positifs tels que la croissance des volumes au niveau des comptes à vue et des prêts, la diminution des coûts de financement et les baisses de taux sur les comptes d'épargne. La marge nette d’intérêts du groupe a légèrement reculé par rapport au trimestre précédent, de 1,96% à 1,94% du fait de la baisse des revenus de réinvestissement et de la pression sur les marges commerciales.</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 xml:space="preserve">Les primes encaissées sur nos produits d’assurance non-vie se sont inscrites en hausse de 2%, mais les déclarations de sinistres ont augmenté dans une plus large mesure (6%) en raison des conditions météorologiques défavorables et des inondations en Belgique et en République tchèque. Notre ratio non-vie combiné s'établit à 95% </w:t>
      </w:r>
      <w:proofErr w:type="spellStart"/>
      <w:r w:rsidRPr="008F6600">
        <w:rPr>
          <w:rFonts w:cs="Arial"/>
          <w:bCs/>
          <w:i/>
          <w:color w:val="002060"/>
          <w:lang w:val="fr-FR"/>
        </w:rPr>
        <w:t>year</w:t>
      </w:r>
      <w:proofErr w:type="spellEnd"/>
      <w:r w:rsidRPr="008F6600">
        <w:rPr>
          <w:rFonts w:cs="Arial"/>
          <w:bCs/>
          <w:i/>
          <w:color w:val="002060"/>
          <w:lang w:val="fr-FR"/>
        </w:rPr>
        <w:t>-to-date</w:t>
      </w:r>
      <w:r w:rsidRPr="008F6600">
        <w:rPr>
          <w:rFonts w:cs="Arial"/>
          <w:bCs/>
          <w:color w:val="002060"/>
          <w:lang w:val="fr-FR"/>
        </w:rPr>
        <w:t>.</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Le total de nos actifs sous gestion a atteint 207 milliards d’euros,  un niveau globalement en ligne avec celui du premier trimestre, dans la mesure où les modestes sorties de capitaux nettes ont été compensées par une légère augmentation de prix. Après avoir diminué au premier trimestre, nos revenus nets de commissions ont regagné du terrain (+4%), essentiellement grâce à la hausse des commissions de gestion sur les fonds de placement et des commissions de crédit.</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La vente de nos actions Visa Europe a généré un revenu additionnel unique de 99 millions d'euros avant impôts, soit 84 millions d'euros après impôts.</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 xml:space="preserve">À 904 millions d'euros, les coûts ont baissé de 24%, étant donné que l'essentiel des taxes bancaires avaient été comptabilisées au premier trimestre. Si l'on fait abstraction de ces taxes, les coûts demeurent inchangés en rythme trimestriel. Le ratio charges/revenus s’établit à 59% </w:t>
      </w:r>
      <w:proofErr w:type="spellStart"/>
      <w:r w:rsidRPr="008F6600">
        <w:rPr>
          <w:rFonts w:cs="Arial"/>
          <w:bCs/>
          <w:i/>
          <w:color w:val="002060"/>
          <w:lang w:val="fr-FR"/>
        </w:rPr>
        <w:t>year</w:t>
      </w:r>
      <w:proofErr w:type="spellEnd"/>
      <w:r w:rsidRPr="008F6600">
        <w:rPr>
          <w:rFonts w:cs="Arial"/>
          <w:bCs/>
          <w:i/>
          <w:color w:val="002060"/>
          <w:lang w:val="fr-FR"/>
        </w:rPr>
        <w:t>-to-date</w:t>
      </w:r>
      <w:r w:rsidRPr="008F6600">
        <w:rPr>
          <w:rFonts w:cs="Arial"/>
          <w:bCs/>
          <w:color w:val="002060"/>
          <w:lang w:val="fr-FR"/>
        </w:rPr>
        <w:t>. Après répartition homogène des taxes bancaires et exclusion des éléments spécifiques, le ratio charges/revenus ressort à 56%.</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 xml:space="preserve">Le coût du crédit représente 0,07% de notre portefeuille de crédits </w:t>
      </w:r>
      <w:proofErr w:type="spellStart"/>
      <w:r w:rsidRPr="008F6600">
        <w:rPr>
          <w:rFonts w:cs="Arial"/>
          <w:bCs/>
          <w:i/>
          <w:color w:val="002060"/>
          <w:lang w:val="fr-FR"/>
        </w:rPr>
        <w:t>year</w:t>
      </w:r>
      <w:proofErr w:type="spellEnd"/>
      <w:r w:rsidRPr="008F6600">
        <w:rPr>
          <w:rFonts w:cs="Arial"/>
          <w:bCs/>
          <w:i/>
          <w:color w:val="002060"/>
          <w:lang w:val="fr-FR"/>
        </w:rPr>
        <w:t>-to-date</w:t>
      </w:r>
      <w:r w:rsidRPr="008F6600">
        <w:rPr>
          <w:rFonts w:cs="Arial"/>
          <w:bCs/>
          <w:color w:val="002060"/>
          <w:lang w:val="fr-FR"/>
        </w:rPr>
        <w:t xml:space="preserve">, un excellent niveau bas, toutefois intenable. Les prévisions en matière de pertes de valeur sur les crédits irlandais sont revues à la baisse vers 0-40 millions d’euros pour l’ensemble de l’exercice. </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bCs/>
          <w:color w:val="002060"/>
          <w:lang w:val="fr-FR"/>
        </w:rPr>
      </w:pPr>
      <w:r w:rsidRPr="008F6600">
        <w:rPr>
          <w:rFonts w:cs="Arial"/>
          <w:bCs/>
          <w:color w:val="002060"/>
          <w:lang w:val="fr-FR"/>
        </w:rPr>
        <w:t xml:space="preserve">Notre position de trésorerie reste robuste et notre base de capital – avec un ratio </w:t>
      </w:r>
      <w:proofErr w:type="spellStart"/>
      <w:r w:rsidRPr="008F6600">
        <w:rPr>
          <w:rFonts w:cs="Arial"/>
          <w:bCs/>
          <w:color w:val="002060"/>
          <w:lang w:val="fr-FR"/>
        </w:rPr>
        <w:t>common</w:t>
      </w:r>
      <w:proofErr w:type="spellEnd"/>
      <w:r w:rsidRPr="008F6600">
        <w:rPr>
          <w:rFonts w:cs="Arial"/>
          <w:bCs/>
          <w:color w:val="002060"/>
          <w:lang w:val="fr-FR"/>
        </w:rPr>
        <w:t xml:space="preserve"> </w:t>
      </w:r>
      <w:proofErr w:type="spellStart"/>
      <w:r w:rsidRPr="008F6600">
        <w:rPr>
          <w:rFonts w:cs="Arial"/>
          <w:bCs/>
          <w:color w:val="002060"/>
          <w:lang w:val="fr-FR"/>
        </w:rPr>
        <w:t>equity</w:t>
      </w:r>
      <w:proofErr w:type="spellEnd"/>
      <w:r w:rsidRPr="008F6600">
        <w:rPr>
          <w:rFonts w:cs="Arial"/>
          <w:bCs/>
          <w:color w:val="002060"/>
          <w:lang w:val="fr-FR"/>
        </w:rPr>
        <w:t xml:space="preserve"> de 14,9% (</w:t>
      </w:r>
      <w:proofErr w:type="spellStart"/>
      <w:r w:rsidRPr="008F6600">
        <w:rPr>
          <w:rFonts w:cs="Arial"/>
          <w:bCs/>
          <w:color w:val="002060"/>
          <w:lang w:val="fr-FR"/>
        </w:rPr>
        <w:t>phased</w:t>
      </w:r>
      <w:proofErr w:type="spellEnd"/>
      <w:r w:rsidRPr="008F6600">
        <w:rPr>
          <w:rFonts w:cs="Arial"/>
          <w:bCs/>
          <w:color w:val="002060"/>
          <w:lang w:val="fr-FR"/>
        </w:rPr>
        <w:t>-in, selon le compromis danois) – est toujours nettement supérieure à l’objectif réglementaire de 10,25% pour 2016.</w:t>
      </w:r>
    </w:p>
    <w:p w:rsidR="0077354C" w:rsidRDefault="0077354C" w:rsidP="0077354C">
      <w:pPr>
        <w:autoSpaceDE w:val="0"/>
        <w:autoSpaceDN w:val="0"/>
        <w:adjustRightInd w:val="0"/>
        <w:spacing w:after="0" w:line="240" w:lineRule="auto"/>
        <w:ind w:left="993" w:right="4"/>
        <w:rPr>
          <w:rFonts w:cs="Arial"/>
          <w:color w:val="003768"/>
          <w:lang w:val="fr-FR"/>
        </w:rPr>
      </w:pPr>
    </w:p>
    <w:p w:rsidR="008F6600" w:rsidRPr="008F6600" w:rsidRDefault="008F6600" w:rsidP="008F6600">
      <w:pPr>
        <w:autoSpaceDE w:val="0"/>
        <w:autoSpaceDN w:val="0"/>
        <w:adjustRightInd w:val="0"/>
        <w:spacing w:after="0" w:line="240" w:lineRule="auto"/>
        <w:ind w:left="993" w:right="4"/>
        <w:rPr>
          <w:rFonts w:asciiTheme="minorHAnsi" w:hAnsiTheme="minorHAnsi"/>
          <w:i/>
          <w:color w:val="002060"/>
          <w:lang w:val="fr-FR"/>
        </w:rPr>
      </w:pPr>
      <w:r w:rsidRPr="008F6600">
        <w:rPr>
          <w:rFonts w:asciiTheme="minorHAnsi" w:hAnsiTheme="minorHAnsi"/>
          <w:i/>
          <w:color w:val="002060"/>
          <w:lang w:val="fr-FR"/>
        </w:rPr>
        <w:t>Johan Thijs, CEO de notre groupe :</w:t>
      </w:r>
    </w:p>
    <w:p w:rsidR="00BB2980" w:rsidRDefault="008F6600" w:rsidP="008F6600">
      <w:pPr>
        <w:spacing w:after="0" w:line="240" w:lineRule="auto"/>
        <w:ind w:left="993" w:right="99"/>
        <w:rPr>
          <w:rFonts w:eastAsia="Arial" w:cs="Arial"/>
          <w:i/>
          <w:color w:val="002060"/>
          <w:lang w:val="fr-FR"/>
        </w:rPr>
      </w:pPr>
      <w:r w:rsidRPr="008F6600">
        <w:rPr>
          <w:i/>
          <w:noProof/>
          <w:color w:val="002060"/>
        </w:rPr>
        <w:drawing>
          <wp:anchor distT="0" distB="0" distL="114300" distR="114300" simplePos="0" relativeHeight="251659264" behindDoc="0" locked="0" layoutInCell="1" allowOverlap="1">
            <wp:simplePos x="0" y="0"/>
            <wp:positionH relativeFrom="column">
              <wp:posOffset>765175</wp:posOffset>
            </wp:positionH>
            <wp:positionV relativeFrom="paragraph">
              <wp:posOffset>8255</wp:posOffset>
            </wp:positionV>
            <wp:extent cx="935990" cy="1131570"/>
            <wp:effectExtent l="0" t="0" r="0" b="0"/>
            <wp:wrapSquare wrapText="bothSides"/>
            <wp:docPr id="22"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90" cy="1131570"/>
                    </a:xfrm>
                    <a:prstGeom prst="rect">
                      <a:avLst/>
                    </a:prstGeom>
                    <a:noFill/>
                    <a:ln>
                      <a:noFill/>
                    </a:ln>
                  </pic:spPr>
                </pic:pic>
              </a:graphicData>
            </a:graphic>
          </wp:anchor>
        </w:drawing>
      </w:r>
      <w:r w:rsidRPr="008F6600">
        <w:rPr>
          <w:rFonts w:eastAsia="Arial" w:cs="Arial"/>
          <w:i/>
          <w:color w:val="002060"/>
          <w:lang w:val="fr-FR"/>
        </w:rPr>
        <w:t xml:space="preserve"> « Le niveau bas persistant</w:t>
      </w:r>
      <w:r w:rsidR="00BA3603">
        <w:rPr>
          <w:rFonts w:eastAsia="Arial" w:cs="Arial"/>
          <w:i/>
          <w:color w:val="002060"/>
          <w:lang w:val="fr-FR"/>
        </w:rPr>
        <w:t xml:space="preserve"> </w:t>
      </w:r>
      <w:r w:rsidRPr="008F6600">
        <w:rPr>
          <w:rFonts w:eastAsia="Arial" w:cs="Arial"/>
          <w:i/>
          <w:color w:val="002060"/>
          <w:lang w:val="fr-FR"/>
        </w:rPr>
        <w:t xml:space="preserve">des taux d'intérêt, conjugué à la volatilité régnant sur les marchés financiers, constitue un défi pour l'ensemble des établissements financiers, y compris le nôtre. Dans des conditions économiques exigeantes, nous continuons à être un </w:t>
      </w:r>
      <w:proofErr w:type="spellStart"/>
      <w:r w:rsidRPr="008F6600">
        <w:rPr>
          <w:rFonts w:eastAsia="Arial" w:cs="Arial"/>
          <w:i/>
          <w:color w:val="002060"/>
          <w:lang w:val="fr-FR"/>
        </w:rPr>
        <w:t>bancassureur</w:t>
      </w:r>
      <w:proofErr w:type="spellEnd"/>
      <w:r w:rsidRPr="008F6600">
        <w:rPr>
          <w:rFonts w:eastAsia="Arial" w:cs="Arial"/>
          <w:i/>
          <w:color w:val="002060"/>
          <w:lang w:val="fr-FR"/>
        </w:rPr>
        <w:t xml:space="preserve"> qui place ses clients au centre de ses préoccupations. </w:t>
      </w:r>
    </w:p>
    <w:p w:rsidR="008F6600" w:rsidRDefault="008F6600" w:rsidP="008F6600">
      <w:pPr>
        <w:spacing w:after="0" w:line="240" w:lineRule="auto"/>
        <w:ind w:left="993" w:right="99"/>
        <w:rPr>
          <w:rFonts w:eastAsia="Arial" w:cs="Arial"/>
          <w:i/>
          <w:color w:val="002060"/>
          <w:lang w:val="fr-FR"/>
        </w:rPr>
      </w:pPr>
      <w:r w:rsidRPr="008F6600">
        <w:rPr>
          <w:rFonts w:eastAsia="Arial" w:cs="Arial"/>
          <w:i/>
          <w:color w:val="002060"/>
          <w:lang w:val="fr-FR"/>
        </w:rPr>
        <w:t>Nous considérons nos clients comme autant de partenaires avec lesquels nous pouvons collaborer en vue de bâtir la société et de générer une croissance économique durable. Les clients continuent de nous confier leurs actifs en dépôt et comptent sur nous pour les aider à réaliser et à protéger leurs projets. Au cours du trimestre, les volumes de prêts et de dépôts ont encore augmenté, tout comme les primes encaissées sur nos produits d’assurance non-vie.</w:t>
      </w:r>
    </w:p>
    <w:p w:rsidR="00BB2980" w:rsidRPr="008F6600" w:rsidRDefault="00BB2980" w:rsidP="008F6600">
      <w:pPr>
        <w:spacing w:after="0" w:line="240" w:lineRule="auto"/>
        <w:ind w:left="993" w:right="99"/>
        <w:rPr>
          <w:rFonts w:eastAsia="Arial" w:cs="Arial"/>
          <w:i/>
          <w:color w:val="002060"/>
          <w:lang w:val="fr-FR"/>
        </w:rPr>
      </w:pPr>
    </w:p>
    <w:p w:rsidR="00BB2980" w:rsidRPr="008F6600" w:rsidRDefault="008F6600" w:rsidP="008F6600">
      <w:pPr>
        <w:spacing w:after="0" w:line="240" w:lineRule="auto"/>
        <w:ind w:left="993" w:right="100"/>
        <w:rPr>
          <w:rFonts w:eastAsia="Arial" w:cs="Arial"/>
          <w:i/>
          <w:color w:val="002060"/>
          <w:lang w:val="fr-FR"/>
        </w:rPr>
      </w:pPr>
      <w:r w:rsidRPr="008F6600">
        <w:rPr>
          <w:i/>
          <w:color w:val="002060"/>
          <w:lang w:val="fr-FR"/>
        </w:rPr>
        <w:t>Le deuxième trimestre a été caractérisé par de solides revenus totaux pour nos activités principales, le niveau stable des charges d'exploitation et un coût du crédit toujours faible. Le gain unique découlant de la cession de nos actions Visa Europe a dopé les résultats. Notre approche de bancassurance a permis de générer un robuste résultat de 721 millions d'euros au deuxième trimestre de l'année.</w:t>
      </w:r>
      <w:r w:rsidR="00BB2980">
        <w:rPr>
          <w:i/>
          <w:color w:val="002060"/>
          <w:lang w:val="fr-FR"/>
        </w:rPr>
        <w:t xml:space="preserve"> </w:t>
      </w:r>
    </w:p>
    <w:p w:rsidR="00BB2980" w:rsidRDefault="008F6600" w:rsidP="00BA3603">
      <w:pPr>
        <w:autoSpaceDE w:val="0"/>
        <w:autoSpaceDN w:val="0"/>
        <w:adjustRightInd w:val="0"/>
        <w:spacing w:after="0" w:line="240" w:lineRule="auto"/>
        <w:ind w:left="993" w:right="4"/>
        <w:jc w:val="both"/>
        <w:rPr>
          <w:i/>
          <w:color w:val="002060"/>
          <w:lang w:val="fr-FR"/>
        </w:rPr>
      </w:pPr>
      <w:r w:rsidRPr="008F6600">
        <w:rPr>
          <w:i/>
          <w:color w:val="002060"/>
          <w:lang w:val="fr-FR"/>
        </w:rPr>
        <w:t xml:space="preserve">Le groupe KBC peut continuer de se targuer de positions de solvabilité et de liquidité très saines, comme en témoignent non seulement les ratios actuels mais également les résultats du test de résistance de l'ABE publiés en juillet. Voilà donc un signal rassurant pour nos clients, nos employés et nos parties prenantes. </w:t>
      </w:r>
    </w:p>
    <w:p w:rsidR="00BB2980" w:rsidRDefault="008F6600" w:rsidP="00BA3603">
      <w:pPr>
        <w:autoSpaceDE w:val="0"/>
        <w:autoSpaceDN w:val="0"/>
        <w:adjustRightInd w:val="0"/>
        <w:spacing w:after="0" w:line="240" w:lineRule="auto"/>
        <w:ind w:left="993" w:right="4"/>
        <w:jc w:val="both"/>
        <w:rPr>
          <w:rFonts w:cs="Arial"/>
          <w:i/>
          <w:color w:val="002060"/>
          <w:lang w:val="fr-FR"/>
        </w:rPr>
      </w:pPr>
      <w:r w:rsidRPr="00BA3603">
        <w:rPr>
          <w:i/>
          <w:color w:val="002060"/>
          <w:lang w:val="fr-FR"/>
        </w:rPr>
        <w:lastRenderedPageBreak/>
        <w:t>Le Conseil d'administration a approuvé une nouvelle politique en matière de dividende pour KBC Groupe</w:t>
      </w:r>
      <w:r w:rsidR="00BA3603" w:rsidRPr="00BA3603">
        <w:rPr>
          <w:i/>
          <w:color w:val="002060"/>
          <w:lang w:val="fr-FR"/>
        </w:rPr>
        <w:t>.</w:t>
      </w:r>
      <w:r w:rsidRPr="00BA3603">
        <w:rPr>
          <w:i/>
          <w:color w:val="002060"/>
          <w:lang w:val="fr-FR"/>
        </w:rPr>
        <w:t xml:space="preserve"> </w:t>
      </w:r>
      <w:r w:rsidR="00BA3603" w:rsidRPr="00BA3603">
        <w:rPr>
          <w:i/>
          <w:color w:val="002060"/>
          <w:lang w:val="fr-FR"/>
        </w:rPr>
        <w:t>À partir de cette année et sous réserve de conditions exceptionnelles ou imprévues, KBC versera annuellement un dividende intérimaire de 1 euro par action durant le mois de</w:t>
      </w:r>
      <w:r w:rsidR="00BA3603">
        <w:rPr>
          <w:i/>
          <w:color w:val="002060"/>
          <w:lang w:val="fr-FR"/>
        </w:rPr>
        <w:t xml:space="preserve"> novembre de l'année comptable </w:t>
      </w:r>
      <w:r w:rsidR="00BA3603" w:rsidRPr="00BA3603">
        <w:rPr>
          <w:i/>
          <w:color w:val="002060"/>
          <w:lang w:val="fr-FR"/>
        </w:rPr>
        <w:t xml:space="preserve">ainsi qu'un dividende final après l'assemblée annuelle des actionnaires. Le dividende intérimaire sera une avance sur le dividende total. </w:t>
      </w:r>
      <w:r w:rsidRPr="008F6600">
        <w:rPr>
          <w:rFonts w:cs="Arial"/>
          <w:i/>
          <w:color w:val="002060"/>
          <w:lang w:val="fr-FR"/>
        </w:rPr>
        <w:t xml:space="preserve">La politique actuelle prévoyant le versement d'un dividende total (et d'un coupon additionnel Tier-1) représentant au moins 50% du bénéfice consolidé annuel restera en vigueur. Le dividende intérimaire de 1 euro par action pour l’exercice 2016 sera mis en paiement le 18 novembre 2016. </w:t>
      </w:r>
    </w:p>
    <w:p w:rsidR="008F6600" w:rsidRPr="008F6600" w:rsidRDefault="008F6600" w:rsidP="00BA3603">
      <w:pPr>
        <w:autoSpaceDE w:val="0"/>
        <w:autoSpaceDN w:val="0"/>
        <w:adjustRightInd w:val="0"/>
        <w:spacing w:after="0" w:line="240" w:lineRule="auto"/>
        <w:ind w:left="993" w:right="4"/>
        <w:jc w:val="both"/>
        <w:rPr>
          <w:rFonts w:eastAsia="Arial" w:cs="Arial"/>
          <w:color w:val="002060"/>
          <w:lang w:val="fr-FR"/>
        </w:rPr>
      </w:pPr>
      <w:r w:rsidRPr="008F6600">
        <w:rPr>
          <w:rFonts w:eastAsia="Arial" w:cs="Arial"/>
          <w:i/>
          <w:color w:val="002060"/>
          <w:lang w:val="fr-FR"/>
        </w:rPr>
        <w:t>Nous avons pour objectif de faire en sorte que nos clients, actionnaires et autres parties prenantes tirent un réel bénéfice de nos activités. Cet objectif, tous nos membres du personnel s'efforcent de le réaliser. Les prix de « Meilleure banque » pour la Belgique et la Hongrie qu’</w:t>
      </w:r>
      <w:proofErr w:type="spellStart"/>
      <w:r w:rsidRPr="008F6600">
        <w:rPr>
          <w:rFonts w:eastAsia="Arial" w:cs="Arial"/>
          <w:i/>
          <w:color w:val="002060"/>
          <w:lang w:val="fr-FR"/>
        </w:rPr>
        <w:t>Euromoney</w:t>
      </w:r>
      <w:proofErr w:type="spellEnd"/>
      <w:r w:rsidRPr="008F6600">
        <w:rPr>
          <w:rFonts w:eastAsia="Arial" w:cs="Arial"/>
          <w:i/>
          <w:color w:val="002060"/>
          <w:lang w:val="fr-FR"/>
        </w:rPr>
        <w:t xml:space="preserve"> nous a décerné en juillet ouvrent des perspectives encourageantes et nous emplissent de fierté. Nous sommes extrêmement reconnaissants envers nos clients pour la confiance qu’ils placent en nous et qui témoigne de la réussite de notre modèle de bancassurance. »</w:t>
      </w:r>
    </w:p>
    <w:p w:rsidR="008F6600" w:rsidRDefault="008F6600" w:rsidP="007E3194">
      <w:pPr>
        <w:spacing w:after="0" w:line="240" w:lineRule="auto"/>
        <w:ind w:left="1440" w:right="100"/>
        <w:rPr>
          <w:rFonts w:eastAsia="Arial" w:cs="Arial"/>
          <w:i/>
          <w:lang w:val="fr-FR"/>
        </w:rPr>
      </w:pPr>
    </w:p>
    <w:tbl>
      <w:tblPr>
        <w:tblStyle w:val="TableNormal1"/>
        <w:tblW w:w="10221" w:type="dxa"/>
        <w:tblInd w:w="569" w:type="dxa"/>
        <w:tblLayout w:type="fixed"/>
        <w:tblLook w:val="01E0" w:firstRow="1" w:lastRow="1" w:firstColumn="1" w:lastColumn="1" w:noHBand="0" w:noVBand="0"/>
      </w:tblPr>
      <w:tblGrid>
        <w:gridCol w:w="4034"/>
        <w:gridCol w:w="1473"/>
        <w:gridCol w:w="996"/>
        <w:gridCol w:w="1277"/>
        <w:gridCol w:w="1274"/>
        <w:gridCol w:w="1167"/>
      </w:tblGrid>
      <w:tr w:rsidR="008F6600" w:rsidRPr="009D658B" w:rsidTr="007E3194">
        <w:trPr>
          <w:trHeight w:hRule="exact" w:val="372"/>
        </w:trPr>
        <w:tc>
          <w:tcPr>
            <w:tcW w:w="4034" w:type="dxa"/>
            <w:tcBorders>
              <w:top w:val="nil"/>
              <w:left w:val="nil"/>
              <w:bottom w:val="single" w:sz="4" w:space="0" w:color="808080"/>
              <w:right w:val="nil"/>
            </w:tcBorders>
          </w:tcPr>
          <w:p w:rsidR="008F6600" w:rsidRDefault="008F6600" w:rsidP="006F1C7F">
            <w:pPr>
              <w:pStyle w:val="TableParagraph"/>
              <w:spacing w:before="41"/>
              <w:ind w:left="122"/>
              <w:rPr>
                <w:rFonts w:eastAsia="Arial" w:cs="Arial"/>
                <w:sz w:val="14"/>
                <w:szCs w:val="14"/>
              </w:rPr>
            </w:pPr>
            <w:proofErr w:type="spellStart"/>
            <w:r w:rsidRPr="009D658B">
              <w:rPr>
                <w:b/>
                <w:color w:val="00AFEF"/>
                <w:sz w:val="14"/>
              </w:rPr>
              <w:t>Aperçu</w:t>
            </w:r>
            <w:proofErr w:type="spellEnd"/>
          </w:p>
          <w:p w:rsidR="008F6600" w:rsidRPr="009D658B" w:rsidRDefault="008F6600" w:rsidP="001458D9">
            <w:pPr>
              <w:pStyle w:val="TableParagraph"/>
              <w:ind w:left="122"/>
              <w:rPr>
                <w:rFonts w:eastAsia="Arial" w:cs="Arial"/>
                <w:sz w:val="14"/>
                <w:szCs w:val="14"/>
              </w:rPr>
            </w:pPr>
            <w:proofErr w:type="spellStart"/>
            <w:r w:rsidRPr="009D658B">
              <w:rPr>
                <w:b/>
                <w:color w:val="00AFEF"/>
                <w:sz w:val="14"/>
              </w:rPr>
              <w:t>Groupe</w:t>
            </w:r>
            <w:proofErr w:type="spellEnd"/>
            <w:r w:rsidRPr="009D658B">
              <w:rPr>
                <w:b/>
                <w:color w:val="00AFEF"/>
                <w:sz w:val="14"/>
              </w:rPr>
              <w:t xml:space="preserve"> KBC (</w:t>
            </w:r>
            <w:proofErr w:type="spellStart"/>
            <w:r w:rsidRPr="009D658B">
              <w:rPr>
                <w:b/>
                <w:color w:val="00AFEF"/>
                <w:sz w:val="14"/>
              </w:rPr>
              <w:t>consolidé</w:t>
            </w:r>
            <w:proofErr w:type="spellEnd"/>
            <w:r w:rsidRPr="009D658B">
              <w:rPr>
                <w:b/>
                <w:color w:val="00AFEF"/>
                <w:sz w:val="14"/>
              </w:rPr>
              <w:t>)</w:t>
            </w:r>
          </w:p>
        </w:tc>
        <w:tc>
          <w:tcPr>
            <w:tcW w:w="1473" w:type="dxa"/>
            <w:tcBorders>
              <w:top w:val="nil"/>
              <w:left w:val="nil"/>
              <w:bottom w:val="single" w:sz="4" w:space="0" w:color="808080"/>
              <w:right w:val="nil"/>
            </w:tcBorders>
          </w:tcPr>
          <w:p w:rsidR="008F6600" w:rsidRPr="009D658B" w:rsidRDefault="008F6600" w:rsidP="001458D9">
            <w:pPr>
              <w:pStyle w:val="TableParagraph"/>
              <w:spacing w:before="123"/>
              <w:ind w:left="586"/>
              <w:rPr>
                <w:rFonts w:eastAsia="Arial" w:cs="Arial"/>
                <w:sz w:val="14"/>
                <w:szCs w:val="14"/>
              </w:rPr>
            </w:pPr>
            <w:r w:rsidRPr="009D658B">
              <w:rPr>
                <w:b/>
                <w:color w:val="00AFEF"/>
                <w:sz w:val="14"/>
              </w:rPr>
              <w:t>2TR2015</w:t>
            </w:r>
          </w:p>
        </w:tc>
        <w:tc>
          <w:tcPr>
            <w:tcW w:w="996" w:type="dxa"/>
            <w:tcBorders>
              <w:top w:val="nil"/>
              <w:left w:val="nil"/>
              <w:bottom w:val="single" w:sz="4" w:space="0" w:color="808080"/>
              <w:right w:val="nil"/>
            </w:tcBorders>
          </w:tcPr>
          <w:p w:rsidR="008F6600" w:rsidRPr="009D658B" w:rsidRDefault="008F6600" w:rsidP="001458D9">
            <w:pPr>
              <w:pStyle w:val="TableParagraph"/>
              <w:spacing w:before="123"/>
              <w:ind w:left="388"/>
              <w:rPr>
                <w:rFonts w:eastAsia="Arial" w:cs="Arial"/>
                <w:sz w:val="14"/>
                <w:szCs w:val="14"/>
              </w:rPr>
            </w:pPr>
            <w:r w:rsidRPr="009D658B">
              <w:rPr>
                <w:b/>
                <w:color w:val="00AFEF"/>
                <w:sz w:val="14"/>
              </w:rPr>
              <w:t>1TR2016</w:t>
            </w:r>
          </w:p>
        </w:tc>
        <w:tc>
          <w:tcPr>
            <w:tcW w:w="1277" w:type="dxa"/>
            <w:tcBorders>
              <w:top w:val="nil"/>
              <w:left w:val="nil"/>
              <w:bottom w:val="single" w:sz="4" w:space="0" w:color="808080"/>
              <w:right w:val="nil"/>
            </w:tcBorders>
          </w:tcPr>
          <w:p w:rsidR="008F6600" w:rsidRPr="009D658B" w:rsidRDefault="008F6600" w:rsidP="001458D9">
            <w:pPr>
              <w:pStyle w:val="TableParagraph"/>
              <w:spacing w:before="123"/>
              <w:ind w:left="670"/>
              <w:rPr>
                <w:rFonts w:eastAsia="Arial" w:cs="Arial"/>
                <w:sz w:val="14"/>
                <w:szCs w:val="14"/>
              </w:rPr>
            </w:pPr>
            <w:r w:rsidRPr="009D658B">
              <w:rPr>
                <w:b/>
                <w:color w:val="00AFEF"/>
                <w:sz w:val="14"/>
              </w:rPr>
              <w:t>2TR2016</w:t>
            </w:r>
          </w:p>
        </w:tc>
        <w:tc>
          <w:tcPr>
            <w:tcW w:w="1274" w:type="dxa"/>
            <w:tcBorders>
              <w:top w:val="nil"/>
              <w:left w:val="nil"/>
              <w:bottom w:val="single" w:sz="4" w:space="0" w:color="808080"/>
              <w:right w:val="nil"/>
            </w:tcBorders>
          </w:tcPr>
          <w:p w:rsidR="008F6600" w:rsidRPr="009D658B" w:rsidRDefault="008F6600" w:rsidP="001458D9">
            <w:pPr>
              <w:pStyle w:val="TableParagraph"/>
              <w:spacing w:before="123"/>
              <w:ind w:left="679"/>
              <w:rPr>
                <w:rFonts w:eastAsia="Arial" w:cs="Arial"/>
                <w:sz w:val="14"/>
                <w:szCs w:val="14"/>
              </w:rPr>
            </w:pPr>
            <w:r w:rsidRPr="009D658B">
              <w:rPr>
                <w:b/>
                <w:color w:val="00AFEF"/>
                <w:sz w:val="14"/>
              </w:rPr>
              <w:t>1</w:t>
            </w:r>
            <w:r>
              <w:rPr>
                <w:b/>
                <w:color w:val="00AFEF"/>
                <w:sz w:val="14"/>
              </w:rPr>
              <w:t>S</w:t>
            </w:r>
            <w:r w:rsidRPr="009D658B">
              <w:rPr>
                <w:b/>
                <w:color w:val="00AFEF"/>
                <w:sz w:val="14"/>
              </w:rPr>
              <w:t>2015</w:t>
            </w:r>
          </w:p>
        </w:tc>
        <w:tc>
          <w:tcPr>
            <w:tcW w:w="1167" w:type="dxa"/>
            <w:tcBorders>
              <w:top w:val="nil"/>
              <w:left w:val="nil"/>
              <w:bottom w:val="single" w:sz="4" w:space="0" w:color="808080"/>
              <w:right w:val="nil"/>
            </w:tcBorders>
          </w:tcPr>
          <w:p w:rsidR="008F6600" w:rsidRPr="009D658B" w:rsidRDefault="008F6600" w:rsidP="001458D9">
            <w:pPr>
              <w:pStyle w:val="TableParagraph"/>
              <w:spacing w:before="123"/>
              <w:ind w:left="569"/>
              <w:rPr>
                <w:rFonts w:eastAsia="Arial" w:cs="Arial"/>
                <w:sz w:val="14"/>
                <w:szCs w:val="14"/>
              </w:rPr>
            </w:pPr>
            <w:r w:rsidRPr="009D658B">
              <w:rPr>
                <w:b/>
                <w:color w:val="00AFEF"/>
                <w:sz w:val="14"/>
              </w:rPr>
              <w:t>1</w:t>
            </w:r>
            <w:r>
              <w:rPr>
                <w:b/>
                <w:color w:val="00AFEF"/>
                <w:sz w:val="14"/>
              </w:rPr>
              <w:t>S</w:t>
            </w:r>
            <w:r w:rsidRPr="009D658B">
              <w:rPr>
                <w:b/>
                <w:color w:val="00AFEF"/>
                <w:sz w:val="14"/>
              </w:rPr>
              <w:t>2016</w:t>
            </w:r>
          </w:p>
        </w:tc>
      </w:tr>
      <w:tr w:rsidR="008F6600" w:rsidRPr="009D658B" w:rsidTr="007E3194">
        <w:trPr>
          <w:trHeight w:hRule="exact" w:val="295"/>
        </w:trPr>
        <w:tc>
          <w:tcPr>
            <w:tcW w:w="4034" w:type="dxa"/>
            <w:tcBorders>
              <w:top w:val="single" w:sz="4" w:space="0" w:color="808080"/>
              <w:left w:val="nil"/>
              <w:bottom w:val="nil"/>
              <w:right w:val="nil"/>
            </w:tcBorders>
          </w:tcPr>
          <w:p w:rsidR="008F6600" w:rsidRPr="009D658B" w:rsidRDefault="008F6600" w:rsidP="001458D9">
            <w:pPr>
              <w:pStyle w:val="TableParagraph"/>
              <w:spacing w:before="60"/>
              <w:ind w:left="122"/>
              <w:rPr>
                <w:rFonts w:eastAsia="Arial" w:cs="Arial"/>
                <w:sz w:val="14"/>
                <w:szCs w:val="14"/>
                <w:lang w:val="fr-FR"/>
              </w:rPr>
            </w:pPr>
            <w:r w:rsidRPr="009D658B">
              <w:rPr>
                <w:sz w:val="14"/>
                <w:lang w:val="fr-FR"/>
              </w:rPr>
              <w:t>Résultat net, IFRS (en millions EUR)</w:t>
            </w:r>
          </w:p>
        </w:tc>
        <w:tc>
          <w:tcPr>
            <w:tcW w:w="1473" w:type="dxa"/>
            <w:tcBorders>
              <w:top w:val="single" w:sz="4" w:space="0" w:color="808080"/>
              <w:left w:val="nil"/>
              <w:bottom w:val="nil"/>
              <w:right w:val="nil"/>
            </w:tcBorders>
          </w:tcPr>
          <w:p w:rsidR="008F6600" w:rsidRPr="009D658B" w:rsidRDefault="008F6600" w:rsidP="001458D9">
            <w:pPr>
              <w:pStyle w:val="TableParagraph"/>
              <w:spacing w:before="60"/>
              <w:ind w:left="853"/>
              <w:rPr>
                <w:rFonts w:eastAsia="Arial" w:cs="Arial"/>
                <w:sz w:val="14"/>
                <w:szCs w:val="14"/>
              </w:rPr>
            </w:pPr>
            <w:r w:rsidRPr="009D658B">
              <w:rPr>
                <w:sz w:val="14"/>
              </w:rPr>
              <w:t>666</w:t>
            </w:r>
          </w:p>
        </w:tc>
        <w:tc>
          <w:tcPr>
            <w:tcW w:w="996" w:type="dxa"/>
            <w:tcBorders>
              <w:top w:val="single" w:sz="4" w:space="0" w:color="808080"/>
              <w:left w:val="nil"/>
              <w:bottom w:val="nil"/>
              <w:right w:val="nil"/>
            </w:tcBorders>
          </w:tcPr>
          <w:p w:rsidR="008F6600" w:rsidRPr="009D658B" w:rsidRDefault="008F6600" w:rsidP="001458D9">
            <w:pPr>
              <w:pStyle w:val="TableParagraph"/>
              <w:spacing w:before="60"/>
              <w:ind w:left="654"/>
              <w:rPr>
                <w:rFonts w:eastAsia="Arial" w:cs="Arial"/>
                <w:sz w:val="14"/>
                <w:szCs w:val="14"/>
              </w:rPr>
            </w:pPr>
            <w:r w:rsidRPr="009D658B">
              <w:rPr>
                <w:sz w:val="14"/>
              </w:rPr>
              <w:t>392</w:t>
            </w:r>
          </w:p>
        </w:tc>
        <w:tc>
          <w:tcPr>
            <w:tcW w:w="1277" w:type="dxa"/>
            <w:tcBorders>
              <w:top w:val="single" w:sz="4" w:space="0" w:color="808080"/>
              <w:left w:val="nil"/>
              <w:bottom w:val="nil"/>
              <w:right w:val="single" w:sz="4" w:space="0" w:color="000000"/>
            </w:tcBorders>
            <w:shd w:val="clear" w:color="auto" w:fill="D9D9D9"/>
          </w:tcPr>
          <w:p w:rsidR="008F6600" w:rsidRPr="009D658B" w:rsidRDefault="008F6600" w:rsidP="001458D9">
            <w:pPr>
              <w:pStyle w:val="TableParagraph"/>
              <w:spacing w:before="60"/>
              <w:ind w:right="103"/>
              <w:jc w:val="right"/>
              <w:rPr>
                <w:rFonts w:eastAsia="Arial" w:cs="Arial"/>
                <w:sz w:val="14"/>
                <w:szCs w:val="14"/>
              </w:rPr>
            </w:pPr>
            <w:r w:rsidRPr="009D658B">
              <w:rPr>
                <w:sz w:val="14"/>
              </w:rPr>
              <w:t>721</w:t>
            </w:r>
          </w:p>
        </w:tc>
        <w:tc>
          <w:tcPr>
            <w:tcW w:w="1274" w:type="dxa"/>
            <w:tcBorders>
              <w:top w:val="single" w:sz="4" w:space="0" w:color="808080"/>
              <w:left w:val="single" w:sz="4" w:space="0" w:color="000000"/>
              <w:bottom w:val="nil"/>
              <w:right w:val="nil"/>
            </w:tcBorders>
          </w:tcPr>
          <w:p w:rsidR="008F6600" w:rsidRPr="009D658B" w:rsidRDefault="008F6600" w:rsidP="001458D9">
            <w:pPr>
              <w:pStyle w:val="TableParagraph"/>
              <w:spacing w:before="60"/>
              <w:ind w:left="813"/>
              <w:rPr>
                <w:rFonts w:eastAsia="Arial" w:cs="Arial"/>
                <w:sz w:val="14"/>
                <w:szCs w:val="14"/>
              </w:rPr>
            </w:pPr>
            <w:r w:rsidRPr="009D658B">
              <w:rPr>
                <w:sz w:val="14"/>
              </w:rPr>
              <w:t>1 176</w:t>
            </w:r>
          </w:p>
        </w:tc>
        <w:tc>
          <w:tcPr>
            <w:tcW w:w="1167" w:type="dxa"/>
            <w:tcBorders>
              <w:top w:val="single" w:sz="4" w:space="0" w:color="808080"/>
              <w:left w:val="nil"/>
              <w:bottom w:val="nil"/>
              <w:right w:val="nil"/>
            </w:tcBorders>
            <w:shd w:val="clear" w:color="auto" w:fill="D9D9D9"/>
          </w:tcPr>
          <w:p w:rsidR="008F6600" w:rsidRPr="009D658B" w:rsidRDefault="008F6600" w:rsidP="001458D9">
            <w:pPr>
              <w:pStyle w:val="TableParagraph"/>
              <w:spacing w:before="60"/>
              <w:ind w:left="708"/>
              <w:rPr>
                <w:rFonts w:eastAsia="Arial" w:cs="Arial"/>
                <w:sz w:val="14"/>
                <w:szCs w:val="14"/>
              </w:rPr>
            </w:pPr>
            <w:r w:rsidRPr="009D658B">
              <w:rPr>
                <w:sz w:val="14"/>
              </w:rPr>
              <w:t>1 113</w:t>
            </w:r>
          </w:p>
        </w:tc>
      </w:tr>
      <w:tr w:rsidR="008F6600" w:rsidRPr="009D658B" w:rsidTr="007E3194">
        <w:trPr>
          <w:trHeight w:hRule="exact" w:val="283"/>
        </w:trPr>
        <w:tc>
          <w:tcPr>
            <w:tcW w:w="4034" w:type="dxa"/>
            <w:tcBorders>
              <w:top w:val="nil"/>
              <w:left w:val="nil"/>
              <w:bottom w:val="single" w:sz="4" w:space="0" w:color="808080"/>
              <w:right w:val="nil"/>
            </w:tcBorders>
          </w:tcPr>
          <w:p w:rsidR="008F6600" w:rsidRPr="009D658B" w:rsidRDefault="008F6600" w:rsidP="001458D9">
            <w:pPr>
              <w:pStyle w:val="TableParagraph"/>
              <w:spacing w:before="53"/>
              <w:ind w:left="122"/>
              <w:rPr>
                <w:rFonts w:eastAsia="Arial" w:cs="Arial"/>
                <w:sz w:val="14"/>
                <w:szCs w:val="14"/>
                <w:lang w:val="fr-FR"/>
              </w:rPr>
            </w:pPr>
            <w:r w:rsidRPr="009D658B">
              <w:rPr>
                <w:sz w:val="14"/>
                <w:lang w:val="fr-FR"/>
              </w:rPr>
              <w:t>Bénéfice de base par action, IFRS (en EUR)*</w:t>
            </w:r>
          </w:p>
        </w:tc>
        <w:tc>
          <w:tcPr>
            <w:tcW w:w="1473" w:type="dxa"/>
            <w:tcBorders>
              <w:top w:val="nil"/>
              <w:left w:val="nil"/>
              <w:bottom w:val="single" w:sz="4" w:space="0" w:color="808080"/>
              <w:right w:val="nil"/>
            </w:tcBorders>
          </w:tcPr>
          <w:p w:rsidR="008F6600" w:rsidRPr="009D658B" w:rsidRDefault="008F6600" w:rsidP="001458D9">
            <w:pPr>
              <w:pStyle w:val="TableParagraph"/>
              <w:spacing w:before="53"/>
              <w:ind w:left="812"/>
              <w:rPr>
                <w:rFonts w:eastAsia="Arial" w:cs="Arial"/>
                <w:sz w:val="14"/>
                <w:szCs w:val="14"/>
              </w:rPr>
            </w:pPr>
            <w:r w:rsidRPr="009D658B">
              <w:rPr>
                <w:sz w:val="14"/>
              </w:rPr>
              <w:t>1.56</w:t>
            </w:r>
          </w:p>
        </w:tc>
        <w:tc>
          <w:tcPr>
            <w:tcW w:w="996" w:type="dxa"/>
            <w:tcBorders>
              <w:top w:val="nil"/>
              <w:left w:val="nil"/>
              <w:bottom w:val="single" w:sz="4" w:space="0" w:color="808080"/>
              <w:right w:val="nil"/>
            </w:tcBorders>
          </w:tcPr>
          <w:p w:rsidR="008F6600" w:rsidRPr="009D658B" w:rsidRDefault="008F6600" w:rsidP="001458D9">
            <w:pPr>
              <w:pStyle w:val="TableParagraph"/>
              <w:spacing w:before="53"/>
              <w:ind w:left="614"/>
              <w:rPr>
                <w:rFonts w:eastAsia="Arial" w:cs="Arial"/>
                <w:sz w:val="14"/>
                <w:szCs w:val="14"/>
              </w:rPr>
            </w:pPr>
            <w:r w:rsidRPr="009D658B">
              <w:rPr>
                <w:sz w:val="14"/>
              </w:rPr>
              <w:t>0.91</w:t>
            </w:r>
          </w:p>
        </w:tc>
        <w:tc>
          <w:tcPr>
            <w:tcW w:w="1277" w:type="dxa"/>
            <w:tcBorders>
              <w:top w:val="nil"/>
              <w:left w:val="nil"/>
              <w:bottom w:val="single" w:sz="4" w:space="0" w:color="808080"/>
              <w:right w:val="single" w:sz="4" w:space="0" w:color="000000"/>
            </w:tcBorders>
            <w:shd w:val="clear" w:color="auto" w:fill="D9D9D9"/>
          </w:tcPr>
          <w:p w:rsidR="008F6600" w:rsidRPr="009D658B" w:rsidRDefault="008F6600" w:rsidP="001458D9">
            <w:pPr>
              <w:pStyle w:val="TableParagraph"/>
              <w:spacing w:before="53"/>
              <w:ind w:right="103"/>
              <w:jc w:val="right"/>
              <w:rPr>
                <w:rFonts w:eastAsia="Arial" w:cs="Arial"/>
                <w:sz w:val="14"/>
                <w:szCs w:val="14"/>
              </w:rPr>
            </w:pPr>
            <w:r w:rsidRPr="009D658B">
              <w:rPr>
                <w:sz w:val="14"/>
              </w:rPr>
              <w:t>1.69</w:t>
            </w:r>
          </w:p>
        </w:tc>
        <w:tc>
          <w:tcPr>
            <w:tcW w:w="1274" w:type="dxa"/>
            <w:tcBorders>
              <w:top w:val="nil"/>
              <w:left w:val="single" w:sz="4" w:space="0" w:color="000000"/>
              <w:bottom w:val="single" w:sz="4" w:space="0" w:color="808080"/>
              <w:right w:val="nil"/>
            </w:tcBorders>
          </w:tcPr>
          <w:p w:rsidR="008F6600" w:rsidRPr="009D658B" w:rsidRDefault="008F6600" w:rsidP="001458D9">
            <w:pPr>
              <w:pStyle w:val="TableParagraph"/>
              <w:spacing w:before="53"/>
              <w:ind w:right="105"/>
              <w:jc w:val="right"/>
              <w:rPr>
                <w:rFonts w:eastAsia="Arial" w:cs="Arial"/>
                <w:sz w:val="14"/>
                <w:szCs w:val="14"/>
              </w:rPr>
            </w:pPr>
            <w:r w:rsidRPr="009D658B">
              <w:rPr>
                <w:sz w:val="14"/>
              </w:rPr>
              <w:t>2.75</w:t>
            </w:r>
          </w:p>
        </w:tc>
        <w:tc>
          <w:tcPr>
            <w:tcW w:w="1167" w:type="dxa"/>
            <w:tcBorders>
              <w:top w:val="nil"/>
              <w:left w:val="nil"/>
              <w:bottom w:val="single" w:sz="4" w:space="0" w:color="808080"/>
              <w:right w:val="nil"/>
            </w:tcBorders>
            <w:shd w:val="clear" w:color="auto" w:fill="D9D9D9"/>
          </w:tcPr>
          <w:p w:rsidR="008F6600" w:rsidRPr="009D658B" w:rsidRDefault="008F6600" w:rsidP="001458D9">
            <w:pPr>
              <w:pStyle w:val="TableParagraph"/>
              <w:spacing w:before="53"/>
              <w:ind w:right="107"/>
              <w:jc w:val="right"/>
              <w:rPr>
                <w:rFonts w:eastAsia="Arial" w:cs="Arial"/>
                <w:sz w:val="14"/>
                <w:szCs w:val="14"/>
              </w:rPr>
            </w:pPr>
            <w:r w:rsidRPr="009D658B">
              <w:rPr>
                <w:sz w:val="14"/>
              </w:rPr>
              <w:t>2.60</w:t>
            </w:r>
          </w:p>
        </w:tc>
      </w:tr>
      <w:tr w:rsidR="008F6600" w:rsidRPr="008F6600" w:rsidTr="007E3194">
        <w:trPr>
          <w:trHeight w:hRule="exact" w:val="342"/>
        </w:trPr>
        <w:tc>
          <w:tcPr>
            <w:tcW w:w="4034" w:type="dxa"/>
            <w:tcBorders>
              <w:top w:val="single" w:sz="4" w:space="0" w:color="808080"/>
              <w:left w:val="nil"/>
              <w:bottom w:val="nil"/>
              <w:right w:val="nil"/>
            </w:tcBorders>
          </w:tcPr>
          <w:p w:rsidR="008F6600" w:rsidRPr="009D658B" w:rsidRDefault="008F6600" w:rsidP="001458D9">
            <w:pPr>
              <w:pStyle w:val="TableParagraph"/>
              <w:ind w:left="122" w:right="731"/>
              <w:rPr>
                <w:rFonts w:eastAsia="Arial" w:cs="Arial"/>
                <w:sz w:val="14"/>
                <w:szCs w:val="14"/>
                <w:lang w:val="fr-FR"/>
              </w:rPr>
            </w:pPr>
            <w:r w:rsidRPr="009D658B">
              <w:rPr>
                <w:sz w:val="14"/>
                <w:lang w:val="fr-FR"/>
              </w:rPr>
              <w:t>Ventilation du résultat net, IFRS, par division (en millions EUR)</w:t>
            </w:r>
          </w:p>
        </w:tc>
        <w:tc>
          <w:tcPr>
            <w:tcW w:w="1473" w:type="dxa"/>
            <w:tcBorders>
              <w:top w:val="single" w:sz="4" w:space="0" w:color="808080"/>
              <w:left w:val="nil"/>
              <w:bottom w:val="nil"/>
              <w:right w:val="nil"/>
            </w:tcBorders>
          </w:tcPr>
          <w:p w:rsidR="008F6600" w:rsidRPr="009D658B" w:rsidRDefault="008F6600" w:rsidP="001458D9">
            <w:pPr>
              <w:rPr>
                <w:lang w:val="fr-FR"/>
              </w:rPr>
            </w:pPr>
          </w:p>
        </w:tc>
        <w:tc>
          <w:tcPr>
            <w:tcW w:w="996" w:type="dxa"/>
            <w:tcBorders>
              <w:top w:val="single" w:sz="4" w:space="0" w:color="808080"/>
              <w:left w:val="nil"/>
              <w:bottom w:val="nil"/>
              <w:right w:val="nil"/>
            </w:tcBorders>
          </w:tcPr>
          <w:p w:rsidR="008F6600" w:rsidRPr="009D658B" w:rsidRDefault="008F6600" w:rsidP="001458D9">
            <w:pPr>
              <w:rPr>
                <w:lang w:val="fr-FR"/>
              </w:rPr>
            </w:pPr>
          </w:p>
        </w:tc>
        <w:tc>
          <w:tcPr>
            <w:tcW w:w="1277" w:type="dxa"/>
            <w:tcBorders>
              <w:top w:val="single" w:sz="4" w:space="0" w:color="808080"/>
              <w:left w:val="nil"/>
              <w:bottom w:val="nil"/>
              <w:right w:val="single" w:sz="4" w:space="0" w:color="000000"/>
            </w:tcBorders>
            <w:shd w:val="clear" w:color="auto" w:fill="D9D9D9"/>
          </w:tcPr>
          <w:p w:rsidR="008F6600" w:rsidRPr="009D658B" w:rsidRDefault="008F6600" w:rsidP="001458D9">
            <w:pPr>
              <w:rPr>
                <w:lang w:val="fr-FR"/>
              </w:rPr>
            </w:pPr>
          </w:p>
        </w:tc>
        <w:tc>
          <w:tcPr>
            <w:tcW w:w="1274" w:type="dxa"/>
            <w:tcBorders>
              <w:top w:val="single" w:sz="4" w:space="0" w:color="808080"/>
              <w:left w:val="single" w:sz="4" w:space="0" w:color="000000"/>
              <w:bottom w:val="nil"/>
              <w:right w:val="nil"/>
            </w:tcBorders>
          </w:tcPr>
          <w:p w:rsidR="008F6600" w:rsidRPr="009D658B" w:rsidRDefault="008F6600" w:rsidP="001458D9">
            <w:pPr>
              <w:rPr>
                <w:lang w:val="fr-FR"/>
              </w:rPr>
            </w:pPr>
          </w:p>
        </w:tc>
        <w:tc>
          <w:tcPr>
            <w:tcW w:w="1167" w:type="dxa"/>
            <w:tcBorders>
              <w:top w:val="single" w:sz="4" w:space="0" w:color="808080"/>
              <w:left w:val="nil"/>
              <w:bottom w:val="nil"/>
              <w:right w:val="nil"/>
            </w:tcBorders>
            <w:shd w:val="clear" w:color="auto" w:fill="D9D9D9"/>
          </w:tcPr>
          <w:p w:rsidR="008F6600" w:rsidRPr="009D658B" w:rsidRDefault="008F6600" w:rsidP="001458D9">
            <w:pPr>
              <w:rPr>
                <w:lang w:val="fr-FR"/>
              </w:rPr>
            </w:pPr>
          </w:p>
        </w:tc>
      </w:tr>
      <w:tr w:rsidR="008F6600" w:rsidRPr="009D658B" w:rsidTr="007E3194">
        <w:trPr>
          <w:trHeight w:hRule="exact" w:val="188"/>
        </w:trPr>
        <w:tc>
          <w:tcPr>
            <w:tcW w:w="4034" w:type="dxa"/>
            <w:tcBorders>
              <w:top w:val="nil"/>
              <w:left w:val="nil"/>
              <w:bottom w:val="nil"/>
              <w:right w:val="nil"/>
            </w:tcBorders>
          </w:tcPr>
          <w:p w:rsidR="008F6600" w:rsidRPr="009D658B" w:rsidRDefault="008F6600" w:rsidP="001458D9">
            <w:pPr>
              <w:pStyle w:val="TableParagraph"/>
              <w:spacing w:before="2"/>
              <w:ind w:left="314"/>
              <w:rPr>
                <w:rFonts w:eastAsia="Arial" w:cs="Arial"/>
                <w:sz w:val="14"/>
                <w:szCs w:val="14"/>
              </w:rPr>
            </w:pPr>
            <w:proofErr w:type="spellStart"/>
            <w:r w:rsidRPr="009D658B">
              <w:rPr>
                <w:sz w:val="14"/>
              </w:rPr>
              <w:t>Belgique</w:t>
            </w:r>
            <w:proofErr w:type="spellEnd"/>
          </w:p>
        </w:tc>
        <w:tc>
          <w:tcPr>
            <w:tcW w:w="1473" w:type="dxa"/>
            <w:tcBorders>
              <w:top w:val="nil"/>
              <w:left w:val="nil"/>
              <w:bottom w:val="nil"/>
              <w:right w:val="nil"/>
            </w:tcBorders>
          </w:tcPr>
          <w:p w:rsidR="008F6600" w:rsidRPr="009D658B" w:rsidRDefault="008F6600" w:rsidP="001458D9">
            <w:pPr>
              <w:pStyle w:val="TableParagraph"/>
              <w:spacing w:before="2"/>
              <w:ind w:left="853"/>
              <w:rPr>
                <w:rFonts w:eastAsia="Arial" w:cs="Arial"/>
                <w:sz w:val="14"/>
                <w:szCs w:val="14"/>
              </w:rPr>
            </w:pPr>
            <w:r w:rsidRPr="009D658B">
              <w:rPr>
                <w:sz w:val="14"/>
              </w:rPr>
              <w:t>528</w:t>
            </w:r>
          </w:p>
        </w:tc>
        <w:tc>
          <w:tcPr>
            <w:tcW w:w="996" w:type="dxa"/>
            <w:tcBorders>
              <w:top w:val="nil"/>
              <w:left w:val="nil"/>
              <w:bottom w:val="nil"/>
              <w:right w:val="nil"/>
            </w:tcBorders>
          </w:tcPr>
          <w:p w:rsidR="008F6600" w:rsidRPr="009D658B" w:rsidRDefault="008F6600" w:rsidP="001458D9">
            <w:pPr>
              <w:pStyle w:val="TableParagraph"/>
              <w:spacing w:before="2"/>
              <w:ind w:left="654"/>
              <w:rPr>
                <w:rFonts w:eastAsia="Arial" w:cs="Arial"/>
                <w:sz w:val="14"/>
                <w:szCs w:val="14"/>
              </w:rPr>
            </w:pPr>
            <w:r w:rsidRPr="009D658B">
              <w:rPr>
                <w:sz w:val="14"/>
              </w:rPr>
              <w:t>209</w:t>
            </w:r>
          </w:p>
        </w:tc>
        <w:tc>
          <w:tcPr>
            <w:tcW w:w="1277" w:type="dxa"/>
            <w:tcBorders>
              <w:top w:val="nil"/>
              <w:left w:val="nil"/>
              <w:bottom w:val="nil"/>
              <w:right w:val="single" w:sz="4" w:space="0" w:color="000000"/>
            </w:tcBorders>
            <w:shd w:val="clear" w:color="auto" w:fill="D9D9D9"/>
          </w:tcPr>
          <w:p w:rsidR="008F6600" w:rsidRPr="009D658B" w:rsidRDefault="008F6600" w:rsidP="001458D9">
            <w:pPr>
              <w:pStyle w:val="TableParagraph"/>
              <w:spacing w:before="2"/>
              <w:ind w:right="103"/>
              <w:jc w:val="right"/>
              <w:rPr>
                <w:rFonts w:eastAsia="Arial" w:cs="Arial"/>
                <w:sz w:val="14"/>
                <w:szCs w:val="14"/>
              </w:rPr>
            </w:pPr>
            <w:r w:rsidRPr="009D658B">
              <w:rPr>
                <w:sz w:val="14"/>
              </w:rPr>
              <w:t>371</w:t>
            </w:r>
          </w:p>
        </w:tc>
        <w:tc>
          <w:tcPr>
            <w:tcW w:w="1274" w:type="dxa"/>
            <w:tcBorders>
              <w:top w:val="nil"/>
              <w:left w:val="single" w:sz="4" w:space="0" w:color="000000"/>
              <w:bottom w:val="nil"/>
              <w:right w:val="nil"/>
            </w:tcBorders>
          </w:tcPr>
          <w:p w:rsidR="008F6600" w:rsidRPr="009D658B" w:rsidRDefault="008F6600" w:rsidP="001458D9">
            <w:pPr>
              <w:pStyle w:val="TableParagraph"/>
              <w:spacing w:before="2"/>
              <w:ind w:right="106"/>
              <w:jc w:val="right"/>
              <w:rPr>
                <w:rFonts w:eastAsia="Arial" w:cs="Arial"/>
                <w:sz w:val="14"/>
                <w:szCs w:val="14"/>
              </w:rPr>
            </w:pPr>
            <w:r w:rsidRPr="009D658B">
              <w:rPr>
                <w:sz w:val="14"/>
              </w:rPr>
              <w:t>858</w:t>
            </w:r>
          </w:p>
        </w:tc>
        <w:tc>
          <w:tcPr>
            <w:tcW w:w="1167" w:type="dxa"/>
            <w:tcBorders>
              <w:top w:val="nil"/>
              <w:left w:val="nil"/>
              <w:bottom w:val="nil"/>
              <w:right w:val="nil"/>
            </w:tcBorders>
            <w:shd w:val="clear" w:color="auto" w:fill="D9D9D9"/>
          </w:tcPr>
          <w:p w:rsidR="008F6600" w:rsidRPr="009D658B" w:rsidRDefault="008F6600" w:rsidP="001458D9">
            <w:pPr>
              <w:pStyle w:val="TableParagraph"/>
              <w:spacing w:before="2"/>
              <w:ind w:right="108"/>
              <w:jc w:val="right"/>
              <w:rPr>
                <w:rFonts w:eastAsia="Arial" w:cs="Arial"/>
                <w:sz w:val="14"/>
                <w:szCs w:val="14"/>
              </w:rPr>
            </w:pPr>
            <w:r w:rsidRPr="009D658B">
              <w:rPr>
                <w:sz w:val="14"/>
              </w:rPr>
              <w:t>579</w:t>
            </w:r>
          </w:p>
        </w:tc>
      </w:tr>
      <w:tr w:rsidR="008F6600" w:rsidRPr="009D658B" w:rsidTr="007E3194">
        <w:trPr>
          <w:trHeight w:hRule="exact" w:val="198"/>
        </w:trPr>
        <w:tc>
          <w:tcPr>
            <w:tcW w:w="4034" w:type="dxa"/>
            <w:tcBorders>
              <w:top w:val="nil"/>
              <w:left w:val="nil"/>
              <w:bottom w:val="nil"/>
              <w:right w:val="nil"/>
            </w:tcBorders>
          </w:tcPr>
          <w:p w:rsidR="008F6600" w:rsidRPr="009D658B" w:rsidRDefault="008F6600" w:rsidP="001458D9">
            <w:pPr>
              <w:pStyle w:val="TableParagraph"/>
              <w:spacing w:before="10"/>
              <w:ind w:left="314"/>
              <w:rPr>
                <w:rFonts w:eastAsia="Arial" w:cs="Arial"/>
                <w:sz w:val="14"/>
                <w:szCs w:val="14"/>
              </w:rPr>
            </w:pPr>
            <w:proofErr w:type="spellStart"/>
            <w:r w:rsidRPr="009D658B">
              <w:rPr>
                <w:sz w:val="14"/>
              </w:rPr>
              <w:t>République</w:t>
            </w:r>
            <w:proofErr w:type="spellEnd"/>
            <w:r w:rsidRPr="009D658B">
              <w:rPr>
                <w:sz w:val="14"/>
              </w:rPr>
              <w:t xml:space="preserve"> </w:t>
            </w:r>
            <w:proofErr w:type="spellStart"/>
            <w:r w:rsidRPr="009D658B">
              <w:rPr>
                <w:sz w:val="14"/>
              </w:rPr>
              <w:t>tchèque</w:t>
            </w:r>
            <w:proofErr w:type="spellEnd"/>
          </w:p>
        </w:tc>
        <w:tc>
          <w:tcPr>
            <w:tcW w:w="1473" w:type="dxa"/>
            <w:tcBorders>
              <w:top w:val="nil"/>
              <w:left w:val="nil"/>
              <w:bottom w:val="nil"/>
              <w:right w:val="nil"/>
            </w:tcBorders>
          </w:tcPr>
          <w:p w:rsidR="008F6600" w:rsidRPr="009D658B" w:rsidRDefault="008F6600" w:rsidP="001458D9">
            <w:pPr>
              <w:pStyle w:val="TableParagraph"/>
              <w:spacing w:before="10"/>
              <w:ind w:left="853"/>
              <w:rPr>
                <w:rFonts w:eastAsia="Arial" w:cs="Arial"/>
                <w:sz w:val="14"/>
                <w:szCs w:val="14"/>
              </w:rPr>
            </w:pPr>
            <w:r w:rsidRPr="009D658B">
              <w:rPr>
                <w:sz w:val="14"/>
              </w:rPr>
              <w:t>127</w:t>
            </w:r>
          </w:p>
        </w:tc>
        <w:tc>
          <w:tcPr>
            <w:tcW w:w="996" w:type="dxa"/>
            <w:tcBorders>
              <w:top w:val="nil"/>
              <w:left w:val="nil"/>
              <w:bottom w:val="nil"/>
              <w:right w:val="nil"/>
            </w:tcBorders>
          </w:tcPr>
          <w:p w:rsidR="008F6600" w:rsidRPr="009D658B" w:rsidRDefault="008F6600" w:rsidP="001458D9">
            <w:pPr>
              <w:pStyle w:val="TableParagraph"/>
              <w:spacing w:before="10"/>
              <w:ind w:left="654"/>
              <w:rPr>
                <w:rFonts w:eastAsia="Arial" w:cs="Arial"/>
                <w:sz w:val="14"/>
                <w:szCs w:val="14"/>
              </w:rPr>
            </w:pPr>
            <w:r w:rsidRPr="009D658B">
              <w:rPr>
                <w:sz w:val="14"/>
              </w:rPr>
              <w:t>129</w:t>
            </w:r>
          </w:p>
        </w:tc>
        <w:tc>
          <w:tcPr>
            <w:tcW w:w="1277" w:type="dxa"/>
            <w:tcBorders>
              <w:top w:val="nil"/>
              <w:left w:val="nil"/>
              <w:bottom w:val="nil"/>
              <w:right w:val="single" w:sz="4" w:space="0" w:color="000000"/>
            </w:tcBorders>
            <w:shd w:val="clear" w:color="auto" w:fill="D9D9D9"/>
          </w:tcPr>
          <w:p w:rsidR="008F6600" w:rsidRPr="009D658B" w:rsidRDefault="008F6600" w:rsidP="001458D9">
            <w:pPr>
              <w:pStyle w:val="TableParagraph"/>
              <w:spacing w:before="10"/>
              <w:ind w:right="103"/>
              <w:jc w:val="right"/>
              <w:rPr>
                <w:rFonts w:eastAsia="Arial" w:cs="Arial"/>
                <w:sz w:val="14"/>
                <w:szCs w:val="14"/>
              </w:rPr>
            </w:pPr>
            <w:r w:rsidRPr="009D658B">
              <w:rPr>
                <w:sz w:val="14"/>
              </w:rPr>
              <w:t>191</w:t>
            </w:r>
          </w:p>
        </w:tc>
        <w:tc>
          <w:tcPr>
            <w:tcW w:w="1274" w:type="dxa"/>
            <w:tcBorders>
              <w:top w:val="nil"/>
              <w:left w:val="single" w:sz="4" w:space="0" w:color="000000"/>
              <w:bottom w:val="nil"/>
              <w:right w:val="nil"/>
            </w:tcBorders>
          </w:tcPr>
          <w:p w:rsidR="008F6600" w:rsidRPr="009D658B" w:rsidRDefault="008F6600" w:rsidP="001458D9">
            <w:pPr>
              <w:pStyle w:val="TableParagraph"/>
              <w:spacing w:before="10"/>
              <w:ind w:right="106"/>
              <w:jc w:val="right"/>
              <w:rPr>
                <w:rFonts w:eastAsia="Arial" w:cs="Arial"/>
                <w:sz w:val="14"/>
                <w:szCs w:val="14"/>
              </w:rPr>
            </w:pPr>
            <w:r w:rsidRPr="009D658B">
              <w:rPr>
                <w:sz w:val="14"/>
              </w:rPr>
              <w:t>271</w:t>
            </w:r>
          </w:p>
        </w:tc>
        <w:tc>
          <w:tcPr>
            <w:tcW w:w="1167" w:type="dxa"/>
            <w:tcBorders>
              <w:top w:val="nil"/>
              <w:left w:val="nil"/>
              <w:bottom w:val="nil"/>
              <w:right w:val="nil"/>
            </w:tcBorders>
            <w:shd w:val="clear" w:color="auto" w:fill="D9D9D9"/>
          </w:tcPr>
          <w:p w:rsidR="008F6600" w:rsidRPr="009D658B" w:rsidRDefault="008F6600" w:rsidP="001458D9">
            <w:pPr>
              <w:pStyle w:val="TableParagraph"/>
              <w:spacing w:before="10"/>
              <w:ind w:right="108"/>
              <w:jc w:val="right"/>
              <w:rPr>
                <w:rFonts w:eastAsia="Arial" w:cs="Arial"/>
                <w:sz w:val="14"/>
                <w:szCs w:val="14"/>
              </w:rPr>
            </w:pPr>
            <w:r w:rsidRPr="009D658B">
              <w:rPr>
                <w:sz w:val="14"/>
              </w:rPr>
              <w:t>320</w:t>
            </w:r>
          </w:p>
        </w:tc>
      </w:tr>
      <w:tr w:rsidR="008F6600" w:rsidRPr="009D658B" w:rsidTr="007E3194">
        <w:trPr>
          <w:trHeight w:hRule="exact" w:val="198"/>
        </w:trPr>
        <w:tc>
          <w:tcPr>
            <w:tcW w:w="4034" w:type="dxa"/>
            <w:tcBorders>
              <w:top w:val="nil"/>
              <w:left w:val="nil"/>
              <w:bottom w:val="nil"/>
              <w:right w:val="nil"/>
            </w:tcBorders>
          </w:tcPr>
          <w:p w:rsidR="008F6600" w:rsidRPr="009D658B" w:rsidRDefault="008F6600" w:rsidP="001458D9">
            <w:pPr>
              <w:pStyle w:val="TableParagraph"/>
              <w:spacing w:before="11"/>
              <w:ind w:left="317"/>
              <w:rPr>
                <w:rFonts w:eastAsia="Arial" w:cs="Arial"/>
                <w:sz w:val="14"/>
                <w:szCs w:val="14"/>
              </w:rPr>
            </w:pPr>
            <w:proofErr w:type="spellStart"/>
            <w:r w:rsidRPr="009D658B">
              <w:rPr>
                <w:sz w:val="14"/>
              </w:rPr>
              <w:t>Marchés</w:t>
            </w:r>
            <w:proofErr w:type="spellEnd"/>
            <w:r w:rsidRPr="009D658B">
              <w:rPr>
                <w:sz w:val="14"/>
              </w:rPr>
              <w:t xml:space="preserve"> </w:t>
            </w:r>
            <w:proofErr w:type="spellStart"/>
            <w:r w:rsidRPr="009D658B">
              <w:rPr>
                <w:sz w:val="14"/>
              </w:rPr>
              <w:t>internationaux</w:t>
            </w:r>
            <w:proofErr w:type="spellEnd"/>
          </w:p>
        </w:tc>
        <w:tc>
          <w:tcPr>
            <w:tcW w:w="1473" w:type="dxa"/>
            <w:tcBorders>
              <w:top w:val="nil"/>
              <w:left w:val="nil"/>
              <w:bottom w:val="nil"/>
              <w:right w:val="nil"/>
            </w:tcBorders>
          </w:tcPr>
          <w:p w:rsidR="008F6600" w:rsidRPr="009D658B" w:rsidRDefault="008F6600" w:rsidP="001458D9">
            <w:pPr>
              <w:pStyle w:val="TableParagraph"/>
              <w:spacing w:before="11"/>
              <w:ind w:left="930"/>
              <w:rPr>
                <w:rFonts w:eastAsia="Arial" w:cs="Arial"/>
                <w:sz w:val="14"/>
                <w:szCs w:val="14"/>
              </w:rPr>
            </w:pPr>
            <w:r w:rsidRPr="009D658B">
              <w:rPr>
                <w:sz w:val="14"/>
              </w:rPr>
              <w:t>68</w:t>
            </w:r>
          </w:p>
        </w:tc>
        <w:tc>
          <w:tcPr>
            <w:tcW w:w="996" w:type="dxa"/>
            <w:tcBorders>
              <w:top w:val="nil"/>
              <w:left w:val="nil"/>
              <w:bottom w:val="nil"/>
              <w:right w:val="nil"/>
            </w:tcBorders>
          </w:tcPr>
          <w:p w:rsidR="008F6600" w:rsidRPr="009D658B" w:rsidRDefault="008F6600" w:rsidP="001458D9">
            <w:pPr>
              <w:pStyle w:val="TableParagraph"/>
              <w:spacing w:before="11"/>
              <w:ind w:right="108"/>
              <w:jc w:val="right"/>
              <w:rPr>
                <w:rFonts w:eastAsia="Arial" w:cs="Arial"/>
                <w:sz w:val="14"/>
                <w:szCs w:val="14"/>
              </w:rPr>
            </w:pPr>
            <w:r w:rsidRPr="009D658B">
              <w:rPr>
                <w:sz w:val="14"/>
              </w:rPr>
              <w:t>60</w:t>
            </w:r>
          </w:p>
        </w:tc>
        <w:tc>
          <w:tcPr>
            <w:tcW w:w="1277" w:type="dxa"/>
            <w:tcBorders>
              <w:top w:val="nil"/>
              <w:left w:val="nil"/>
              <w:bottom w:val="nil"/>
              <w:right w:val="single" w:sz="4" w:space="0" w:color="000000"/>
            </w:tcBorders>
            <w:shd w:val="clear" w:color="auto" w:fill="D9D9D9"/>
          </w:tcPr>
          <w:p w:rsidR="008F6600" w:rsidRPr="009D658B" w:rsidRDefault="008F6600" w:rsidP="001458D9">
            <w:pPr>
              <w:pStyle w:val="TableParagraph"/>
              <w:spacing w:before="11"/>
              <w:ind w:right="103"/>
              <w:jc w:val="right"/>
              <w:rPr>
                <w:rFonts w:eastAsia="Arial" w:cs="Arial"/>
                <w:sz w:val="14"/>
                <w:szCs w:val="14"/>
              </w:rPr>
            </w:pPr>
            <w:r w:rsidRPr="009D658B">
              <w:rPr>
                <w:sz w:val="14"/>
              </w:rPr>
              <w:t>123</w:t>
            </w:r>
          </w:p>
        </w:tc>
        <w:tc>
          <w:tcPr>
            <w:tcW w:w="1274" w:type="dxa"/>
            <w:tcBorders>
              <w:top w:val="nil"/>
              <w:left w:val="single" w:sz="4" w:space="0" w:color="000000"/>
              <w:bottom w:val="nil"/>
              <w:right w:val="nil"/>
            </w:tcBorders>
          </w:tcPr>
          <w:p w:rsidR="008F6600" w:rsidRPr="009D658B" w:rsidRDefault="008F6600" w:rsidP="001458D9">
            <w:pPr>
              <w:pStyle w:val="TableParagraph"/>
              <w:spacing w:before="11"/>
              <w:ind w:right="106"/>
              <w:jc w:val="right"/>
              <w:rPr>
                <w:rFonts w:eastAsia="Arial" w:cs="Arial"/>
                <w:sz w:val="14"/>
                <w:szCs w:val="14"/>
              </w:rPr>
            </w:pPr>
            <w:r w:rsidRPr="009D658B">
              <w:rPr>
                <w:sz w:val="14"/>
              </w:rPr>
              <w:t>92</w:t>
            </w:r>
          </w:p>
        </w:tc>
        <w:tc>
          <w:tcPr>
            <w:tcW w:w="1167" w:type="dxa"/>
            <w:tcBorders>
              <w:top w:val="nil"/>
              <w:left w:val="nil"/>
              <w:bottom w:val="nil"/>
              <w:right w:val="nil"/>
            </w:tcBorders>
            <w:shd w:val="clear" w:color="auto" w:fill="D9D9D9"/>
          </w:tcPr>
          <w:p w:rsidR="008F6600" w:rsidRPr="009D658B" w:rsidRDefault="008F6600" w:rsidP="001458D9">
            <w:pPr>
              <w:pStyle w:val="TableParagraph"/>
              <w:spacing w:before="11"/>
              <w:ind w:right="108"/>
              <w:jc w:val="right"/>
              <w:rPr>
                <w:rFonts w:eastAsia="Arial" w:cs="Arial"/>
                <w:sz w:val="14"/>
                <w:szCs w:val="14"/>
              </w:rPr>
            </w:pPr>
            <w:r w:rsidRPr="009D658B">
              <w:rPr>
                <w:sz w:val="14"/>
              </w:rPr>
              <w:t>183</w:t>
            </w:r>
          </w:p>
        </w:tc>
      </w:tr>
      <w:tr w:rsidR="008F6600" w:rsidRPr="009D658B" w:rsidTr="007E3194">
        <w:trPr>
          <w:trHeight w:hRule="exact" w:val="197"/>
        </w:trPr>
        <w:tc>
          <w:tcPr>
            <w:tcW w:w="4034" w:type="dxa"/>
            <w:tcBorders>
              <w:top w:val="nil"/>
              <w:left w:val="nil"/>
              <w:bottom w:val="single" w:sz="4" w:space="0" w:color="808080"/>
              <w:right w:val="nil"/>
            </w:tcBorders>
          </w:tcPr>
          <w:p w:rsidR="008F6600" w:rsidRPr="009D658B" w:rsidRDefault="008F6600" w:rsidP="001458D9">
            <w:pPr>
              <w:pStyle w:val="TableParagraph"/>
              <w:spacing w:before="10"/>
              <w:ind w:left="314"/>
              <w:rPr>
                <w:rFonts w:eastAsia="Arial" w:cs="Arial"/>
                <w:sz w:val="14"/>
                <w:szCs w:val="14"/>
              </w:rPr>
            </w:pPr>
            <w:r w:rsidRPr="009D658B">
              <w:rPr>
                <w:sz w:val="14"/>
              </w:rPr>
              <w:t xml:space="preserve">Centre de </w:t>
            </w:r>
            <w:proofErr w:type="spellStart"/>
            <w:r w:rsidRPr="009D658B">
              <w:rPr>
                <w:sz w:val="14"/>
              </w:rPr>
              <w:t>groupe</w:t>
            </w:r>
            <w:proofErr w:type="spellEnd"/>
          </w:p>
        </w:tc>
        <w:tc>
          <w:tcPr>
            <w:tcW w:w="1473" w:type="dxa"/>
            <w:tcBorders>
              <w:top w:val="nil"/>
              <w:left w:val="nil"/>
              <w:bottom w:val="single" w:sz="4" w:space="0" w:color="808080"/>
              <w:right w:val="nil"/>
            </w:tcBorders>
          </w:tcPr>
          <w:p w:rsidR="008F6600" w:rsidRPr="009D658B" w:rsidRDefault="008F6600" w:rsidP="001458D9">
            <w:pPr>
              <w:pStyle w:val="TableParagraph"/>
              <w:spacing w:before="10"/>
              <w:ind w:left="884"/>
              <w:rPr>
                <w:rFonts w:eastAsia="Arial" w:cs="Arial"/>
                <w:sz w:val="14"/>
                <w:szCs w:val="14"/>
              </w:rPr>
            </w:pPr>
            <w:r w:rsidRPr="009D658B">
              <w:rPr>
                <w:sz w:val="14"/>
              </w:rPr>
              <w:t>-57</w:t>
            </w:r>
          </w:p>
        </w:tc>
        <w:tc>
          <w:tcPr>
            <w:tcW w:w="996" w:type="dxa"/>
            <w:tcBorders>
              <w:top w:val="nil"/>
              <w:left w:val="nil"/>
              <w:bottom w:val="single" w:sz="4" w:space="0" w:color="808080"/>
              <w:right w:val="nil"/>
            </w:tcBorders>
          </w:tcPr>
          <w:p w:rsidR="008F6600" w:rsidRPr="009D658B" w:rsidRDefault="008F6600" w:rsidP="001458D9">
            <w:pPr>
              <w:pStyle w:val="TableParagraph"/>
              <w:spacing w:before="10"/>
              <w:ind w:right="107"/>
              <w:jc w:val="right"/>
              <w:rPr>
                <w:rFonts w:eastAsia="Arial" w:cs="Arial"/>
                <w:sz w:val="14"/>
                <w:szCs w:val="14"/>
              </w:rPr>
            </w:pPr>
            <w:r w:rsidRPr="009D658B">
              <w:rPr>
                <w:sz w:val="14"/>
              </w:rPr>
              <w:t>-6</w:t>
            </w:r>
          </w:p>
        </w:tc>
        <w:tc>
          <w:tcPr>
            <w:tcW w:w="1277" w:type="dxa"/>
            <w:tcBorders>
              <w:top w:val="nil"/>
              <w:left w:val="nil"/>
              <w:bottom w:val="single" w:sz="4" w:space="0" w:color="808080"/>
              <w:right w:val="single" w:sz="4" w:space="0" w:color="000000"/>
            </w:tcBorders>
            <w:shd w:val="clear" w:color="auto" w:fill="D9D9D9"/>
          </w:tcPr>
          <w:p w:rsidR="008F6600" w:rsidRPr="009D658B" w:rsidRDefault="008F6600" w:rsidP="001458D9">
            <w:pPr>
              <w:pStyle w:val="TableParagraph"/>
              <w:spacing w:before="10"/>
              <w:ind w:right="103"/>
              <w:jc w:val="right"/>
              <w:rPr>
                <w:rFonts w:eastAsia="Arial" w:cs="Arial"/>
                <w:sz w:val="14"/>
                <w:szCs w:val="14"/>
              </w:rPr>
            </w:pPr>
            <w:r w:rsidRPr="009D658B">
              <w:rPr>
                <w:sz w:val="14"/>
              </w:rPr>
              <w:t>37</w:t>
            </w:r>
          </w:p>
        </w:tc>
        <w:tc>
          <w:tcPr>
            <w:tcW w:w="1274" w:type="dxa"/>
            <w:tcBorders>
              <w:top w:val="nil"/>
              <w:left w:val="single" w:sz="4" w:space="0" w:color="000000"/>
              <w:bottom w:val="single" w:sz="4" w:space="0" w:color="808080"/>
              <w:right w:val="nil"/>
            </w:tcBorders>
          </w:tcPr>
          <w:p w:rsidR="008F6600" w:rsidRPr="009D658B" w:rsidRDefault="008F6600" w:rsidP="001458D9">
            <w:pPr>
              <w:pStyle w:val="TableParagraph"/>
              <w:spacing w:before="10"/>
              <w:ind w:right="106"/>
              <w:jc w:val="right"/>
              <w:rPr>
                <w:rFonts w:eastAsia="Arial" w:cs="Arial"/>
                <w:sz w:val="14"/>
                <w:szCs w:val="14"/>
              </w:rPr>
            </w:pPr>
            <w:r w:rsidRPr="009D658B">
              <w:rPr>
                <w:sz w:val="14"/>
              </w:rPr>
              <w:t>-44</w:t>
            </w:r>
          </w:p>
        </w:tc>
        <w:tc>
          <w:tcPr>
            <w:tcW w:w="1167" w:type="dxa"/>
            <w:tcBorders>
              <w:top w:val="nil"/>
              <w:left w:val="nil"/>
              <w:bottom w:val="single" w:sz="4" w:space="0" w:color="808080"/>
              <w:right w:val="nil"/>
            </w:tcBorders>
            <w:shd w:val="clear" w:color="auto" w:fill="D9D9D9"/>
          </w:tcPr>
          <w:p w:rsidR="008F6600" w:rsidRPr="009D658B" w:rsidRDefault="008F6600" w:rsidP="001458D9">
            <w:pPr>
              <w:pStyle w:val="TableParagraph"/>
              <w:spacing w:before="10"/>
              <w:ind w:right="108"/>
              <w:jc w:val="right"/>
              <w:rPr>
                <w:rFonts w:eastAsia="Arial" w:cs="Arial"/>
                <w:sz w:val="14"/>
                <w:szCs w:val="14"/>
              </w:rPr>
            </w:pPr>
            <w:r w:rsidRPr="009D658B">
              <w:rPr>
                <w:sz w:val="14"/>
              </w:rPr>
              <w:t>31</w:t>
            </w:r>
          </w:p>
        </w:tc>
      </w:tr>
      <w:tr w:rsidR="008F6600" w:rsidRPr="009D658B" w:rsidTr="007E3194">
        <w:trPr>
          <w:trHeight w:hRule="exact" w:val="334"/>
        </w:trPr>
        <w:tc>
          <w:tcPr>
            <w:tcW w:w="4034" w:type="dxa"/>
            <w:tcBorders>
              <w:top w:val="single" w:sz="4" w:space="0" w:color="808080"/>
              <w:left w:val="nil"/>
              <w:bottom w:val="single" w:sz="4" w:space="0" w:color="365F91"/>
              <w:right w:val="nil"/>
            </w:tcBorders>
          </w:tcPr>
          <w:p w:rsidR="008F6600" w:rsidRPr="009D658B" w:rsidRDefault="008F6600" w:rsidP="001458D9">
            <w:pPr>
              <w:pStyle w:val="TableParagraph"/>
              <w:spacing w:line="242" w:lineRule="auto"/>
              <w:ind w:left="122" w:right="584"/>
              <w:rPr>
                <w:rFonts w:eastAsia="Arial" w:cs="Arial"/>
                <w:sz w:val="14"/>
                <w:szCs w:val="14"/>
                <w:lang w:val="fr-FR"/>
              </w:rPr>
            </w:pPr>
            <w:r w:rsidRPr="009D658B">
              <w:rPr>
                <w:rFonts w:eastAsia="Arial" w:cs="Arial"/>
                <w:sz w:val="14"/>
                <w:szCs w:val="14"/>
                <w:lang w:val="fr-FR"/>
              </w:rPr>
              <w:t>Capitaux propres des actionnaires de la société mère par action (en EUR, fin de période)</w:t>
            </w:r>
          </w:p>
        </w:tc>
        <w:tc>
          <w:tcPr>
            <w:tcW w:w="1473" w:type="dxa"/>
            <w:tcBorders>
              <w:top w:val="single" w:sz="4" w:space="0" w:color="808080"/>
              <w:left w:val="nil"/>
              <w:bottom w:val="single" w:sz="4" w:space="0" w:color="365F91"/>
              <w:right w:val="nil"/>
            </w:tcBorders>
          </w:tcPr>
          <w:p w:rsidR="008F6600" w:rsidRPr="009D658B" w:rsidRDefault="008F6600" w:rsidP="001458D9">
            <w:pPr>
              <w:pStyle w:val="TableParagraph"/>
              <w:spacing w:before="80"/>
              <w:ind w:left="812"/>
              <w:rPr>
                <w:rFonts w:eastAsia="Arial" w:cs="Arial"/>
                <w:sz w:val="14"/>
                <w:szCs w:val="14"/>
              </w:rPr>
            </w:pPr>
            <w:r w:rsidRPr="009D658B">
              <w:rPr>
                <w:sz w:val="14"/>
              </w:rPr>
              <w:t>32.5</w:t>
            </w:r>
          </w:p>
        </w:tc>
        <w:tc>
          <w:tcPr>
            <w:tcW w:w="996" w:type="dxa"/>
            <w:tcBorders>
              <w:top w:val="single" w:sz="4" w:space="0" w:color="808080"/>
              <w:left w:val="nil"/>
              <w:bottom w:val="single" w:sz="4" w:space="0" w:color="365F91"/>
              <w:right w:val="nil"/>
            </w:tcBorders>
          </w:tcPr>
          <w:p w:rsidR="008F6600" w:rsidRPr="009D658B" w:rsidRDefault="008F6600" w:rsidP="001458D9">
            <w:pPr>
              <w:pStyle w:val="TableParagraph"/>
              <w:spacing w:before="80"/>
              <w:ind w:left="614"/>
              <w:rPr>
                <w:rFonts w:eastAsia="Arial" w:cs="Arial"/>
                <w:sz w:val="14"/>
                <w:szCs w:val="14"/>
              </w:rPr>
            </w:pPr>
            <w:r w:rsidRPr="009D658B">
              <w:rPr>
                <w:sz w:val="14"/>
              </w:rPr>
              <w:t>34.3</w:t>
            </w:r>
          </w:p>
        </w:tc>
        <w:tc>
          <w:tcPr>
            <w:tcW w:w="1277" w:type="dxa"/>
            <w:tcBorders>
              <w:top w:val="single" w:sz="4" w:space="0" w:color="808080"/>
              <w:left w:val="nil"/>
              <w:bottom w:val="single" w:sz="4" w:space="0" w:color="365F91"/>
              <w:right w:val="single" w:sz="4" w:space="0" w:color="000000"/>
            </w:tcBorders>
            <w:shd w:val="clear" w:color="auto" w:fill="D9D9D9"/>
          </w:tcPr>
          <w:p w:rsidR="008F6600" w:rsidRPr="009D658B" w:rsidRDefault="008F6600" w:rsidP="001458D9">
            <w:pPr>
              <w:pStyle w:val="TableParagraph"/>
              <w:spacing w:before="80"/>
              <w:ind w:right="103"/>
              <w:jc w:val="right"/>
              <w:rPr>
                <w:rFonts w:eastAsia="Arial" w:cs="Arial"/>
                <w:sz w:val="14"/>
                <w:szCs w:val="14"/>
              </w:rPr>
            </w:pPr>
            <w:r w:rsidRPr="009D658B">
              <w:rPr>
                <w:sz w:val="14"/>
              </w:rPr>
              <w:t>35.5</w:t>
            </w:r>
          </w:p>
        </w:tc>
        <w:tc>
          <w:tcPr>
            <w:tcW w:w="1274" w:type="dxa"/>
            <w:tcBorders>
              <w:top w:val="single" w:sz="4" w:space="0" w:color="808080"/>
              <w:left w:val="single" w:sz="4" w:space="0" w:color="000000"/>
              <w:bottom w:val="single" w:sz="4" w:space="0" w:color="365F91"/>
              <w:right w:val="nil"/>
            </w:tcBorders>
          </w:tcPr>
          <w:p w:rsidR="008F6600" w:rsidRPr="009D658B" w:rsidRDefault="008F6600" w:rsidP="001458D9">
            <w:pPr>
              <w:pStyle w:val="TableParagraph"/>
              <w:spacing w:before="80"/>
              <w:ind w:right="105"/>
              <w:jc w:val="right"/>
              <w:rPr>
                <w:rFonts w:eastAsia="Arial" w:cs="Arial"/>
                <w:sz w:val="14"/>
                <w:szCs w:val="14"/>
              </w:rPr>
            </w:pPr>
            <w:r w:rsidRPr="009D658B">
              <w:rPr>
                <w:sz w:val="14"/>
              </w:rPr>
              <w:t>32.5</w:t>
            </w:r>
          </w:p>
        </w:tc>
        <w:tc>
          <w:tcPr>
            <w:tcW w:w="1167" w:type="dxa"/>
            <w:tcBorders>
              <w:top w:val="single" w:sz="4" w:space="0" w:color="808080"/>
              <w:left w:val="nil"/>
              <w:bottom w:val="single" w:sz="4" w:space="0" w:color="365F91"/>
              <w:right w:val="nil"/>
            </w:tcBorders>
            <w:shd w:val="clear" w:color="auto" w:fill="D9D9D9"/>
          </w:tcPr>
          <w:p w:rsidR="008F6600" w:rsidRPr="009D658B" w:rsidRDefault="008F6600" w:rsidP="001458D9">
            <w:pPr>
              <w:pStyle w:val="TableParagraph"/>
              <w:spacing w:before="80"/>
              <w:ind w:right="107"/>
              <w:jc w:val="right"/>
              <w:rPr>
                <w:rFonts w:eastAsia="Arial" w:cs="Arial"/>
                <w:sz w:val="14"/>
                <w:szCs w:val="14"/>
              </w:rPr>
            </w:pPr>
            <w:r w:rsidRPr="009D658B">
              <w:rPr>
                <w:sz w:val="14"/>
              </w:rPr>
              <w:t>35.5</w:t>
            </w:r>
          </w:p>
        </w:tc>
      </w:tr>
    </w:tbl>
    <w:p w:rsidR="008F6600" w:rsidRDefault="008F6600" w:rsidP="007E3194">
      <w:pPr>
        <w:spacing w:before="1" w:line="136" w:lineRule="exact"/>
        <w:ind w:left="569" w:right="267"/>
        <w:rPr>
          <w:rFonts w:eastAsia="Arial" w:cs="Arial"/>
          <w:sz w:val="12"/>
          <w:szCs w:val="12"/>
          <w:lang w:val="fr-FR"/>
        </w:rPr>
      </w:pPr>
      <w:r w:rsidRPr="009D658B">
        <w:rPr>
          <w:sz w:val="12"/>
          <w:lang w:val="fr-FR"/>
        </w:rPr>
        <w:t>* Remarque : Si un coupon devait être mis en paiement sur les titres de capital de base vendus au gouvernement régional flamand (en 2015) et les instruments additionnels Tier-1 inclus dans les capitaux propres, il sera déduit du numérateur (</w:t>
      </w:r>
      <w:r w:rsidRPr="009D658B">
        <w:rPr>
          <w:i/>
          <w:sz w:val="12"/>
          <w:lang w:val="fr-FR"/>
        </w:rPr>
        <w:t>au prorata</w:t>
      </w:r>
      <w:r w:rsidRPr="009D658B">
        <w:rPr>
          <w:sz w:val="12"/>
          <w:lang w:val="fr-FR"/>
        </w:rPr>
        <w:t>). En cas de paiement d’une pénalité sur les titres de capital de base (en 2015), elle sera déduite de la même manière.</w:t>
      </w:r>
    </w:p>
    <w:p w:rsidR="008F6600" w:rsidRPr="008F6600" w:rsidRDefault="008F6600" w:rsidP="008F6600">
      <w:pPr>
        <w:spacing w:after="0" w:line="240" w:lineRule="auto"/>
        <w:ind w:left="993" w:right="100"/>
        <w:rPr>
          <w:rFonts w:eastAsia="Arial" w:cs="Arial"/>
          <w:i/>
          <w:lang w:val="fr-FR"/>
        </w:rPr>
      </w:pPr>
    </w:p>
    <w:p w:rsidR="008F6600" w:rsidRPr="008F6600" w:rsidRDefault="008F6600" w:rsidP="008F6600">
      <w:pPr>
        <w:autoSpaceDE w:val="0"/>
        <w:autoSpaceDN w:val="0"/>
        <w:adjustRightInd w:val="0"/>
        <w:spacing w:after="0" w:line="240" w:lineRule="auto"/>
        <w:ind w:left="993" w:right="4"/>
        <w:rPr>
          <w:rFonts w:ascii="Rockwell" w:hAnsi="Rockwell" w:cs="Arial"/>
          <w:b/>
          <w:bCs/>
          <w:color w:val="003366"/>
          <w:sz w:val="28"/>
          <w:szCs w:val="28"/>
          <w:lang w:val="fr-FR"/>
        </w:rPr>
      </w:pPr>
      <w:r w:rsidRPr="008F6600">
        <w:rPr>
          <w:rFonts w:ascii="Rockwell" w:hAnsi="Rockwell" w:cs="Arial"/>
          <w:b/>
          <w:bCs/>
          <w:color w:val="003366"/>
          <w:sz w:val="28"/>
          <w:szCs w:val="28"/>
          <w:lang w:val="fr-FR"/>
        </w:rPr>
        <w:t>Faits marquants du trimestre sous revue</w:t>
      </w:r>
    </w:p>
    <w:p w:rsidR="0077354C" w:rsidRPr="008F6600" w:rsidRDefault="0077354C" w:rsidP="008F6600">
      <w:pPr>
        <w:autoSpaceDE w:val="0"/>
        <w:autoSpaceDN w:val="0"/>
        <w:adjustRightInd w:val="0"/>
        <w:spacing w:after="0" w:line="240" w:lineRule="auto"/>
        <w:ind w:left="1276" w:right="4" w:hanging="283"/>
        <w:rPr>
          <w:rFonts w:cs="Arial"/>
          <w:color w:val="002060"/>
          <w:lang w:val="fr-FR"/>
        </w:rPr>
      </w:pPr>
    </w:p>
    <w:p w:rsidR="008F6600" w:rsidRPr="008F6600" w:rsidRDefault="008F6600" w:rsidP="008F6600">
      <w:pPr>
        <w:numPr>
          <w:ilvl w:val="0"/>
          <w:numId w:val="1"/>
        </w:numPr>
        <w:autoSpaceDE w:val="0"/>
        <w:autoSpaceDN w:val="0"/>
        <w:adjustRightInd w:val="0"/>
        <w:spacing w:after="0" w:line="240" w:lineRule="auto"/>
        <w:ind w:left="1276" w:right="4" w:hanging="283"/>
        <w:rPr>
          <w:rFonts w:cs="Arial"/>
          <w:color w:val="002060"/>
          <w:lang w:val="fr-FR"/>
        </w:rPr>
      </w:pPr>
      <w:r w:rsidRPr="008F6600">
        <w:rPr>
          <w:rFonts w:cs="Arial"/>
          <w:color w:val="002060"/>
          <w:lang w:val="fr-FR"/>
        </w:rPr>
        <w:t>Notre stratégie de base reste centrée sur la fourniture de produits et de services de bancassurance aux particuliers, aux PME et aux moyennes capitalisations en Belgique, en République tchèque, en Slovaquie, en Hongrie et en Bulgarie.</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color w:val="002060"/>
          <w:lang w:val="fr-FR"/>
        </w:rPr>
      </w:pPr>
      <w:r w:rsidRPr="008F6600">
        <w:rPr>
          <w:rFonts w:cs="Arial"/>
          <w:color w:val="002060"/>
          <w:lang w:val="fr-FR"/>
        </w:rPr>
        <w:t xml:space="preserve">Sur le front macroéconomique, le principal risque économique planant sur la zone euro, à savoir le </w:t>
      </w:r>
      <w:proofErr w:type="spellStart"/>
      <w:r w:rsidRPr="008F6600">
        <w:rPr>
          <w:rFonts w:cs="Arial"/>
          <w:color w:val="002060"/>
          <w:lang w:val="fr-FR"/>
        </w:rPr>
        <w:t>Brexit</w:t>
      </w:r>
      <w:proofErr w:type="spellEnd"/>
      <w:r w:rsidRPr="008F6600">
        <w:rPr>
          <w:rFonts w:cs="Arial"/>
          <w:color w:val="002060"/>
          <w:lang w:val="fr-FR"/>
        </w:rPr>
        <w:t xml:space="preserve">, s'est concrétisé à suite du référendum britannique du 23 juin. Si l'issue du vote a dans un premier temps donné lieu à un accès de volatilité sur les marchés financiers et pesé sur le sentiment des producteurs et des consommateurs,  son impact réel est jusqu'à présent </w:t>
      </w:r>
      <w:proofErr w:type="gramStart"/>
      <w:r w:rsidRPr="008F6600">
        <w:rPr>
          <w:rFonts w:cs="Arial"/>
          <w:color w:val="002060"/>
          <w:lang w:val="fr-FR"/>
        </w:rPr>
        <w:t>resté</w:t>
      </w:r>
      <w:proofErr w:type="gramEnd"/>
      <w:r w:rsidRPr="008F6600">
        <w:rPr>
          <w:rFonts w:cs="Arial"/>
          <w:color w:val="002060"/>
          <w:lang w:val="fr-FR"/>
        </w:rPr>
        <w:t xml:space="preserve"> limité. Cependant, elle aura une incidence négative sur la reprise économique dans la zone euro,  en mettant notamment en lumière une importante source de fragilité, à savoir la faiblesse relative de la croissance des investissements. Le vote en faveur du </w:t>
      </w:r>
      <w:proofErr w:type="spellStart"/>
      <w:r w:rsidRPr="008F6600">
        <w:rPr>
          <w:rFonts w:cs="Arial"/>
          <w:color w:val="002060"/>
          <w:lang w:val="fr-FR"/>
        </w:rPr>
        <w:t>Brexit</w:t>
      </w:r>
      <w:proofErr w:type="spellEnd"/>
      <w:r w:rsidRPr="008F6600">
        <w:rPr>
          <w:rFonts w:cs="Arial"/>
          <w:color w:val="002060"/>
          <w:lang w:val="fr-FR"/>
        </w:rPr>
        <w:t xml:space="preserve"> s'inscrit dans un contexte relativement favorable sur le plan des données économiques. La solide croissance du PIB réel de la zone euro au premier trimestre (0,6%) avait quelque peu suscité l'optimisme. Cette tendance n'a cependant pas perduré au deuxième trimestre, qui a vu la croissance reculer à 0,3% à peine,  un chiffre davantage en ligne avec le taux de croissance potentiel de la zone euro. Dans ce contexte, le chômage au sein de la zone euro a continué de reculer lentement mais sûrement, pour s'établir à 10,1% en juin. La croissance économique américaine s'est également avérée décevante au deuxième trimestre (0,3% en termes non annualisés), malgré la forte hausse de la consommation privée. Cet accès de faiblesse s'explique essentiellement par une croissance décevante des investissements et un recul des stocks. Parallèlement, l'inflation mondiale reste atone. Aux États-Unis, elle a atteint des niveaux relativement normaux. Dans la zone euro, en revanche, les derniers chiffres indiquent que l'inflation de base se situe toujours à mi-chemin seulement de l'objectif fixé par la Banque centrale européenne (2%). Les motifs sous-jacents qui permettent d'expliquer cette situation incluent le niveau toujours élevé du chômage, la croissance modérée des salaires nominaux et l'appréciation </w:t>
      </w:r>
      <w:proofErr w:type="spellStart"/>
      <w:r w:rsidRPr="008F6600">
        <w:rPr>
          <w:rFonts w:cs="Arial"/>
          <w:i/>
          <w:color w:val="002060"/>
          <w:lang w:val="fr-FR"/>
        </w:rPr>
        <w:t>trade-weighted</w:t>
      </w:r>
      <w:proofErr w:type="spellEnd"/>
      <w:r w:rsidRPr="008F6600">
        <w:rPr>
          <w:rFonts w:cs="Arial"/>
          <w:color w:val="002060"/>
          <w:lang w:val="fr-FR"/>
        </w:rPr>
        <w:t xml:space="preserve"> de l'euro, qui se traduit par une inflation plus négative encore des prix à l'importation.</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color w:val="002060"/>
          <w:lang w:val="fr-FR"/>
        </w:rPr>
      </w:pPr>
      <w:r w:rsidRPr="008F6600">
        <w:rPr>
          <w:rFonts w:cs="Arial"/>
          <w:color w:val="002060"/>
          <w:lang w:val="fr-FR"/>
        </w:rPr>
        <w:t xml:space="preserve">Comme annoncé par l'Autorité bancaire européenne (ABE) fin juillet dans le cadre de son test de résistance à l'échelle européenne mené en 2016, nous demeurons adéquatement capitalisés. À la suite de ce test de résistance, notre ratio </w:t>
      </w:r>
      <w:proofErr w:type="spellStart"/>
      <w:r w:rsidRPr="008F6600">
        <w:rPr>
          <w:rFonts w:cs="Arial"/>
          <w:color w:val="002060"/>
          <w:lang w:val="fr-FR"/>
        </w:rPr>
        <w:t>common</w:t>
      </w:r>
      <w:proofErr w:type="spellEnd"/>
      <w:r w:rsidRPr="008F6600">
        <w:rPr>
          <w:rFonts w:cs="Arial"/>
          <w:color w:val="002060"/>
          <w:lang w:val="fr-FR"/>
        </w:rPr>
        <w:t xml:space="preserve"> </w:t>
      </w:r>
      <w:proofErr w:type="spellStart"/>
      <w:r w:rsidRPr="008F6600">
        <w:rPr>
          <w:rFonts w:cs="Arial"/>
          <w:color w:val="002060"/>
          <w:lang w:val="fr-FR"/>
        </w:rPr>
        <w:t>equity</w:t>
      </w:r>
      <w:proofErr w:type="spellEnd"/>
      <w:r w:rsidRPr="008F6600">
        <w:rPr>
          <w:rFonts w:cs="Arial"/>
          <w:color w:val="002060"/>
          <w:lang w:val="fr-FR"/>
        </w:rPr>
        <w:t xml:space="preserve"> Tier-1 </w:t>
      </w:r>
      <w:proofErr w:type="spellStart"/>
      <w:r w:rsidRPr="008F6600">
        <w:rPr>
          <w:rFonts w:cs="Arial"/>
          <w:color w:val="002060"/>
          <w:lang w:val="fr-FR"/>
        </w:rPr>
        <w:t>fully</w:t>
      </w:r>
      <w:proofErr w:type="spellEnd"/>
      <w:r w:rsidRPr="008F6600">
        <w:rPr>
          <w:rFonts w:cs="Arial"/>
          <w:color w:val="002060"/>
          <w:lang w:val="fr-FR"/>
        </w:rPr>
        <w:t xml:space="preserve"> </w:t>
      </w:r>
      <w:proofErr w:type="spellStart"/>
      <w:r w:rsidRPr="008F6600">
        <w:rPr>
          <w:rFonts w:cs="Arial"/>
          <w:color w:val="002060"/>
          <w:lang w:val="fr-FR"/>
        </w:rPr>
        <w:t>loaded</w:t>
      </w:r>
      <w:proofErr w:type="spellEnd"/>
      <w:r w:rsidRPr="008F6600">
        <w:rPr>
          <w:rFonts w:cs="Arial"/>
          <w:color w:val="002060"/>
          <w:lang w:val="fr-FR"/>
        </w:rPr>
        <w:t xml:space="preserve"> (ratio </w:t>
      </w:r>
      <w:proofErr w:type="spellStart"/>
      <w:r w:rsidRPr="008F6600">
        <w:rPr>
          <w:rFonts w:cs="Arial"/>
          <w:color w:val="002060"/>
          <w:lang w:val="fr-FR"/>
        </w:rPr>
        <w:t>common</w:t>
      </w:r>
      <w:proofErr w:type="spellEnd"/>
      <w:r w:rsidRPr="008F6600">
        <w:rPr>
          <w:rFonts w:cs="Arial"/>
          <w:color w:val="002060"/>
          <w:lang w:val="fr-FR"/>
        </w:rPr>
        <w:t xml:space="preserve"> </w:t>
      </w:r>
      <w:proofErr w:type="spellStart"/>
      <w:r w:rsidRPr="008F6600">
        <w:rPr>
          <w:rFonts w:cs="Arial"/>
          <w:color w:val="002060"/>
          <w:lang w:val="fr-FR"/>
        </w:rPr>
        <w:t>equity</w:t>
      </w:r>
      <w:proofErr w:type="spellEnd"/>
      <w:r w:rsidRPr="008F6600">
        <w:rPr>
          <w:rFonts w:cs="Arial"/>
          <w:color w:val="002060"/>
          <w:lang w:val="fr-FR"/>
        </w:rPr>
        <w:t xml:space="preserve"> : 14,9% fin </w:t>
      </w:r>
      <w:r w:rsidRPr="008F6600">
        <w:rPr>
          <w:rFonts w:cs="Arial"/>
          <w:color w:val="002060"/>
          <w:lang w:val="fr-FR"/>
        </w:rPr>
        <w:lastRenderedPageBreak/>
        <w:t xml:space="preserve">2015) a augmenté de 1,3 point de pourcentage, à 16,2%, dans le cadre du scénario de base (+1,0 point de pourcentage sur une base transitoire). Selon le scénario défavorable, notre ratio </w:t>
      </w:r>
      <w:proofErr w:type="spellStart"/>
      <w:r w:rsidRPr="008F6600">
        <w:rPr>
          <w:rFonts w:cs="Arial"/>
          <w:color w:val="002060"/>
          <w:lang w:val="fr-FR"/>
        </w:rPr>
        <w:t>common</w:t>
      </w:r>
      <w:proofErr w:type="spellEnd"/>
      <w:r w:rsidRPr="008F6600">
        <w:rPr>
          <w:rFonts w:cs="Arial"/>
          <w:color w:val="002060"/>
          <w:lang w:val="fr-FR"/>
        </w:rPr>
        <w:t xml:space="preserve"> </w:t>
      </w:r>
      <w:proofErr w:type="spellStart"/>
      <w:r w:rsidRPr="008F6600">
        <w:rPr>
          <w:rFonts w:cs="Arial"/>
          <w:color w:val="002060"/>
          <w:lang w:val="fr-FR"/>
        </w:rPr>
        <w:t>equity</w:t>
      </w:r>
      <w:proofErr w:type="spellEnd"/>
      <w:r w:rsidRPr="008F6600">
        <w:rPr>
          <w:rFonts w:cs="Arial"/>
          <w:color w:val="002060"/>
          <w:lang w:val="fr-FR"/>
        </w:rPr>
        <w:t xml:space="preserve"> </w:t>
      </w:r>
      <w:proofErr w:type="spellStart"/>
      <w:r w:rsidRPr="008F6600">
        <w:rPr>
          <w:rFonts w:cs="Arial"/>
          <w:color w:val="002060"/>
          <w:lang w:val="fr-FR"/>
        </w:rPr>
        <w:t>fully</w:t>
      </w:r>
      <w:proofErr w:type="spellEnd"/>
      <w:r w:rsidRPr="008F6600">
        <w:rPr>
          <w:rFonts w:cs="Arial"/>
          <w:color w:val="002060"/>
          <w:lang w:val="fr-FR"/>
        </w:rPr>
        <w:t xml:space="preserve"> </w:t>
      </w:r>
      <w:proofErr w:type="spellStart"/>
      <w:r w:rsidRPr="008F6600">
        <w:rPr>
          <w:rFonts w:cs="Arial"/>
          <w:color w:val="002060"/>
          <w:lang w:val="fr-FR"/>
        </w:rPr>
        <w:t>loaded</w:t>
      </w:r>
      <w:proofErr w:type="spellEnd"/>
      <w:r w:rsidRPr="008F6600">
        <w:rPr>
          <w:rFonts w:cs="Arial"/>
          <w:color w:val="002060"/>
          <w:lang w:val="fr-FR"/>
        </w:rPr>
        <w:t xml:space="preserve"> chuterait de 3,6 points de pourcentage, à 11,3% (-3,9 points de pourcentage sur une base transitoire, à 11,3% également). Notre capitalisation reste dès lors amplement suffisante, même en cas de scénario défavorable. Notre ratio de levier financier (« </w:t>
      </w:r>
      <w:proofErr w:type="spellStart"/>
      <w:r w:rsidRPr="008F6600">
        <w:rPr>
          <w:rFonts w:cs="Arial"/>
          <w:color w:val="002060"/>
          <w:lang w:val="fr-FR"/>
        </w:rPr>
        <w:t>leverage</w:t>
      </w:r>
      <w:proofErr w:type="spellEnd"/>
      <w:r w:rsidRPr="008F6600">
        <w:rPr>
          <w:rFonts w:cs="Arial"/>
          <w:color w:val="002060"/>
          <w:lang w:val="fr-FR"/>
        </w:rPr>
        <w:t xml:space="preserve"> ratio »), qui s'élevait à 6,32% à fin 2015, augmenterait à 7,4% selon le scénario de base et ne régresserait qu'à 5,7% selon le scénario défavorable. Pour toutes les parties prenantes qui placent leur confiance en nous, l'issue du test envoie le signal rassurant que notre établissement est bien capitalisé. Nous continuerons à faire en sorte de maintenir des ratios de capitalisation appropriés.</w:t>
      </w:r>
    </w:p>
    <w:p w:rsidR="008F6600" w:rsidRPr="008F6600" w:rsidRDefault="008F6600" w:rsidP="008F6600">
      <w:pPr>
        <w:numPr>
          <w:ilvl w:val="0"/>
          <w:numId w:val="1"/>
        </w:numPr>
        <w:autoSpaceDE w:val="0"/>
        <w:autoSpaceDN w:val="0"/>
        <w:adjustRightInd w:val="0"/>
        <w:spacing w:after="0" w:line="240" w:lineRule="auto"/>
        <w:ind w:left="1276" w:right="4" w:hanging="283"/>
        <w:rPr>
          <w:rFonts w:cs="Arial"/>
          <w:color w:val="002060"/>
          <w:lang w:val="fr-FR"/>
        </w:rPr>
      </w:pPr>
      <w:r w:rsidRPr="008F6600">
        <w:rPr>
          <w:rFonts w:cs="Arial"/>
          <w:color w:val="002060"/>
          <w:lang w:val="fr-FR"/>
        </w:rPr>
        <w:t xml:space="preserve">Nous poursuivons dans la voie du déploiement de projets de technologie financière afin d’être en mesure d’encore mieux servir nos clients à l’avenir. En juin 2016, nous avons annoncé que les clients de ČSOB et </w:t>
      </w:r>
      <w:proofErr w:type="spellStart"/>
      <w:r w:rsidRPr="008F6600">
        <w:rPr>
          <w:rFonts w:cs="Arial"/>
          <w:color w:val="002060"/>
          <w:lang w:val="fr-FR"/>
        </w:rPr>
        <w:t>Era</w:t>
      </w:r>
      <w:proofErr w:type="spellEnd"/>
      <w:r w:rsidRPr="008F6600">
        <w:rPr>
          <w:rFonts w:cs="Arial"/>
          <w:color w:val="002060"/>
          <w:lang w:val="fr-FR"/>
        </w:rPr>
        <w:t xml:space="preserve"> </w:t>
      </w:r>
      <w:proofErr w:type="spellStart"/>
      <w:r w:rsidRPr="008F6600">
        <w:rPr>
          <w:rFonts w:cs="Arial"/>
          <w:color w:val="002060"/>
          <w:lang w:val="fr-FR"/>
        </w:rPr>
        <w:t>Poštovní</w:t>
      </w:r>
      <w:proofErr w:type="spellEnd"/>
      <w:r w:rsidRPr="008F6600">
        <w:rPr>
          <w:rFonts w:cs="Arial"/>
          <w:color w:val="002060"/>
          <w:lang w:val="fr-FR"/>
        </w:rPr>
        <w:t xml:space="preserve"> </w:t>
      </w:r>
      <w:proofErr w:type="spellStart"/>
      <w:r w:rsidRPr="008F6600">
        <w:rPr>
          <w:rFonts w:cs="Arial"/>
          <w:color w:val="002060"/>
          <w:lang w:val="fr-FR"/>
        </w:rPr>
        <w:t>spořitelna</w:t>
      </w:r>
      <w:proofErr w:type="spellEnd"/>
      <w:r w:rsidRPr="008F6600">
        <w:rPr>
          <w:rFonts w:cs="Arial"/>
          <w:color w:val="002060"/>
          <w:lang w:val="fr-FR"/>
        </w:rPr>
        <w:t xml:space="preserve"> (Postal </w:t>
      </w:r>
      <w:proofErr w:type="spellStart"/>
      <w:r w:rsidRPr="008F6600">
        <w:rPr>
          <w:rFonts w:cs="Arial"/>
          <w:color w:val="002060"/>
          <w:lang w:val="fr-FR"/>
        </w:rPr>
        <w:t>Savings</w:t>
      </w:r>
      <w:proofErr w:type="spellEnd"/>
      <w:r w:rsidRPr="008F6600">
        <w:rPr>
          <w:rFonts w:cs="Arial"/>
          <w:color w:val="002060"/>
          <w:lang w:val="fr-FR"/>
        </w:rPr>
        <w:t xml:space="preserve"> Bank) pourraient payer leurs achats par téléphone mobile grâce à une nouvelle application baptisée ČSOB </w:t>
      </w:r>
      <w:proofErr w:type="spellStart"/>
      <w:r w:rsidRPr="008F6600">
        <w:rPr>
          <w:rFonts w:cs="Arial"/>
          <w:color w:val="002060"/>
          <w:lang w:val="fr-FR"/>
        </w:rPr>
        <w:t>NaNákupy</w:t>
      </w:r>
      <w:proofErr w:type="spellEnd"/>
      <w:r w:rsidRPr="008F6600">
        <w:rPr>
          <w:rFonts w:cs="Arial"/>
          <w:color w:val="002060"/>
          <w:lang w:val="fr-FR"/>
        </w:rPr>
        <w:t xml:space="preserve"> (Mobile </w:t>
      </w:r>
      <w:proofErr w:type="spellStart"/>
      <w:r w:rsidRPr="008F6600">
        <w:rPr>
          <w:rFonts w:cs="Arial"/>
          <w:color w:val="002060"/>
          <w:lang w:val="fr-FR"/>
        </w:rPr>
        <w:t>Wallet</w:t>
      </w:r>
      <w:proofErr w:type="spellEnd"/>
      <w:r w:rsidRPr="008F6600">
        <w:rPr>
          <w:rFonts w:cs="Arial"/>
          <w:color w:val="002060"/>
          <w:lang w:val="fr-FR"/>
        </w:rPr>
        <w:t xml:space="preserve">). Il s'agit du tout premier porte-monnaie mobile en République tchèque compatible avec MasterCard et Visa. Autre avantage de l'application, elle ne nécessite pas de nouvelle carte bancaire </w:t>
      </w:r>
      <w:proofErr w:type="gramStart"/>
      <w:r w:rsidRPr="008F6600">
        <w:rPr>
          <w:rFonts w:cs="Arial"/>
          <w:color w:val="002060"/>
          <w:lang w:val="fr-FR"/>
        </w:rPr>
        <w:t>ou</w:t>
      </w:r>
      <w:proofErr w:type="gramEnd"/>
      <w:r w:rsidRPr="008F6600">
        <w:rPr>
          <w:rFonts w:cs="Arial"/>
          <w:color w:val="002060"/>
          <w:lang w:val="fr-FR"/>
        </w:rPr>
        <w:t xml:space="preserve"> carte SIM. De nouvelles fonctionnalités seront proposées d'ici la fin de l'année. L'application mobile permettra d'effectuer des paiements en ligne, de gérer sa carte et de consulter l'historique des transactions. Les utilisateurs auront la possibilité d'y intégrer leurs cartes de fidélité, leurs tickets de caisse ou des listes de courses partagées.</w:t>
      </w:r>
    </w:p>
    <w:p w:rsidR="008F6600" w:rsidRPr="008F6600" w:rsidRDefault="008F6600" w:rsidP="008F6600">
      <w:pPr>
        <w:autoSpaceDE w:val="0"/>
        <w:autoSpaceDN w:val="0"/>
        <w:adjustRightInd w:val="0"/>
        <w:spacing w:after="0" w:line="240" w:lineRule="auto"/>
        <w:ind w:left="1276" w:right="4"/>
        <w:rPr>
          <w:rFonts w:cs="Arial"/>
          <w:color w:val="002060"/>
          <w:lang w:val="fr-FR"/>
        </w:rPr>
      </w:pPr>
      <w:r w:rsidRPr="008F6600">
        <w:rPr>
          <w:rFonts w:cs="Arial"/>
          <w:color w:val="002060"/>
          <w:lang w:val="fr-FR"/>
        </w:rPr>
        <w:t xml:space="preserve">En juillet 2016, nous avons annoncé le lancement de la phase d'essai d'une application </w:t>
      </w:r>
      <w:proofErr w:type="spellStart"/>
      <w:r w:rsidRPr="008F6600">
        <w:rPr>
          <w:rFonts w:cs="Arial"/>
          <w:color w:val="002060"/>
          <w:lang w:val="fr-FR"/>
        </w:rPr>
        <w:t>blockchain</w:t>
      </w:r>
      <w:proofErr w:type="spellEnd"/>
      <w:r w:rsidRPr="008F6600">
        <w:rPr>
          <w:rFonts w:cs="Arial"/>
          <w:color w:val="002060"/>
          <w:lang w:val="fr-FR"/>
        </w:rPr>
        <w:t xml:space="preserve"> novatrice pour les PME. Avec le concours de la société IT spécialisée </w:t>
      </w:r>
      <w:proofErr w:type="spellStart"/>
      <w:r w:rsidRPr="008F6600">
        <w:rPr>
          <w:rFonts w:cs="Arial"/>
          <w:color w:val="002060"/>
          <w:lang w:val="fr-FR"/>
        </w:rPr>
        <w:t>Cegeka</w:t>
      </w:r>
      <w:proofErr w:type="spellEnd"/>
      <w:r w:rsidRPr="008F6600">
        <w:rPr>
          <w:rFonts w:cs="Arial"/>
          <w:color w:val="002060"/>
          <w:lang w:val="fr-FR"/>
        </w:rPr>
        <w:t xml:space="preserve"> et de diverses autres entreprises, nous sommes les premiers sur le marché à tester avec succès Digital Trade Chain (DTC), une solution </w:t>
      </w:r>
      <w:proofErr w:type="spellStart"/>
      <w:r w:rsidRPr="008F6600">
        <w:rPr>
          <w:rFonts w:cs="Arial"/>
          <w:color w:val="002060"/>
          <w:lang w:val="fr-FR"/>
        </w:rPr>
        <w:t>blockchain</w:t>
      </w:r>
      <w:proofErr w:type="spellEnd"/>
      <w:r w:rsidRPr="008F6600">
        <w:rPr>
          <w:rFonts w:cs="Arial"/>
          <w:color w:val="002060"/>
          <w:lang w:val="fr-FR"/>
        </w:rPr>
        <w:t xml:space="preserve"> offrant aux PME l'opportunité de gérer leurs transactions commerciales internationales en toute sécurité. Si les grandes entreprises ont recours aux crédits documentaires pour limiter le risque commercial, cette solution ne convient pas toujours aux PME. Nous continuons de développer DTC et négocions avec d'autres tierces parties pour élargir encore la plateforme et améliorer son accessibilité.</w:t>
      </w:r>
    </w:p>
    <w:p w:rsidR="008F6600" w:rsidRPr="008F6600" w:rsidRDefault="008F6600" w:rsidP="008F6600">
      <w:pPr>
        <w:autoSpaceDE w:val="0"/>
        <w:autoSpaceDN w:val="0"/>
        <w:adjustRightInd w:val="0"/>
        <w:spacing w:after="0" w:line="240" w:lineRule="auto"/>
        <w:ind w:left="1276" w:right="4"/>
        <w:rPr>
          <w:rFonts w:cs="Arial"/>
          <w:color w:val="002060"/>
          <w:lang w:val="fr-FR"/>
        </w:rPr>
      </w:pPr>
      <w:r w:rsidRPr="008F6600">
        <w:rPr>
          <w:rFonts w:cs="Arial"/>
          <w:color w:val="002060"/>
          <w:lang w:val="fr-FR"/>
        </w:rPr>
        <w:t xml:space="preserve">En juillet 2016, nous avons annoncé que nous travaillions en collaboration avec ING sur une solution intégrée de paiement et de fidélité en Belgique,  afin de répondre à l'évolution rapide de l'expérience numérique pour les clients. Ce type de solution conviviale et rentable a déjà été adopté par plus d'un million d'utilisateurs </w:t>
      </w:r>
      <w:proofErr w:type="spellStart"/>
      <w:r w:rsidRPr="008F6600">
        <w:rPr>
          <w:rFonts w:cs="Arial"/>
          <w:color w:val="002060"/>
          <w:lang w:val="fr-FR"/>
        </w:rPr>
        <w:t>Qustomer</w:t>
      </w:r>
      <w:proofErr w:type="spellEnd"/>
      <w:r w:rsidRPr="008F6600">
        <w:rPr>
          <w:rFonts w:cs="Arial"/>
          <w:color w:val="002060"/>
          <w:lang w:val="fr-FR"/>
        </w:rPr>
        <w:t xml:space="preserve">, </w:t>
      </w:r>
      <w:proofErr w:type="spellStart"/>
      <w:r w:rsidRPr="008F6600">
        <w:rPr>
          <w:rFonts w:cs="Arial"/>
          <w:color w:val="002060"/>
          <w:lang w:val="fr-FR"/>
        </w:rPr>
        <w:t>CityLife</w:t>
      </w:r>
      <w:proofErr w:type="spellEnd"/>
      <w:r w:rsidRPr="008F6600">
        <w:rPr>
          <w:rFonts w:cs="Arial"/>
          <w:color w:val="002060"/>
          <w:lang w:val="fr-FR"/>
        </w:rPr>
        <w:t xml:space="preserve"> et </w:t>
      </w:r>
      <w:proofErr w:type="spellStart"/>
      <w:r w:rsidRPr="008F6600">
        <w:rPr>
          <w:rFonts w:cs="Arial"/>
          <w:color w:val="002060"/>
          <w:lang w:val="fr-FR"/>
        </w:rPr>
        <w:t>Payconiq</w:t>
      </w:r>
      <w:proofErr w:type="spellEnd"/>
      <w:r w:rsidRPr="008F6600">
        <w:rPr>
          <w:rFonts w:cs="Arial"/>
          <w:color w:val="002060"/>
          <w:lang w:val="fr-FR"/>
        </w:rPr>
        <w:t xml:space="preserve"> dans plus de 6.500 magasins en Belgique. Ce réseau continuera de se développer dans les mois à venir.</w:t>
      </w:r>
    </w:p>
    <w:p w:rsidR="008F6600" w:rsidRPr="008F6600" w:rsidRDefault="008F6600" w:rsidP="008F6600">
      <w:pPr>
        <w:pStyle w:val="BodyText"/>
        <w:numPr>
          <w:ilvl w:val="0"/>
          <w:numId w:val="2"/>
        </w:numPr>
        <w:ind w:left="1276" w:right="267" w:hanging="283"/>
        <w:rPr>
          <w:rFonts w:asciiTheme="minorHAnsi" w:hAnsiTheme="minorHAnsi"/>
          <w:color w:val="002060"/>
          <w:sz w:val="22"/>
          <w:szCs w:val="22"/>
          <w:lang w:val="fr-FR"/>
        </w:rPr>
      </w:pPr>
      <w:r w:rsidRPr="008F6600">
        <w:rPr>
          <w:rFonts w:asciiTheme="minorHAnsi" w:hAnsiTheme="minorHAnsi" w:cs="Arial"/>
          <w:color w:val="002060"/>
          <w:sz w:val="22"/>
          <w:szCs w:val="22"/>
          <w:lang w:val="fr-FR"/>
        </w:rPr>
        <w:t xml:space="preserve">En juillet 2016, KBC (Belgique) et K&amp;H (Hongrie) ont reçu le titre de « Meilleure banque » pour leur pays respectif lors des </w:t>
      </w:r>
      <w:proofErr w:type="spellStart"/>
      <w:r w:rsidRPr="008F6600">
        <w:rPr>
          <w:rFonts w:asciiTheme="minorHAnsi" w:hAnsiTheme="minorHAnsi" w:cs="Arial"/>
          <w:color w:val="002060"/>
          <w:sz w:val="22"/>
          <w:szCs w:val="22"/>
          <w:lang w:val="fr-FR"/>
        </w:rPr>
        <w:t>Euromoney</w:t>
      </w:r>
      <w:proofErr w:type="spellEnd"/>
      <w:r w:rsidRPr="008F6600">
        <w:rPr>
          <w:rFonts w:asciiTheme="minorHAnsi" w:hAnsiTheme="minorHAnsi" w:cs="Arial"/>
          <w:color w:val="002060"/>
          <w:sz w:val="22"/>
          <w:szCs w:val="22"/>
          <w:lang w:val="fr-FR"/>
        </w:rPr>
        <w:t xml:space="preserve"> </w:t>
      </w:r>
      <w:proofErr w:type="spellStart"/>
      <w:r w:rsidRPr="008F6600">
        <w:rPr>
          <w:rFonts w:asciiTheme="minorHAnsi" w:hAnsiTheme="minorHAnsi" w:cs="Arial"/>
          <w:color w:val="002060"/>
          <w:sz w:val="22"/>
          <w:szCs w:val="22"/>
          <w:lang w:val="fr-FR"/>
        </w:rPr>
        <w:t>Awards</w:t>
      </w:r>
      <w:proofErr w:type="spellEnd"/>
      <w:r w:rsidRPr="008F6600">
        <w:rPr>
          <w:rFonts w:asciiTheme="minorHAnsi" w:hAnsiTheme="minorHAnsi" w:cs="Arial"/>
          <w:color w:val="002060"/>
          <w:sz w:val="22"/>
          <w:szCs w:val="22"/>
          <w:lang w:val="fr-FR"/>
        </w:rPr>
        <w:t xml:space="preserve"> for Excellence.  </w:t>
      </w:r>
      <w:proofErr w:type="spellStart"/>
      <w:r w:rsidRPr="008F6600">
        <w:rPr>
          <w:rFonts w:asciiTheme="minorHAnsi" w:hAnsiTheme="minorHAnsi" w:cs="Arial"/>
          <w:color w:val="002060"/>
          <w:sz w:val="22"/>
          <w:szCs w:val="22"/>
          <w:lang w:val="fr-FR"/>
        </w:rPr>
        <w:t>Euromoney</w:t>
      </w:r>
      <w:proofErr w:type="spellEnd"/>
      <w:r w:rsidRPr="008F6600">
        <w:rPr>
          <w:rFonts w:asciiTheme="minorHAnsi" w:hAnsiTheme="minorHAnsi" w:cs="Arial"/>
          <w:color w:val="002060"/>
          <w:sz w:val="22"/>
          <w:szCs w:val="22"/>
          <w:lang w:val="fr-FR"/>
        </w:rPr>
        <w:t xml:space="preserve"> a accueilli quelque 600 banquiers </w:t>
      </w:r>
      <w:proofErr w:type="gramStart"/>
      <w:r w:rsidRPr="008F6600">
        <w:rPr>
          <w:rFonts w:asciiTheme="minorHAnsi" w:hAnsiTheme="minorHAnsi" w:cs="Arial"/>
          <w:color w:val="002060"/>
          <w:sz w:val="22"/>
          <w:szCs w:val="22"/>
          <w:lang w:val="fr-FR"/>
        </w:rPr>
        <w:t>senior</w:t>
      </w:r>
      <w:proofErr w:type="gramEnd"/>
      <w:r w:rsidRPr="008F6600">
        <w:rPr>
          <w:rFonts w:asciiTheme="minorHAnsi" w:hAnsiTheme="minorHAnsi" w:cs="Arial"/>
          <w:color w:val="002060"/>
          <w:sz w:val="22"/>
          <w:szCs w:val="22"/>
          <w:lang w:val="fr-FR"/>
        </w:rPr>
        <w:t xml:space="preserve"> du monde entier pour célébrer le 25e anniversaire des </w:t>
      </w:r>
      <w:proofErr w:type="spellStart"/>
      <w:r w:rsidRPr="008F6600">
        <w:rPr>
          <w:rFonts w:asciiTheme="minorHAnsi" w:hAnsiTheme="minorHAnsi" w:cs="Arial"/>
          <w:color w:val="002060"/>
          <w:sz w:val="22"/>
          <w:szCs w:val="22"/>
          <w:lang w:val="fr-FR"/>
        </w:rPr>
        <w:t>Awards</w:t>
      </w:r>
      <w:proofErr w:type="spellEnd"/>
      <w:r w:rsidRPr="008F6600">
        <w:rPr>
          <w:rFonts w:asciiTheme="minorHAnsi" w:hAnsiTheme="minorHAnsi" w:cs="Arial"/>
          <w:color w:val="002060"/>
          <w:sz w:val="22"/>
          <w:szCs w:val="22"/>
          <w:lang w:val="fr-FR"/>
        </w:rPr>
        <w:t xml:space="preserve">. </w:t>
      </w:r>
      <w:r w:rsidRPr="008F6600">
        <w:rPr>
          <w:rFonts w:asciiTheme="minorHAnsi" w:hAnsiTheme="minorHAnsi"/>
          <w:color w:val="002060"/>
          <w:sz w:val="22"/>
          <w:szCs w:val="22"/>
          <w:lang w:val="fr-FR"/>
        </w:rPr>
        <w:t xml:space="preserve">Ces prix, qui sont attribués sur la base d'un suivi de la part de marché sur un an et de données de </w:t>
      </w:r>
      <w:r w:rsidRPr="008F6600">
        <w:rPr>
          <w:rFonts w:asciiTheme="minorHAnsi" w:hAnsiTheme="minorHAnsi" w:cs="Arial"/>
          <w:color w:val="002060"/>
          <w:sz w:val="22"/>
          <w:szCs w:val="22"/>
          <w:lang w:val="fr-FR"/>
        </w:rPr>
        <w:t xml:space="preserve">satisfaction client compilées par le </w:t>
      </w:r>
      <w:r w:rsidRPr="008F6600">
        <w:rPr>
          <w:rFonts w:asciiTheme="minorHAnsi" w:hAnsiTheme="minorHAnsi"/>
          <w:color w:val="002060"/>
          <w:sz w:val="22"/>
          <w:szCs w:val="22"/>
          <w:lang w:val="fr-FR"/>
        </w:rPr>
        <w:t>département d'enquête de premier plan d'</w:t>
      </w:r>
      <w:proofErr w:type="spellStart"/>
      <w:r w:rsidRPr="008F6600">
        <w:rPr>
          <w:rFonts w:asciiTheme="minorHAnsi" w:hAnsiTheme="minorHAnsi"/>
          <w:color w:val="002060"/>
          <w:sz w:val="22"/>
          <w:szCs w:val="22"/>
          <w:lang w:val="fr-FR"/>
        </w:rPr>
        <w:t>Euromoney</w:t>
      </w:r>
      <w:proofErr w:type="spellEnd"/>
      <w:r w:rsidRPr="008F6600">
        <w:rPr>
          <w:rFonts w:asciiTheme="minorHAnsi" w:hAnsiTheme="minorHAnsi"/>
          <w:color w:val="002060"/>
          <w:sz w:val="22"/>
          <w:szCs w:val="22"/>
          <w:lang w:val="fr-FR"/>
        </w:rPr>
        <w:t>, témoignent clairement du bien-fondé de notre approche axée sur la clientèle.</w:t>
      </w:r>
    </w:p>
    <w:p w:rsidR="001458D9" w:rsidRDefault="001458D9" w:rsidP="008F6600">
      <w:pPr>
        <w:autoSpaceDE w:val="0"/>
        <w:autoSpaceDN w:val="0"/>
        <w:adjustRightInd w:val="0"/>
        <w:spacing w:after="0" w:line="240" w:lineRule="auto"/>
        <w:ind w:left="1276" w:right="4"/>
        <w:rPr>
          <w:rFonts w:cs="Arial"/>
          <w:color w:val="002060"/>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7E3194" w:rsidRDefault="007E3194" w:rsidP="001458D9">
      <w:pPr>
        <w:autoSpaceDE w:val="0"/>
        <w:autoSpaceDN w:val="0"/>
        <w:adjustRightInd w:val="0"/>
        <w:spacing w:after="0" w:line="240" w:lineRule="auto"/>
        <w:ind w:left="993" w:right="4"/>
        <w:rPr>
          <w:rFonts w:ascii="Rockwell" w:hAnsi="Rockwell" w:cs="Arial"/>
          <w:b/>
          <w:bCs/>
          <w:color w:val="003366"/>
          <w:sz w:val="28"/>
          <w:szCs w:val="28"/>
          <w:lang w:val="fr-FR"/>
        </w:rPr>
      </w:pPr>
    </w:p>
    <w:p w:rsidR="001458D9" w:rsidRPr="001458D9" w:rsidRDefault="001458D9" w:rsidP="001458D9">
      <w:pPr>
        <w:autoSpaceDE w:val="0"/>
        <w:autoSpaceDN w:val="0"/>
        <w:adjustRightInd w:val="0"/>
        <w:spacing w:after="0" w:line="240" w:lineRule="auto"/>
        <w:ind w:left="993" w:right="4"/>
        <w:rPr>
          <w:rFonts w:ascii="Rockwell" w:hAnsi="Rockwell" w:cs="Arial"/>
          <w:b/>
          <w:bCs/>
          <w:color w:val="003366"/>
          <w:sz w:val="28"/>
          <w:szCs w:val="28"/>
          <w:lang w:val="fr-FR"/>
        </w:rPr>
      </w:pPr>
      <w:r w:rsidRPr="001458D9">
        <w:rPr>
          <w:rFonts w:ascii="Rockwell" w:hAnsi="Rockwell" w:cs="Arial"/>
          <w:b/>
          <w:bCs/>
          <w:color w:val="003366"/>
          <w:sz w:val="28"/>
          <w:szCs w:val="28"/>
          <w:lang w:val="fr-FR"/>
        </w:rPr>
        <w:t>Aperçu de nos résultats et de notre bilan</w:t>
      </w:r>
    </w:p>
    <w:p w:rsidR="00D14EBE" w:rsidRPr="001458D9" w:rsidRDefault="00D14EBE" w:rsidP="001458D9">
      <w:pPr>
        <w:autoSpaceDE w:val="0"/>
        <w:autoSpaceDN w:val="0"/>
        <w:adjustRightInd w:val="0"/>
        <w:spacing w:after="0" w:line="240" w:lineRule="auto"/>
        <w:ind w:left="993" w:right="4"/>
        <w:rPr>
          <w:rFonts w:asciiTheme="minorHAnsi" w:hAnsiTheme="minorHAnsi" w:cs="Arial"/>
          <w:b/>
          <w:bCs/>
          <w:color w:val="002060"/>
          <w:lang w:val="fr-FR" w:eastAsia="nl-BE"/>
        </w:rPr>
      </w:pPr>
    </w:p>
    <w:p w:rsidR="001458D9" w:rsidRPr="001458D9" w:rsidRDefault="001458D9" w:rsidP="00EC6509">
      <w:pPr>
        <w:pStyle w:val="BodyText"/>
        <w:ind w:left="993" w:right="260" w:firstLine="0"/>
        <w:rPr>
          <w:rFonts w:asciiTheme="minorHAnsi" w:hAnsiTheme="minorHAnsi"/>
          <w:color w:val="002060"/>
          <w:sz w:val="22"/>
          <w:szCs w:val="22"/>
          <w:lang w:val="fr-FR"/>
        </w:rPr>
      </w:pPr>
      <w:r w:rsidRPr="001458D9">
        <w:rPr>
          <w:rFonts w:asciiTheme="minorHAnsi" w:hAnsiTheme="minorHAnsi"/>
          <w:color w:val="002060"/>
          <w:sz w:val="22"/>
          <w:szCs w:val="22"/>
          <w:lang w:val="fr-FR"/>
        </w:rPr>
        <w:t xml:space="preserve">Pour les données complètes du compte de résultat et du bilan </w:t>
      </w:r>
      <w:r w:rsidRPr="001458D9">
        <w:rPr>
          <w:rFonts w:asciiTheme="minorHAnsi" w:hAnsiTheme="minorHAnsi" w:cs="Arial"/>
          <w:color w:val="002060"/>
          <w:sz w:val="22"/>
          <w:szCs w:val="22"/>
          <w:lang w:val="fr-FR"/>
        </w:rPr>
        <w:t>consolidés selon les normes IFRS, nous vous renvoyons au chapitre « </w:t>
      </w:r>
      <w:proofErr w:type="spellStart"/>
      <w:r w:rsidRPr="001458D9">
        <w:rPr>
          <w:rFonts w:asciiTheme="minorHAnsi" w:hAnsiTheme="minorHAnsi" w:cs="Arial"/>
          <w:color w:val="002060"/>
          <w:sz w:val="22"/>
          <w:szCs w:val="22"/>
          <w:lang w:val="fr-FR"/>
        </w:rPr>
        <w:t>Consolidated</w:t>
      </w:r>
      <w:proofErr w:type="spellEnd"/>
      <w:r w:rsidRPr="001458D9">
        <w:rPr>
          <w:rFonts w:asciiTheme="minorHAnsi" w:hAnsiTheme="minorHAnsi" w:cs="Arial"/>
          <w:color w:val="002060"/>
          <w:sz w:val="22"/>
          <w:szCs w:val="22"/>
          <w:lang w:val="fr-FR"/>
        </w:rPr>
        <w:t xml:space="preserve"> </w:t>
      </w:r>
      <w:proofErr w:type="spellStart"/>
      <w:r w:rsidRPr="001458D9">
        <w:rPr>
          <w:rFonts w:asciiTheme="minorHAnsi" w:hAnsiTheme="minorHAnsi" w:cs="Arial"/>
          <w:color w:val="002060"/>
          <w:sz w:val="22"/>
          <w:szCs w:val="22"/>
          <w:lang w:val="fr-FR"/>
        </w:rPr>
        <w:t>financial</w:t>
      </w:r>
      <w:proofErr w:type="spellEnd"/>
      <w:r w:rsidRPr="001458D9">
        <w:rPr>
          <w:rFonts w:asciiTheme="minorHAnsi" w:hAnsiTheme="minorHAnsi" w:cs="Arial"/>
          <w:color w:val="002060"/>
          <w:sz w:val="22"/>
          <w:szCs w:val="22"/>
          <w:lang w:val="fr-FR"/>
        </w:rPr>
        <w:t xml:space="preserve"> </w:t>
      </w:r>
      <w:proofErr w:type="spellStart"/>
      <w:r w:rsidRPr="001458D9">
        <w:rPr>
          <w:rFonts w:asciiTheme="minorHAnsi" w:hAnsiTheme="minorHAnsi" w:cs="Arial"/>
          <w:color w:val="002060"/>
          <w:sz w:val="22"/>
          <w:szCs w:val="22"/>
          <w:lang w:val="fr-FR"/>
        </w:rPr>
        <w:t>statements</w:t>
      </w:r>
      <w:proofErr w:type="spellEnd"/>
      <w:r w:rsidRPr="001458D9">
        <w:rPr>
          <w:rFonts w:asciiTheme="minorHAnsi" w:hAnsiTheme="minorHAnsi" w:cs="Arial"/>
          <w:color w:val="002060"/>
          <w:sz w:val="22"/>
          <w:szCs w:val="22"/>
          <w:lang w:val="fr-FR"/>
        </w:rPr>
        <w:t xml:space="preserve"> » du rapport trimestriel,  qui reprend également un résumé du résultat global, des variations des capitaux propres des actionnaires, </w:t>
      </w:r>
      <w:r w:rsidRPr="001458D9">
        <w:rPr>
          <w:rFonts w:asciiTheme="minorHAnsi" w:hAnsiTheme="minorHAnsi"/>
          <w:color w:val="002060"/>
          <w:sz w:val="22"/>
          <w:szCs w:val="22"/>
          <w:lang w:val="fr-FR"/>
        </w:rPr>
        <w:t>ainsi que plusieurs annexes relatives aux comptes.</w:t>
      </w:r>
    </w:p>
    <w:p w:rsidR="00EC6509" w:rsidRPr="009D658B" w:rsidRDefault="00EC6509" w:rsidP="007E3194">
      <w:pPr>
        <w:spacing w:before="5"/>
        <w:ind w:left="720"/>
        <w:rPr>
          <w:rFonts w:eastAsia="Arial" w:cs="Arial"/>
          <w:sz w:val="9"/>
          <w:szCs w:val="9"/>
          <w:lang w:val="fr-FR"/>
        </w:rPr>
      </w:pPr>
    </w:p>
    <w:tbl>
      <w:tblPr>
        <w:tblStyle w:val="TableNormal1"/>
        <w:tblW w:w="10364" w:type="dxa"/>
        <w:tblInd w:w="839" w:type="dxa"/>
        <w:tblLayout w:type="fixed"/>
        <w:tblLook w:val="01E0" w:firstRow="1" w:lastRow="1" w:firstColumn="1" w:lastColumn="1" w:noHBand="0" w:noVBand="0"/>
      </w:tblPr>
      <w:tblGrid>
        <w:gridCol w:w="4410"/>
        <w:gridCol w:w="900"/>
        <w:gridCol w:w="851"/>
        <w:gridCol w:w="851"/>
        <w:gridCol w:w="802"/>
        <w:gridCol w:w="850"/>
        <w:gridCol w:w="850"/>
        <w:gridCol w:w="850"/>
      </w:tblGrid>
      <w:tr w:rsidR="00EC6509" w:rsidRPr="009D658B" w:rsidTr="007E3194">
        <w:trPr>
          <w:trHeight w:hRule="exact" w:val="377"/>
        </w:trPr>
        <w:tc>
          <w:tcPr>
            <w:tcW w:w="4410" w:type="dxa"/>
            <w:tcBorders>
              <w:top w:val="nil"/>
              <w:left w:val="nil"/>
              <w:bottom w:val="single" w:sz="8" w:space="0" w:color="808080"/>
              <w:right w:val="nil"/>
            </w:tcBorders>
          </w:tcPr>
          <w:p w:rsidR="00EC6509" w:rsidRPr="009D658B" w:rsidRDefault="00EC6509" w:rsidP="0082296B">
            <w:pPr>
              <w:pStyle w:val="TableParagraph"/>
              <w:spacing w:before="41"/>
              <w:ind w:left="122" w:right="1774"/>
              <w:rPr>
                <w:rFonts w:eastAsia="Arial" w:cs="Arial"/>
                <w:sz w:val="14"/>
                <w:szCs w:val="14"/>
                <w:lang w:val="fr-FR"/>
              </w:rPr>
            </w:pPr>
            <w:r w:rsidRPr="009D658B">
              <w:rPr>
                <w:b/>
                <w:color w:val="00AFEF"/>
                <w:sz w:val="14"/>
                <w:lang w:val="fr-FR"/>
              </w:rPr>
              <w:t>Compte de résultat consolidé selon les normes IFRS, Groupe KBC (en millions EUR)</w:t>
            </w:r>
          </w:p>
        </w:tc>
        <w:tc>
          <w:tcPr>
            <w:tcW w:w="900"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lang w:val="fr-FR"/>
              </w:rPr>
            </w:pPr>
          </w:p>
          <w:p w:rsidR="00EC6509" w:rsidRPr="009D658B" w:rsidRDefault="00EC6509" w:rsidP="0082296B">
            <w:pPr>
              <w:pStyle w:val="TableParagraph"/>
              <w:ind w:left="204"/>
              <w:rPr>
                <w:rFonts w:eastAsia="Arial" w:cs="Arial"/>
                <w:sz w:val="14"/>
                <w:szCs w:val="14"/>
              </w:rPr>
            </w:pPr>
            <w:r w:rsidRPr="009D658B">
              <w:rPr>
                <w:b/>
                <w:color w:val="00AFEF"/>
                <w:sz w:val="14"/>
              </w:rPr>
              <w:t>2TR2015</w:t>
            </w:r>
          </w:p>
        </w:tc>
        <w:tc>
          <w:tcPr>
            <w:tcW w:w="851"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rPr>
            </w:pPr>
          </w:p>
          <w:p w:rsidR="00EC6509" w:rsidRPr="009D658B" w:rsidRDefault="00EC6509" w:rsidP="0082296B">
            <w:pPr>
              <w:pStyle w:val="TableParagraph"/>
              <w:ind w:left="155"/>
              <w:rPr>
                <w:rFonts w:eastAsia="Arial" w:cs="Arial"/>
                <w:sz w:val="14"/>
                <w:szCs w:val="14"/>
              </w:rPr>
            </w:pPr>
            <w:r w:rsidRPr="009D658B">
              <w:rPr>
                <w:b/>
                <w:color w:val="00AFEF"/>
                <w:sz w:val="14"/>
              </w:rPr>
              <w:t>3TR2015</w:t>
            </w:r>
          </w:p>
        </w:tc>
        <w:tc>
          <w:tcPr>
            <w:tcW w:w="851"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rPr>
            </w:pPr>
          </w:p>
          <w:p w:rsidR="00EC6509" w:rsidRPr="009D658B" w:rsidRDefault="00EC6509" w:rsidP="0082296B">
            <w:pPr>
              <w:pStyle w:val="TableParagraph"/>
              <w:ind w:left="154"/>
              <w:rPr>
                <w:rFonts w:eastAsia="Arial" w:cs="Arial"/>
                <w:sz w:val="14"/>
                <w:szCs w:val="14"/>
              </w:rPr>
            </w:pPr>
            <w:r w:rsidRPr="009D658B">
              <w:rPr>
                <w:b/>
                <w:color w:val="00AFEF"/>
                <w:sz w:val="14"/>
              </w:rPr>
              <w:t>4TR2015</w:t>
            </w:r>
          </w:p>
        </w:tc>
        <w:tc>
          <w:tcPr>
            <w:tcW w:w="802"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rPr>
            </w:pPr>
          </w:p>
          <w:p w:rsidR="00EC6509" w:rsidRPr="009D658B" w:rsidRDefault="00EC6509" w:rsidP="0082296B">
            <w:pPr>
              <w:pStyle w:val="TableParagraph"/>
              <w:ind w:left="156"/>
              <w:rPr>
                <w:rFonts w:eastAsia="Arial" w:cs="Arial"/>
                <w:sz w:val="14"/>
                <w:szCs w:val="14"/>
              </w:rPr>
            </w:pPr>
            <w:r w:rsidRPr="009D658B">
              <w:rPr>
                <w:b/>
                <w:color w:val="00AFEF"/>
                <w:sz w:val="14"/>
              </w:rPr>
              <w:t>1TR2016</w:t>
            </w:r>
          </w:p>
        </w:tc>
        <w:tc>
          <w:tcPr>
            <w:tcW w:w="850"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rPr>
            </w:pPr>
          </w:p>
          <w:p w:rsidR="00EC6509" w:rsidRPr="009D658B" w:rsidRDefault="00EC6509" w:rsidP="0082296B">
            <w:pPr>
              <w:pStyle w:val="TableParagraph"/>
              <w:ind w:left="240"/>
              <w:rPr>
                <w:rFonts w:eastAsia="Arial" w:cs="Arial"/>
                <w:sz w:val="14"/>
                <w:szCs w:val="14"/>
              </w:rPr>
            </w:pPr>
            <w:r w:rsidRPr="009D658B">
              <w:rPr>
                <w:b/>
                <w:color w:val="00AFEF"/>
                <w:sz w:val="14"/>
              </w:rPr>
              <w:t>2TR2016</w:t>
            </w:r>
          </w:p>
        </w:tc>
        <w:tc>
          <w:tcPr>
            <w:tcW w:w="850"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rPr>
            </w:pPr>
          </w:p>
          <w:p w:rsidR="00EC6509" w:rsidRPr="009D658B" w:rsidRDefault="00EC6509" w:rsidP="0082296B">
            <w:pPr>
              <w:pStyle w:val="TableParagraph"/>
              <w:ind w:left="254"/>
              <w:rPr>
                <w:rFonts w:eastAsia="Arial" w:cs="Arial"/>
                <w:sz w:val="14"/>
                <w:szCs w:val="14"/>
              </w:rPr>
            </w:pPr>
            <w:r w:rsidRPr="009D658B">
              <w:rPr>
                <w:b/>
                <w:color w:val="00AFEF"/>
                <w:sz w:val="14"/>
              </w:rPr>
              <w:t>1</w:t>
            </w:r>
            <w:r>
              <w:rPr>
                <w:b/>
                <w:color w:val="00AFEF"/>
                <w:sz w:val="14"/>
              </w:rPr>
              <w:t>S</w:t>
            </w:r>
            <w:r w:rsidRPr="009D658B">
              <w:rPr>
                <w:b/>
                <w:color w:val="00AFEF"/>
                <w:sz w:val="14"/>
              </w:rPr>
              <w:t>2015</w:t>
            </w:r>
          </w:p>
        </w:tc>
        <w:tc>
          <w:tcPr>
            <w:tcW w:w="850" w:type="dxa"/>
            <w:tcBorders>
              <w:top w:val="nil"/>
              <w:left w:val="nil"/>
              <w:bottom w:val="single" w:sz="8" w:space="0" w:color="808080"/>
              <w:right w:val="nil"/>
            </w:tcBorders>
          </w:tcPr>
          <w:p w:rsidR="00EC6509" w:rsidRDefault="00EC6509" w:rsidP="0082296B">
            <w:pPr>
              <w:pStyle w:val="TableParagraph"/>
              <w:spacing w:before="7"/>
              <w:rPr>
                <w:rFonts w:eastAsia="Arial" w:cs="Arial"/>
                <w:sz w:val="17"/>
                <w:szCs w:val="17"/>
              </w:rPr>
            </w:pPr>
          </w:p>
          <w:p w:rsidR="00EC6509" w:rsidRPr="009D658B" w:rsidRDefault="00EC6509" w:rsidP="0082296B">
            <w:pPr>
              <w:pStyle w:val="TableParagraph"/>
              <w:ind w:left="252"/>
              <w:rPr>
                <w:rFonts w:eastAsia="Arial" w:cs="Arial"/>
                <w:sz w:val="14"/>
                <w:szCs w:val="14"/>
              </w:rPr>
            </w:pPr>
            <w:r w:rsidRPr="009D658B">
              <w:rPr>
                <w:b/>
                <w:color w:val="00AFEF"/>
                <w:sz w:val="14"/>
              </w:rPr>
              <w:t>1</w:t>
            </w:r>
            <w:r>
              <w:rPr>
                <w:b/>
                <w:color w:val="00AFEF"/>
                <w:sz w:val="14"/>
              </w:rPr>
              <w:t>S</w:t>
            </w:r>
            <w:r w:rsidRPr="009D658B">
              <w:rPr>
                <w:b/>
                <w:color w:val="00AFEF"/>
                <w:sz w:val="14"/>
              </w:rPr>
              <w:t>2016</w:t>
            </w:r>
          </w:p>
        </w:tc>
      </w:tr>
      <w:tr w:rsidR="00EC6509" w:rsidRPr="009D658B" w:rsidTr="007E3194">
        <w:trPr>
          <w:trHeight w:hRule="exact" w:val="296"/>
        </w:trPr>
        <w:tc>
          <w:tcPr>
            <w:tcW w:w="4410" w:type="dxa"/>
            <w:tcBorders>
              <w:top w:val="single" w:sz="8" w:space="0" w:color="808080"/>
              <w:left w:val="nil"/>
              <w:bottom w:val="nil"/>
              <w:right w:val="single" w:sz="8" w:space="0" w:color="808080"/>
            </w:tcBorders>
          </w:tcPr>
          <w:p w:rsidR="00EC6509" w:rsidRPr="009D658B" w:rsidRDefault="00EC6509" w:rsidP="0082296B">
            <w:pPr>
              <w:pStyle w:val="TableParagraph"/>
              <w:spacing w:before="80"/>
              <w:ind w:left="122"/>
              <w:rPr>
                <w:rFonts w:eastAsia="Arial" w:cs="Arial"/>
                <w:sz w:val="14"/>
                <w:szCs w:val="14"/>
              </w:rPr>
            </w:pPr>
            <w:proofErr w:type="spellStart"/>
            <w:r w:rsidRPr="009D658B">
              <w:rPr>
                <w:sz w:val="14"/>
              </w:rPr>
              <w:t>Revenus</w:t>
            </w:r>
            <w:proofErr w:type="spellEnd"/>
            <w:r w:rsidRPr="009D658B">
              <w:rPr>
                <w:sz w:val="14"/>
              </w:rPr>
              <w:t xml:space="preserve"> nets </w:t>
            </w:r>
            <w:proofErr w:type="spellStart"/>
            <w:r w:rsidRPr="009D658B">
              <w:rPr>
                <w:sz w:val="14"/>
              </w:rPr>
              <w:t>d'intérêts</w:t>
            </w:r>
            <w:proofErr w:type="spellEnd"/>
          </w:p>
        </w:tc>
        <w:tc>
          <w:tcPr>
            <w:tcW w:w="900" w:type="dxa"/>
            <w:tcBorders>
              <w:top w:val="single" w:sz="8" w:space="0" w:color="808080"/>
              <w:left w:val="single" w:sz="8" w:space="0" w:color="808080"/>
              <w:bottom w:val="nil"/>
              <w:right w:val="nil"/>
            </w:tcBorders>
          </w:tcPr>
          <w:p w:rsidR="00EC6509" w:rsidRPr="009D658B" w:rsidRDefault="00EC6509" w:rsidP="0082296B">
            <w:pPr>
              <w:pStyle w:val="TableParagraph"/>
              <w:spacing w:before="80"/>
              <w:ind w:left="382"/>
              <w:rPr>
                <w:rFonts w:eastAsia="Arial" w:cs="Arial"/>
                <w:sz w:val="14"/>
                <w:szCs w:val="14"/>
              </w:rPr>
            </w:pPr>
            <w:r w:rsidRPr="009D658B">
              <w:rPr>
                <w:sz w:val="14"/>
              </w:rPr>
              <w:t>1 092</w:t>
            </w:r>
          </w:p>
        </w:tc>
        <w:tc>
          <w:tcPr>
            <w:tcW w:w="851" w:type="dxa"/>
            <w:tcBorders>
              <w:top w:val="single" w:sz="8" w:space="0" w:color="808080"/>
              <w:left w:val="nil"/>
              <w:bottom w:val="nil"/>
              <w:right w:val="nil"/>
            </w:tcBorders>
          </w:tcPr>
          <w:p w:rsidR="00EC6509" w:rsidRPr="009D658B" w:rsidRDefault="00EC6509" w:rsidP="0082296B">
            <w:pPr>
              <w:pStyle w:val="TableParagraph"/>
              <w:spacing w:before="80"/>
              <w:ind w:left="343"/>
              <w:rPr>
                <w:rFonts w:eastAsia="Arial" w:cs="Arial"/>
                <w:sz w:val="14"/>
                <w:szCs w:val="14"/>
              </w:rPr>
            </w:pPr>
            <w:r w:rsidRPr="009D658B">
              <w:rPr>
                <w:sz w:val="14"/>
              </w:rPr>
              <w:t>1 062</w:t>
            </w:r>
          </w:p>
        </w:tc>
        <w:tc>
          <w:tcPr>
            <w:tcW w:w="851" w:type="dxa"/>
            <w:tcBorders>
              <w:top w:val="single" w:sz="8" w:space="0" w:color="808080"/>
              <w:left w:val="nil"/>
              <w:bottom w:val="nil"/>
              <w:right w:val="nil"/>
            </w:tcBorders>
          </w:tcPr>
          <w:p w:rsidR="00EC6509" w:rsidRPr="009D658B" w:rsidRDefault="00EC6509" w:rsidP="0082296B">
            <w:pPr>
              <w:pStyle w:val="TableParagraph"/>
              <w:spacing w:before="80"/>
              <w:ind w:left="341"/>
              <w:rPr>
                <w:rFonts w:eastAsia="Arial" w:cs="Arial"/>
                <w:sz w:val="14"/>
                <w:szCs w:val="14"/>
              </w:rPr>
            </w:pPr>
            <w:r w:rsidRPr="009D658B">
              <w:rPr>
                <w:sz w:val="14"/>
              </w:rPr>
              <w:t>1 066</w:t>
            </w:r>
          </w:p>
        </w:tc>
        <w:tc>
          <w:tcPr>
            <w:tcW w:w="802" w:type="dxa"/>
            <w:tcBorders>
              <w:top w:val="single" w:sz="8" w:space="0" w:color="808080"/>
              <w:left w:val="nil"/>
              <w:bottom w:val="nil"/>
              <w:right w:val="nil"/>
            </w:tcBorders>
          </w:tcPr>
          <w:p w:rsidR="00EC6509" w:rsidRPr="009D658B" w:rsidRDefault="00EC6509" w:rsidP="0082296B">
            <w:pPr>
              <w:pStyle w:val="TableParagraph"/>
              <w:spacing w:before="80"/>
              <w:ind w:left="343"/>
              <w:rPr>
                <w:rFonts w:eastAsia="Arial" w:cs="Arial"/>
                <w:sz w:val="14"/>
                <w:szCs w:val="14"/>
              </w:rPr>
            </w:pPr>
            <w:r w:rsidRPr="009D658B">
              <w:rPr>
                <w:sz w:val="14"/>
              </w:rPr>
              <w:t>1 067</w:t>
            </w:r>
          </w:p>
        </w:tc>
        <w:tc>
          <w:tcPr>
            <w:tcW w:w="850" w:type="dxa"/>
            <w:tcBorders>
              <w:top w:val="single" w:sz="8" w:space="0" w:color="808080"/>
              <w:left w:val="nil"/>
              <w:bottom w:val="nil"/>
              <w:right w:val="single" w:sz="4" w:space="0" w:color="000000"/>
            </w:tcBorders>
            <w:shd w:val="clear" w:color="auto" w:fill="D9D9D9"/>
          </w:tcPr>
          <w:p w:rsidR="00EC6509" w:rsidRPr="009D658B" w:rsidRDefault="00EC6509" w:rsidP="0082296B">
            <w:pPr>
              <w:pStyle w:val="TableParagraph"/>
              <w:spacing w:before="80"/>
              <w:ind w:left="388"/>
              <w:rPr>
                <w:rFonts w:eastAsia="Arial" w:cs="Arial"/>
                <w:sz w:val="14"/>
                <w:szCs w:val="14"/>
              </w:rPr>
            </w:pPr>
            <w:r w:rsidRPr="009D658B">
              <w:rPr>
                <w:sz w:val="14"/>
              </w:rPr>
              <w:t>1 070</w:t>
            </w:r>
          </w:p>
        </w:tc>
        <w:tc>
          <w:tcPr>
            <w:tcW w:w="850" w:type="dxa"/>
            <w:tcBorders>
              <w:top w:val="single" w:sz="8" w:space="0" w:color="808080"/>
              <w:left w:val="single" w:sz="4" w:space="0" w:color="000000"/>
              <w:bottom w:val="nil"/>
              <w:right w:val="nil"/>
            </w:tcBorders>
          </w:tcPr>
          <w:p w:rsidR="00EC6509" w:rsidRPr="009D658B" w:rsidRDefault="00EC6509" w:rsidP="0082296B">
            <w:pPr>
              <w:pStyle w:val="TableParagraph"/>
              <w:spacing w:before="80"/>
              <w:ind w:left="388"/>
              <w:rPr>
                <w:rFonts w:eastAsia="Arial" w:cs="Arial"/>
                <w:sz w:val="14"/>
                <w:szCs w:val="14"/>
              </w:rPr>
            </w:pPr>
            <w:r w:rsidRPr="009D658B">
              <w:rPr>
                <w:sz w:val="14"/>
              </w:rPr>
              <w:t>2 183</w:t>
            </w:r>
          </w:p>
        </w:tc>
        <w:tc>
          <w:tcPr>
            <w:tcW w:w="850" w:type="dxa"/>
            <w:tcBorders>
              <w:top w:val="single" w:sz="8" w:space="0" w:color="808080"/>
              <w:left w:val="nil"/>
              <w:bottom w:val="nil"/>
              <w:right w:val="nil"/>
            </w:tcBorders>
            <w:shd w:val="clear" w:color="auto" w:fill="D9D9D9"/>
          </w:tcPr>
          <w:p w:rsidR="00EC6509" w:rsidRPr="009D658B" w:rsidRDefault="00EC6509" w:rsidP="0082296B">
            <w:pPr>
              <w:pStyle w:val="TableParagraph"/>
              <w:spacing w:before="80"/>
              <w:ind w:left="391"/>
              <w:rPr>
                <w:rFonts w:eastAsia="Arial" w:cs="Arial"/>
                <w:sz w:val="14"/>
                <w:szCs w:val="14"/>
              </w:rPr>
            </w:pPr>
            <w:r w:rsidRPr="009D658B">
              <w:rPr>
                <w:sz w:val="14"/>
              </w:rPr>
              <w:t>2 137</w:t>
            </w:r>
          </w:p>
        </w:tc>
      </w:tr>
      <w:tr w:rsidR="00EC6509" w:rsidRPr="009D658B" w:rsidTr="007E3194">
        <w:trPr>
          <w:trHeight w:hRule="exact" w:val="178"/>
        </w:trPr>
        <w:tc>
          <w:tcPr>
            <w:tcW w:w="4410" w:type="dxa"/>
            <w:tcBorders>
              <w:top w:val="nil"/>
              <w:left w:val="nil"/>
              <w:bottom w:val="nil"/>
              <w:right w:val="single" w:sz="8" w:space="0" w:color="808080"/>
            </w:tcBorders>
          </w:tcPr>
          <w:p w:rsidR="00EC6509" w:rsidRPr="009D658B" w:rsidRDefault="00EC6509" w:rsidP="0082296B">
            <w:pPr>
              <w:pStyle w:val="TableParagraph"/>
              <w:spacing w:before="33"/>
              <w:ind w:left="290"/>
              <w:rPr>
                <w:rFonts w:eastAsia="Arial" w:cs="Arial"/>
                <w:sz w:val="12"/>
                <w:szCs w:val="12"/>
              </w:rPr>
            </w:pPr>
            <w:proofErr w:type="spellStart"/>
            <w:r w:rsidRPr="009D658B">
              <w:rPr>
                <w:sz w:val="12"/>
              </w:rPr>
              <w:t>Revenus</w:t>
            </w:r>
            <w:proofErr w:type="spellEnd"/>
            <w:r w:rsidRPr="009D658B">
              <w:rPr>
                <w:sz w:val="12"/>
              </w:rPr>
              <w:t xml:space="preserve"> </w:t>
            </w:r>
            <w:proofErr w:type="spellStart"/>
            <w:r w:rsidRPr="009D658B">
              <w:rPr>
                <w:sz w:val="12"/>
              </w:rPr>
              <w:t>d'intérêts</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before="33"/>
              <w:ind w:left="432"/>
              <w:rPr>
                <w:rFonts w:eastAsia="Arial" w:cs="Arial"/>
                <w:sz w:val="12"/>
                <w:szCs w:val="12"/>
              </w:rPr>
            </w:pPr>
            <w:r w:rsidRPr="009D658B">
              <w:rPr>
                <w:sz w:val="12"/>
              </w:rPr>
              <w:t>1 804</w:t>
            </w:r>
          </w:p>
        </w:tc>
        <w:tc>
          <w:tcPr>
            <w:tcW w:w="851" w:type="dxa"/>
            <w:tcBorders>
              <w:top w:val="nil"/>
              <w:left w:val="nil"/>
              <w:bottom w:val="nil"/>
              <w:right w:val="nil"/>
            </w:tcBorders>
          </w:tcPr>
          <w:p w:rsidR="00EC6509" w:rsidRPr="009D658B" w:rsidRDefault="00EC6509" w:rsidP="0082296B">
            <w:pPr>
              <w:pStyle w:val="TableParagraph"/>
              <w:spacing w:before="33"/>
              <w:ind w:left="393"/>
              <w:rPr>
                <w:rFonts w:eastAsia="Arial" w:cs="Arial"/>
                <w:sz w:val="12"/>
                <w:szCs w:val="12"/>
              </w:rPr>
            </w:pPr>
            <w:r w:rsidRPr="009D658B">
              <w:rPr>
                <w:sz w:val="12"/>
              </w:rPr>
              <w:t>1 770</w:t>
            </w:r>
          </w:p>
        </w:tc>
        <w:tc>
          <w:tcPr>
            <w:tcW w:w="851" w:type="dxa"/>
            <w:tcBorders>
              <w:top w:val="nil"/>
              <w:left w:val="nil"/>
              <w:bottom w:val="nil"/>
              <w:right w:val="nil"/>
            </w:tcBorders>
          </w:tcPr>
          <w:p w:rsidR="00EC6509" w:rsidRPr="009D658B" w:rsidRDefault="00EC6509" w:rsidP="0082296B">
            <w:pPr>
              <w:pStyle w:val="TableParagraph"/>
              <w:spacing w:before="33"/>
              <w:ind w:left="392"/>
              <w:rPr>
                <w:rFonts w:eastAsia="Arial" w:cs="Arial"/>
                <w:sz w:val="12"/>
                <w:szCs w:val="12"/>
              </w:rPr>
            </w:pPr>
            <w:r w:rsidRPr="009D658B">
              <w:rPr>
                <w:sz w:val="12"/>
              </w:rPr>
              <w:t>1 725</w:t>
            </w:r>
          </w:p>
        </w:tc>
        <w:tc>
          <w:tcPr>
            <w:tcW w:w="802" w:type="dxa"/>
            <w:tcBorders>
              <w:top w:val="nil"/>
              <w:left w:val="nil"/>
              <w:bottom w:val="nil"/>
              <w:right w:val="nil"/>
            </w:tcBorders>
          </w:tcPr>
          <w:p w:rsidR="00EC6509" w:rsidRPr="009D658B" w:rsidRDefault="00EC6509" w:rsidP="0082296B">
            <w:pPr>
              <w:pStyle w:val="TableParagraph"/>
              <w:spacing w:before="33"/>
              <w:ind w:left="393"/>
              <w:rPr>
                <w:rFonts w:eastAsia="Arial" w:cs="Arial"/>
                <w:sz w:val="12"/>
                <w:szCs w:val="12"/>
              </w:rPr>
            </w:pPr>
            <w:r w:rsidRPr="009D658B">
              <w:rPr>
                <w:sz w:val="12"/>
              </w:rPr>
              <w:t>1 720</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33"/>
              <w:ind w:left="439"/>
              <w:rPr>
                <w:rFonts w:eastAsia="Arial" w:cs="Arial"/>
                <w:sz w:val="12"/>
                <w:szCs w:val="12"/>
              </w:rPr>
            </w:pPr>
            <w:r w:rsidRPr="009D658B">
              <w:rPr>
                <w:sz w:val="12"/>
              </w:rPr>
              <w:t>1 654</w:t>
            </w:r>
          </w:p>
        </w:tc>
        <w:tc>
          <w:tcPr>
            <w:tcW w:w="850" w:type="dxa"/>
            <w:tcBorders>
              <w:top w:val="nil"/>
              <w:left w:val="single" w:sz="4" w:space="0" w:color="000000"/>
              <w:bottom w:val="nil"/>
              <w:right w:val="nil"/>
            </w:tcBorders>
          </w:tcPr>
          <w:p w:rsidR="00EC6509" w:rsidRPr="009D658B" w:rsidRDefault="00EC6509" w:rsidP="0082296B">
            <w:pPr>
              <w:pStyle w:val="TableParagraph"/>
              <w:spacing w:before="33"/>
              <w:ind w:left="439"/>
              <w:rPr>
                <w:rFonts w:eastAsia="Arial" w:cs="Arial"/>
                <w:sz w:val="12"/>
                <w:szCs w:val="12"/>
              </w:rPr>
            </w:pPr>
            <w:r w:rsidRPr="009D658B">
              <w:rPr>
                <w:sz w:val="12"/>
              </w:rPr>
              <w:t>3 654</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33"/>
              <w:ind w:left="441"/>
              <w:rPr>
                <w:rFonts w:eastAsia="Arial" w:cs="Arial"/>
                <w:sz w:val="12"/>
                <w:szCs w:val="12"/>
              </w:rPr>
            </w:pPr>
            <w:r w:rsidRPr="009D658B">
              <w:rPr>
                <w:sz w:val="12"/>
              </w:rPr>
              <w:t>3 375</w:t>
            </w:r>
          </w:p>
        </w:tc>
      </w:tr>
      <w:tr w:rsidR="00EC6509" w:rsidRPr="009D658B" w:rsidTr="007E3194">
        <w:trPr>
          <w:trHeight w:hRule="exact" w:val="171"/>
        </w:trPr>
        <w:tc>
          <w:tcPr>
            <w:tcW w:w="4410" w:type="dxa"/>
            <w:tcBorders>
              <w:top w:val="nil"/>
              <w:left w:val="nil"/>
              <w:bottom w:val="nil"/>
              <w:right w:val="single" w:sz="8" w:space="0" w:color="808080"/>
            </w:tcBorders>
          </w:tcPr>
          <w:p w:rsidR="00EC6509" w:rsidRPr="009D658B" w:rsidRDefault="00EC6509" w:rsidP="0082296B">
            <w:pPr>
              <w:pStyle w:val="TableParagraph"/>
              <w:spacing w:line="132" w:lineRule="exact"/>
              <w:ind w:left="290"/>
              <w:rPr>
                <w:rFonts w:eastAsia="Arial" w:cs="Arial"/>
                <w:sz w:val="12"/>
                <w:szCs w:val="12"/>
              </w:rPr>
            </w:pPr>
            <w:r w:rsidRPr="009D658B">
              <w:rPr>
                <w:sz w:val="12"/>
              </w:rPr>
              <w:t xml:space="preserve">Charges </w:t>
            </w:r>
            <w:proofErr w:type="spellStart"/>
            <w:r w:rsidRPr="009D658B">
              <w:rPr>
                <w:sz w:val="12"/>
              </w:rPr>
              <w:t>d'intérêts</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line="132" w:lineRule="exact"/>
              <w:ind w:left="492"/>
              <w:rPr>
                <w:rFonts w:eastAsia="Arial" w:cs="Arial"/>
                <w:sz w:val="12"/>
                <w:szCs w:val="12"/>
              </w:rPr>
            </w:pPr>
            <w:r w:rsidRPr="009D658B">
              <w:rPr>
                <w:sz w:val="12"/>
              </w:rPr>
              <w:t>-712</w:t>
            </w:r>
          </w:p>
        </w:tc>
        <w:tc>
          <w:tcPr>
            <w:tcW w:w="851" w:type="dxa"/>
            <w:tcBorders>
              <w:top w:val="nil"/>
              <w:left w:val="nil"/>
              <w:bottom w:val="nil"/>
              <w:right w:val="nil"/>
            </w:tcBorders>
          </w:tcPr>
          <w:p w:rsidR="00EC6509" w:rsidRPr="009D658B" w:rsidRDefault="00EC6509" w:rsidP="0082296B">
            <w:pPr>
              <w:pStyle w:val="TableParagraph"/>
              <w:spacing w:line="132" w:lineRule="exact"/>
              <w:ind w:left="453"/>
              <w:rPr>
                <w:rFonts w:eastAsia="Arial" w:cs="Arial"/>
                <w:sz w:val="12"/>
                <w:szCs w:val="12"/>
              </w:rPr>
            </w:pPr>
            <w:r w:rsidRPr="009D658B">
              <w:rPr>
                <w:sz w:val="12"/>
              </w:rPr>
              <w:t>-708</w:t>
            </w:r>
          </w:p>
        </w:tc>
        <w:tc>
          <w:tcPr>
            <w:tcW w:w="851" w:type="dxa"/>
            <w:tcBorders>
              <w:top w:val="nil"/>
              <w:left w:val="nil"/>
              <w:bottom w:val="nil"/>
              <w:right w:val="nil"/>
            </w:tcBorders>
          </w:tcPr>
          <w:p w:rsidR="00EC6509" w:rsidRPr="009D658B" w:rsidRDefault="00EC6509" w:rsidP="0082296B">
            <w:pPr>
              <w:pStyle w:val="TableParagraph"/>
              <w:spacing w:line="132" w:lineRule="exact"/>
              <w:ind w:left="452"/>
              <w:rPr>
                <w:rFonts w:eastAsia="Arial" w:cs="Arial"/>
                <w:sz w:val="12"/>
                <w:szCs w:val="12"/>
              </w:rPr>
            </w:pPr>
            <w:r w:rsidRPr="009D658B">
              <w:rPr>
                <w:sz w:val="12"/>
              </w:rPr>
              <w:t>-659</w:t>
            </w:r>
          </w:p>
        </w:tc>
        <w:tc>
          <w:tcPr>
            <w:tcW w:w="802" w:type="dxa"/>
            <w:tcBorders>
              <w:top w:val="nil"/>
              <w:left w:val="nil"/>
              <w:bottom w:val="nil"/>
              <w:right w:val="nil"/>
            </w:tcBorders>
          </w:tcPr>
          <w:p w:rsidR="00EC6509" w:rsidRPr="009D658B" w:rsidRDefault="00EC6509" w:rsidP="0082296B">
            <w:pPr>
              <w:pStyle w:val="TableParagraph"/>
              <w:spacing w:line="132" w:lineRule="exact"/>
              <w:ind w:left="453"/>
              <w:rPr>
                <w:rFonts w:eastAsia="Arial" w:cs="Arial"/>
                <w:sz w:val="12"/>
                <w:szCs w:val="12"/>
              </w:rPr>
            </w:pPr>
            <w:r w:rsidRPr="009D658B">
              <w:rPr>
                <w:sz w:val="12"/>
              </w:rPr>
              <w:t>-653</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2" w:lineRule="exact"/>
              <w:ind w:left="499"/>
              <w:rPr>
                <w:rFonts w:eastAsia="Arial" w:cs="Arial"/>
                <w:sz w:val="12"/>
                <w:szCs w:val="12"/>
              </w:rPr>
            </w:pPr>
            <w:r w:rsidRPr="009D658B">
              <w:rPr>
                <w:sz w:val="12"/>
              </w:rPr>
              <w:t>-585</w:t>
            </w:r>
          </w:p>
        </w:tc>
        <w:tc>
          <w:tcPr>
            <w:tcW w:w="850" w:type="dxa"/>
            <w:tcBorders>
              <w:top w:val="nil"/>
              <w:left w:val="single" w:sz="4" w:space="0" w:color="000000"/>
              <w:bottom w:val="nil"/>
              <w:right w:val="nil"/>
            </w:tcBorders>
          </w:tcPr>
          <w:p w:rsidR="00EC6509" w:rsidRPr="009D658B" w:rsidRDefault="00EC6509" w:rsidP="0082296B">
            <w:pPr>
              <w:pStyle w:val="TableParagraph"/>
              <w:spacing w:line="132" w:lineRule="exact"/>
              <w:ind w:left="398"/>
              <w:rPr>
                <w:rFonts w:eastAsia="Arial" w:cs="Arial"/>
                <w:sz w:val="12"/>
                <w:szCs w:val="12"/>
              </w:rPr>
            </w:pPr>
            <w:r w:rsidRPr="009D658B">
              <w:rPr>
                <w:sz w:val="12"/>
              </w:rPr>
              <w:t>-1 471</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2" w:lineRule="exact"/>
              <w:ind w:left="400"/>
              <w:rPr>
                <w:rFonts w:eastAsia="Arial" w:cs="Arial"/>
                <w:sz w:val="12"/>
                <w:szCs w:val="12"/>
              </w:rPr>
            </w:pPr>
            <w:r w:rsidRPr="009D658B">
              <w:rPr>
                <w:sz w:val="12"/>
              </w:rPr>
              <w:t>-1 238</w:t>
            </w:r>
          </w:p>
        </w:tc>
      </w:tr>
      <w:tr w:rsidR="00EC6509" w:rsidRPr="009D658B" w:rsidTr="007E3194">
        <w:trPr>
          <w:trHeight w:hRule="exact" w:val="220"/>
        </w:trPr>
        <w:tc>
          <w:tcPr>
            <w:tcW w:w="4410" w:type="dxa"/>
            <w:tcBorders>
              <w:top w:val="nil"/>
              <w:left w:val="nil"/>
              <w:bottom w:val="nil"/>
              <w:right w:val="single" w:sz="8" w:space="0" w:color="808080"/>
            </w:tcBorders>
          </w:tcPr>
          <w:p w:rsidR="00EC6509" w:rsidRPr="009D658B" w:rsidRDefault="00EC6509" w:rsidP="0082296B">
            <w:pPr>
              <w:pStyle w:val="TableParagraph"/>
              <w:spacing w:before="23"/>
              <w:ind w:left="122"/>
              <w:rPr>
                <w:rFonts w:eastAsia="Arial" w:cs="Arial"/>
                <w:sz w:val="14"/>
                <w:szCs w:val="14"/>
                <w:lang w:val="fr-FR"/>
              </w:rPr>
            </w:pPr>
            <w:r w:rsidRPr="009D658B">
              <w:rPr>
                <w:sz w:val="14"/>
                <w:lang w:val="fr-FR"/>
              </w:rPr>
              <w:t>Assurance non-vie (avant réassurance)</w:t>
            </w:r>
          </w:p>
        </w:tc>
        <w:tc>
          <w:tcPr>
            <w:tcW w:w="900" w:type="dxa"/>
            <w:tcBorders>
              <w:top w:val="nil"/>
              <w:left w:val="single" w:sz="8" w:space="0" w:color="808080"/>
              <w:bottom w:val="nil"/>
              <w:right w:val="nil"/>
            </w:tcBorders>
          </w:tcPr>
          <w:p w:rsidR="00EC6509" w:rsidRPr="009D658B" w:rsidRDefault="00EC6509" w:rsidP="0082296B">
            <w:pPr>
              <w:pStyle w:val="TableParagraph"/>
              <w:spacing w:before="23"/>
              <w:ind w:left="499"/>
              <w:rPr>
                <w:rFonts w:eastAsia="Arial" w:cs="Arial"/>
                <w:sz w:val="14"/>
                <w:szCs w:val="14"/>
              </w:rPr>
            </w:pPr>
            <w:r w:rsidRPr="009D658B">
              <w:rPr>
                <w:sz w:val="14"/>
              </w:rPr>
              <w:t>155</w:t>
            </w:r>
          </w:p>
        </w:tc>
        <w:tc>
          <w:tcPr>
            <w:tcW w:w="851" w:type="dxa"/>
            <w:tcBorders>
              <w:top w:val="nil"/>
              <w:left w:val="nil"/>
              <w:bottom w:val="nil"/>
              <w:right w:val="nil"/>
            </w:tcBorders>
          </w:tcPr>
          <w:p w:rsidR="00EC6509" w:rsidRPr="009D658B" w:rsidRDefault="00EC6509" w:rsidP="0082296B">
            <w:pPr>
              <w:pStyle w:val="TableParagraph"/>
              <w:spacing w:before="23"/>
              <w:ind w:left="460"/>
              <w:rPr>
                <w:rFonts w:eastAsia="Arial" w:cs="Arial"/>
                <w:sz w:val="14"/>
                <w:szCs w:val="14"/>
              </w:rPr>
            </w:pPr>
            <w:r w:rsidRPr="009D658B">
              <w:rPr>
                <w:sz w:val="14"/>
              </w:rPr>
              <w:t>142</w:t>
            </w:r>
          </w:p>
        </w:tc>
        <w:tc>
          <w:tcPr>
            <w:tcW w:w="851" w:type="dxa"/>
            <w:tcBorders>
              <w:top w:val="nil"/>
              <w:left w:val="nil"/>
              <w:bottom w:val="nil"/>
              <w:right w:val="nil"/>
            </w:tcBorders>
          </w:tcPr>
          <w:p w:rsidR="00EC6509" w:rsidRPr="009D658B" w:rsidRDefault="00EC6509" w:rsidP="0082296B">
            <w:pPr>
              <w:pStyle w:val="TableParagraph"/>
              <w:spacing w:before="23"/>
              <w:ind w:left="459"/>
              <w:rPr>
                <w:rFonts w:eastAsia="Arial" w:cs="Arial"/>
                <w:sz w:val="14"/>
                <w:szCs w:val="14"/>
              </w:rPr>
            </w:pPr>
            <w:r w:rsidRPr="009D658B">
              <w:rPr>
                <w:sz w:val="14"/>
              </w:rPr>
              <w:t>147</w:t>
            </w:r>
          </w:p>
        </w:tc>
        <w:tc>
          <w:tcPr>
            <w:tcW w:w="802" w:type="dxa"/>
            <w:tcBorders>
              <w:top w:val="nil"/>
              <w:left w:val="nil"/>
              <w:bottom w:val="nil"/>
              <w:right w:val="nil"/>
            </w:tcBorders>
          </w:tcPr>
          <w:p w:rsidR="00EC6509" w:rsidRPr="009D658B" w:rsidRDefault="00EC6509" w:rsidP="0082296B">
            <w:pPr>
              <w:pStyle w:val="TableParagraph"/>
              <w:spacing w:before="23"/>
              <w:ind w:left="461"/>
              <w:rPr>
                <w:rFonts w:eastAsia="Arial" w:cs="Arial"/>
                <w:sz w:val="14"/>
                <w:szCs w:val="14"/>
              </w:rPr>
            </w:pPr>
            <w:r w:rsidRPr="009D658B">
              <w:rPr>
                <w:sz w:val="14"/>
              </w:rPr>
              <w:t>145</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3"/>
              <w:ind w:left="506"/>
              <w:rPr>
                <w:rFonts w:eastAsia="Arial" w:cs="Arial"/>
                <w:sz w:val="14"/>
                <w:szCs w:val="14"/>
              </w:rPr>
            </w:pPr>
            <w:r w:rsidRPr="009D658B">
              <w:rPr>
                <w:sz w:val="14"/>
              </w:rPr>
              <w:t>141</w:t>
            </w:r>
          </w:p>
        </w:tc>
        <w:tc>
          <w:tcPr>
            <w:tcW w:w="850" w:type="dxa"/>
            <w:tcBorders>
              <w:top w:val="nil"/>
              <w:left w:val="single" w:sz="4" w:space="0" w:color="000000"/>
              <w:bottom w:val="nil"/>
              <w:right w:val="nil"/>
            </w:tcBorders>
          </w:tcPr>
          <w:p w:rsidR="00EC6509" w:rsidRPr="009D658B" w:rsidRDefault="00EC6509" w:rsidP="0082296B">
            <w:pPr>
              <w:pStyle w:val="TableParagraph"/>
              <w:spacing w:before="23"/>
              <w:ind w:left="506"/>
              <w:rPr>
                <w:rFonts w:eastAsia="Arial" w:cs="Arial"/>
                <w:sz w:val="14"/>
                <w:szCs w:val="14"/>
              </w:rPr>
            </w:pPr>
            <w:r w:rsidRPr="009D658B">
              <w:rPr>
                <w:sz w:val="14"/>
              </w:rPr>
              <w:t>322</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3"/>
              <w:ind w:left="508"/>
              <w:rPr>
                <w:rFonts w:eastAsia="Arial" w:cs="Arial"/>
                <w:sz w:val="14"/>
                <w:szCs w:val="14"/>
              </w:rPr>
            </w:pPr>
            <w:r w:rsidRPr="009D658B">
              <w:rPr>
                <w:sz w:val="14"/>
              </w:rPr>
              <w:t>286</w:t>
            </w:r>
          </w:p>
        </w:tc>
      </w:tr>
      <w:tr w:rsidR="00EC6509" w:rsidRPr="009D658B" w:rsidTr="007E3194">
        <w:trPr>
          <w:trHeight w:hRule="exact" w:val="169"/>
        </w:trPr>
        <w:tc>
          <w:tcPr>
            <w:tcW w:w="4410" w:type="dxa"/>
            <w:tcBorders>
              <w:top w:val="nil"/>
              <w:left w:val="nil"/>
              <w:bottom w:val="nil"/>
              <w:right w:val="single" w:sz="8" w:space="0" w:color="808080"/>
            </w:tcBorders>
          </w:tcPr>
          <w:p w:rsidR="00EC6509" w:rsidRPr="009D658B" w:rsidRDefault="00EC6509" w:rsidP="0082296B">
            <w:pPr>
              <w:pStyle w:val="TableParagraph"/>
              <w:spacing w:before="23"/>
              <w:ind w:left="274"/>
              <w:rPr>
                <w:rFonts w:eastAsia="Arial" w:cs="Arial"/>
                <w:sz w:val="12"/>
                <w:szCs w:val="12"/>
              </w:rPr>
            </w:pPr>
            <w:r w:rsidRPr="009D658B">
              <w:rPr>
                <w:i/>
                <w:sz w:val="12"/>
              </w:rPr>
              <w:t xml:space="preserve">Primes </w:t>
            </w:r>
            <w:proofErr w:type="spellStart"/>
            <w:r w:rsidRPr="009D658B">
              <w:rPr>
                <w:i/>
                <w:sz w:val="12"/>
              </w:rPr>
              <w:t>acquises</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before="23"/>
              <w:ind w:left="533"/>
              <w:rPr>
                <w:rFonts w:eastAsia="Arial" w:cs="Arial"/>
                <w:sz w:val="12"/>
                <w:szCs w:val="12"/>
              </w:rPr>
            </w:pPr>
            <w:r w:rsidRPr="009D658B">
              <w:rPr>
                <w:i/>
                <w:sz w:val="12"/>
              </w:rPr>
              <w:t>326</w:t>
            </w:r>
          </w:p>
        </w:tc>
        <w:tc>
          <w:tcPr>
            <w:tcW w:w="851" w:type="dxa"/>
            <w:tcBorders>
              <w:top w:val="nil"/>
              <w:left w:val="nil"/>
              <w:bottom w:val="nil"/>
              <w:right w:val="nil"/>
            </w:tcBorders>
          </w:tcPr>
          <w:p w:rsidR="00EC6509" w:rsidRPr="009D658B" w:rsidRDefault="00EC6509" w:rsidP="0082296B">
            <w:pPr>
              <w:pStyle w:val="TableParagraph"/>
              <w:spacing w:before="23"/>
              <w:ind w:left="494"/>
              <w:rPr>
                <w:rFonts w:eastAsia="Arial" w:cs="Arial"/>
                <w:sz w:val="12"/>
                <w:szCs w:val="12"/>
              </w:rPr>
            </w:pPr>
            <w:r w:rsidRPr="009D658B">
              <w:rPr>
                <w:i/>
                <w:sz w:val="12"/>
              </w:rPr>
              <w:t>335</w:t>
            </w:r>
          </w:p>
        </w:tc>
        <w:tc>
          <w:tcPr>
            <w:tcW w:w="851" w:type="dxa"/>
            <w:tcBorders>
              <w:top w:val="nil"/>
              <w:left w:val="nil"/>
              <w:bottom w:val="nil"/>
              <w:right w:val="nil"/>
            </w:tcBorders>
          </w:tcPr>
          <w:p w:rsidR="00EC6509" w:rsidRPr="009D658B" w:rsidRDefault="00EC6509" w:rsidP="0082296B">
            <w:pPr>
              <w:pStyle w:val="TableParagraph"/>
              <w:spacing w:before="23"/>
              <w:ind w:left="493"/>
              <w:rPr>
                <w:rFonts w:eastAsia="Arial" w:cs="Arial"/>
                <w:sz w:val="12"/>
                <w:szCs w:val="12"/>
              </w:rPr>
            </w:pPr>
            <w:r w:rsidRPr="009D658B">
              <w:rPr>
                <w:i/>
                <w:sz w:val="12"/>
              </w:rPr>
              <w:t>338</w:t>
            </w:r>
          </w:p>
        </w:tc>
        <w:tc>
          <w:tcPr>
            <w:tcW w:w="802" w:type="dxa"/>
            <w:tcBorders>
              <w:top w:val="nil"/>
              <w:left w:val="nil"/>
              <w:bottom w:val="nil"/>
              <w:right w:val="nil"/>
            </w:tcBorders>
          </w:tcPr>
          <w:p w:rsidR="00EC6509" w:rsidRPr="009D658B" w:rsidRDefault="00EC6509" w:rsidP="0082296B">
            <w:pPr>
              <w:pStyle w:val="TableParagraph"/>
              <w:spacing w:before="23"/>
              <w:ind w:left="494"/>
              <w:rPr>
                <w:rFonts w:eastAsia="Arial" w:cs="Arial"/>
                <w:sz w:val="12"/>
                <w:szCs w:val="12"/>
              </w:rPr>
            </w:pPr>
            <w:r w:rsidRPr="009D658B">
              <w:rPr>
                <w:i/>
                <w:sz w:val="12"/>
              </w:rPr>
              <w:t>341</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3"/>
              <w:ind w:left="540"/>
              <w:rPr>
                <w:rFonts w:eastAsia="Arial" w:cs="Arial"/>
                <w:sz w:val="12"/>
                <w:szCs w:val="12"/>
              </w:rPr>
            </w:pPr>
            <w:r w:rsidRPr="009D658B">
              <w:rPr>
                <w:i/>
                <w:sz w:val="12"/>
              </w:rPr>
              <w:t>349</w:t>
            </w:r>
          </w:p>
        </w:tc>
        <w:tc>
          <w:tcPr>
            <w:tcW w:w="850" w:type="dxa"/>
            <w:tcBorders>
              <w:top w:val="nil"/>
              <w:left w:val="single" w:sz="4" w:space="0" w:color="000000"/>
              <w:bottom w:val="nil"/>
              <w:right w:val="nil"/>
            </w:tcBorders>
          </w:tcPr>
          <w:p w:rsidR="00EC6509" w:rsidRPr="009D658B" w:rsidRDefault="00EC6509" w:rsidP="0082296B">
            <w:pPr>
              <w:pStyle w:val="TableParagraph"/>
              <w:spacing w:before="23"/>
              <w:ind w:left="540"/>
              <w:rPr>
                <w:rFonts w:eastAsia="Arial" w:cs="Arial"/>
                <w:sz w:val="12"/>
                <w:szCs w:val="12"/>
              </w:rPr>
            </w:pPr>
            <w:r w:rsidRPr="009D658B">
              <w:rPr>
                <w:i/>
                <w:sz w:val="12"/>
              </w:rPr>
              <w:t>646</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3"/>
              <w:ind w:left="542"/>
              <w:rPr>
                <w:rFonts w:eastAsia="Arial" w:cs="Arial"/>
                <w:sz w:val="12"/>
                <w:szCs w:val="12"/>
              </w:rPr>
            </w:pPr>
            <w:r w:rsidRPr="009D658B">
              <w:rPr>
                <w:i/>
                <w:sz w:val="12"/>
              </w:rPr>
              <w:t>690</w:t>
            </w:r>
          </w:p>
        </w:tc>
      </w:tr>
      <w:tr w:rsidR="00EC6509" w:rsidRPr="009D658B" w:rsidTr="007E3194">
        <w:trPr>
          <w:trHeight w:hRule="exact" w:val="171"/>
        </w:trPr>
        <w:tc>
          <w:tcPr>
            <w:tcW w:w="4410" w:type="dxa"/>
            <w:tcBorders>
              <w:top w:val="nil"/>
              <w:left w:val="nil"/>
              <w:bottom w:val="nil"/>
              <w:right w:val="single" w:sz="8" w:space="0" w:color="808080"/>
            </w:tcBorders>
          </w:tcPr>
          <w:p w:rsidR="00EC6509" w:rsidRPr="009D658B" w:rsidRDefault="00EC6509" w:rsidP="0082296B">
            <w:pPr>
              <w:pStyle w:val="TableParagraph"/>
              <w:spacing w:line="132" w:lineRule="exact"/>
              <w:ind w:left="274"/>
              <w:rPr>
                <w:rFonts w:eastAsia="Arial" w:cs="Arial"/>
                <w:sz w:val="12"/>
                <w:szCs w:val="12"/>
              </w:rPr>
            </w:pPr>
            <w:r w:rsidRPr="009D658B">
              <w:rPr>
                <w:i/>
                <w:sz w:val="12"/>
              </w:rPr>
              <w:t>Charges techniques</w:t>
            </w:r>
          </w:p>
        </w:tc>
        <w:tc>
          <w:tcPr>
            <w:tcW w:w="900" w:type="dxa"/>
            <w:tcBorders>
              <w:top w:val="nil"/>
              <w:left w:val="single" w:sz="8" w:space="0" w:color="808080"/>
              <w:bottom w:val="nil"/>
              <w:right w:val="nil"/>
            </w:tcBorders>
          </w:tcPr>
          <w:p w:rsidR="00EC6509" w:rsidRPr="009D658B" w:rsidRDefault="00EC6509" w:rsidP="0082296B">
            <w:pPr>
              <w:pStyle w:val="TableParagraph"/>
              <w:spacing w:line="132" w:lineRule="exact"/>
              <w:ind w:left="492"/>
              <w:rPr>
                <w:rFonts w:eastAsia="Arial" w:cs="Arial"/>
                <w:sz w:val="12"/>
                <w:szCs w:val="12"/>
              </w:rPr>
            </w:pPr>
            <w:r w:rsidRPr="009D658B">
              <w:rPr>
                <w:i/>
                <w:sz w:val="12"/>
              </w:rPr>
              <w:t>-172</w:t>
            </w:r>
          </w:p>
        </w:tc>
        <w:tc>
          <w:tcPr>
            <w:tcW w:w="851" w:type="dxa"/>
            <w:tcBorders>
              <w:top w:val="nil"/>
              <w:left w:val="nil"/>
              <w:bottom w:val="nil"/>
              <w:right w:val="nil"/>
            </w:tcBorders>
          </w:tcPr>
          <w:p w:rsidR="00EC6509" w:rsidRPr="009D658B" w:rsidRDefault="00EC6509" w:rsidP="0082296B">
            <w:pPr>
              <w:pStyle w:val="TableParagraph"/>
              <w:spacing w:line="132" w:lineRule="exact"/>
              <w:ind w:left="453"/>
              <w:rPr>
                <w:rFonts w:eastAsia="Arial" w:cs="Arial"/>
                <w:sz w:val="12"/>
                <w:szCs w:val="12"/>
              </w:rPr>
            </w:pPr>
            <w:r w:rsidRPr="009D658B">
              <w:rPr>
                <w:i/>
                <w:sz w:val="12"/>
              </w:rPr>
              <w:t>-193</w:t>
            </w:r>
          </w:p>
        </w:tc>
        <w:tc>
          <w:tcPr>
            <w:tcW w:w="851" w:type="dxa"/>
            <w:tcBorders>
              <w:top w:val="nil"/>
              <w:left w:val="nil"/>
              <w:bottom w:val="nil"/>
              <w:right w:val="nil"/>
            </w:tcBorders>
          </w:tcPr>
          <w:p w:rsidR="00EC6509" w:rsidRPr="009D658B" w:rsidRDefault="00EC6509" w:rsidP="0082296B">
            <w:pPr>
              <w:pStyle w:val="TableParagraph"/>
              <w:spacing w:line="132" w:lineRule="exact"/>
              <w:ind w:left="452"/>
              <w:rPr>
                <w:rFonts w:eastAsia="Arial" w:cs="Arial"/>
                <w:sz w:val="12"/>
                <w:szCs w:val="12"/>
              </w:rPr>
            </w:pPr>
            <w:r w:rsidRPr="009D658B">
              <w:rPr>
                <w:i/>
                <w:sz w:val="12"/>
              </w:rPr>
              <w:t>-191</w:t>
            </w:r>
          </w:p>
        </w:tc>
        <w:tc>
          <w:tcPr>
            <w:tcW w:w="802" w:type="dxa"/>
            <w:tcBorders>
              <w:top w:val="nil"/>
              <w:left w:val="nil"/>
              <w:bottom w:val="nil"/>
              <w:right w:val="nil"/>
            </w:tcBorders>
          </w:tcPr>
          <w:p w:rsidR="00EC6509" w:rsidRPr="009D658B" w:rsidRDefault="00EC6509" w:rsidP="0082296B">
            <w:pPr>
              <w:pStyle w:val="TableParagraph"/>
              <w:spacing w:line="132" w:lineRule="exact"/>
              <w:ind w:left="453"/>
              <w:rPr>
                <w:rFonts w:eastAsia="Arial" w:cs="Arial"/>
                <w:sz w:val="12"/>
                <w:szCs w:val="12"/>
              </w:rPr>
            </w:pPr>
            <w:r w:rsidRPr="009D658B">
              <w:rPr>
                <w:i/>
                <w:sz w:val="12"/>
              </w:rPr>
              <w:t>-196</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2" w:lineRule="exact"/>
              <w:ind w:left="499"/>
              <w:rPr>
                <w:rFonts w:eastAsia="Arial" w:cs="Arial"/>
                <w:sz w:val="12"/>
                <w:szCs w:val="12"/>
              </w:rPr>
            </w:pPr>
            <w:r w:rsidRPr="009D658B">
              <w:rPr>
                <w:i/>
                <w:sz w:val="12"/>
              </w:rPr>
              <w:t>-208</w:t>
            </w:r>
          </w:p>
        </w:tc>
        <w:tc>
          <w:tcPr>
            <w:tcW w:w="850" w:type="dxa"/>
            <w:tcBorders>
              <w:top w:val="nil"/>
              <w:left w:val="single" w:sz="4" w:space="0" w:color="000000"/>
              <w:bottom w:val="nil"/>
              <w:right w:val="nil"/>
            </w:tcBorders>
          </w:tcPr>
          <w:p w:rsidR="00EC6509" w:rsidRPr="009D658B" w:rsidRDefault="00EC6509" w:rsidP="0082296B">
            <w:pPr>
              <w:pStyle w:val="TableParagraph"/>
              <w:spacing w:line="132" w:lineRule="exact"/>
              <w:ind w:left="499"/>
              <w:rPr>
                <w:rFonts w:eastAsia="Arial" w:cs="Arial"/>
                <w:sz w:val="12"/>
                <w:szCs w:val="12"/>
              </w:rPr>
            </w:pPr>
            <w:r w:rsidRPr="009D658B">
              <w:rPr>
                <w:i/>
                <w:sz w:val="12"/>
              </w:rPr>
              <w:t>-324</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2" w:lineRule="exact"/>
              <w:ind w:left="501"/>
              <w:rPr>
                <w:rFonts w:eastAsia="Arial" w:cs="Arial"/>
                <w:sz w:val="12"/>
                <w:szCs w:val="12"/>
              </w:rPr>
            </w:pPr>
            <w:r w:rsidRPr="009D658B">
              <w:rPr>
                <w:i/>
                <w:sz w:val="12"/>
              </w:rPr>
              <w:t>-404</w:t>
            </w:r>
          </w:p>
        </w:tc>
      </w:tr>
      <w:tr w:rsidR="00EC6509" w:rsidRPr="009D658B" w:rsidTr="007E3194">
        <w:trPr>
          <w:trHeight w:hRule="exact" w:val="221"/>
        </w:trPr>
        <w:tc>
          <w:tcPr>
            <w:tcW w:w="4410" w:type="dxa"/>
            <w:tcBorders>
              <w:top w:val="nil"/>
              <w:left w:val="nil"/>
              <w:bottom w:val="nil"/>
              <w:right w:val="single" w:sz="8" w:space="0" w:color="808080"/>
            </w:tcBorders>
          </w:tcPr>
          <w:p w:rsidR="00EC6509" w:rsidRPr="009D658B" w:rsidRDefault="00EC6509" w:rsidP="0082296B">
            <w:pPr>
              <w:pStyle w:val="TableParagraph"/>
              <w:spacing w:before="23"/>
              <w:ind w:left="122"/>
              <w:rPr>
                <w:rFonts w:eastAsia="Arial" w:cs="Arial"/>
                <w:sz w:val="14"/>
                <w:szCs w:val="14"/>
              </w:rPr>
            </w:pPr>
            <w:r w:rsidRPr="009D658B">
              <w:rPr>
                <w:sz w:val="14"/>
              </w:rPr>
              <w:t>Assurance vie (</w:t>
            </w:r>
            <w:proofErr w:type="spellStart"/>
            <w:r w:rsidRPr="009D658B">
              <w:rPr>
                <w:sz w:val="14"/>
              </w:rPr>
              <w:t>avant</w:t>
            </w:r>
            <w:proofErr w:type="spellEnd"/>
            <w:r w:rsidRPr="009D658B">
              <w:rPr>
                <w:sz w:val="14"/>
              </w:rPr>
              <w:t xml:space="preserve"> </w:t>
            </w:r>
            <w:proofErr w:type="spellStart"/>
            <w:r w:rsidRPr="009D658B">
              <w:rPr>
                <w:sz w:val="14"/>
              </w:rPr>
              <w:t>réassurance</w:t>
            </w:r>
            <w:proofErr w:type="spellEnd"/>
            <w:r w:rsidRPr="009D658B">
              <w:rPr>
                <w:sz w:val="14"/>
              </w:rPr>
              <w:t>)</w:t>
            </w:r>
          </w:p>
        </w:tc>
        <w:tc>
          <w:tcPr>
            <w:tcW w:w="900" w:type="dxa"/>
            <w:tcBorders>
              <w:top w:val="nil"/>
              <w:left w:val="single" w:sz="8" w:space="0" w:color="808080"/>
              <w:bottom w:val="nil"/>
              <w:right w:val="nil"/>
            </w:tcBorders>
          </w:tcPr>
          <w:p w:rsidR="00EC6509" w:rsidRPr="009D658B" w:rsidRDefault="00EC6509" w:rsidP="0082296B">
            <w:pPr>
              <w:pStyle w:val="TableParagraph"/>
              <w:spacing w:before="23"/>
              <w:ind w:left="530"/>
              <w:rPr>
                <w:rFonts w:eastAsia="Arial" w:cs="Arial"/>
                <w:sz w:val="14"/>
                <w:szCs w:val="14"/>
              </w:rPr>
            </w:pPr>
            <w:r w:rsidRPr="009D658B">
              <w:rPr>
                <w:sz w:val="14"/>
              </w:rPr>
              <w:t>-51</w:t>
            </w:r>
          </w:p>
        </w:tc>
        <w:tc>
          <w:tcPr>
            <w:tcW w:w="851" w:type="dxa"/>
            <w:tcBorders>
              <w:top w:val="nil"/>
              <w:left w:val="nil"/>
              <w:bottom w:val="nil"/>
              <w:right w:val="nil"/>
            </w:tcBorders>
          </w:tcPr>
          <w:p w:rsidR="00EC6509" w:rsidRPr="009D658B" w:rsidRDefault="00EC6509" w:rsidP="0082296B">
            <w:pPr>
              <w:pStyle w:val="TableParagraph"/>
              <w:spacing w:before="23"/>
              <w:ind w:left="491"/>
              <w:rPr>
                <w:rFonts w:eastAsia="Arial" w:cs="Arial"/>
                <w:sz w:val="14"/>
                <w:szCs w:val="14"/>
              </w:rPr>
            </w:pPr>
            <w:r w:rsidRPr="009D658B">
              <w:rPr>
                <w:sz w:val="14"/>
              </w:rPr>
              <w:t>-51</w:t>
            </w:r>
          </w:p>
        </w:tc>
        <w:tc>
          <w:tcPr>
            <w:tcW w:w="851" w:type="dxa"/>
            <w:tcBorders>
              <w:top w:val="nil"/>
              <w:left w:val="nil"/>
              <w:bottom w:val="nil"/>
              <w:right w:val="nil"/>
            </w:tcBorders>
          </w:tcPr>
          <w:p w:rsidR="00EC6509" w:rsidRPr="009D658B" w:rsidRDefault="00EC6509" w:rsidP="0082296B">
            <w:pPr>
              <w:pStyle w:val="TableParagraph"/>
              <w:spacing w:before="23"/>
              <w:ind w:left="490"/>
              <w:rPr>
                <w:rFonts w:eastAsia="Arial" w:cs="Arial"/>
                <w:sz w:val="14"/>
                <w:szCs w:val="14"/>
              </w:rPr>
            </w:pPr>
            <w:r w:rsidRPr="009D658B">
              <w:rPr>
                <w:sz w:val="14"/>
              </w:rPr>
              <w:t>-51</w:t>
            </w:r>
          </w:p>
        </w:tc>
        <w:tc>
          <w:tcPr>
            <w:tcW w:w="802" w:type="dxa"/>
            <w:tcBorders>
              <w:top w:val="nil"/>
              <w:left w:val="nil"/>
              <w:bottom w:val="nil"/>
              <w:right w:val="nil"/>
            </w:tcBorders>
          </w:tcPr>
          <w:p w:rsidR="00EC6509" w:rsidRPr="009D658B" w:rsidRDefault="00EC6509" w:rsidP="0082296B">
            <w:pPr>
              <w:pStyle w:val="TableParagraph"/>
              <w:spacing w:before="23"/>
              <w:ind w:left="492"/>
              <w:rPr>
                <w:rFonts w:eastAsia="Arial" w:cs="Arial"/>
                <w:sz w:val="14"/>
                <w:szCs w:val="14"/>
              </w:rPr>
            </w:pPr>
            <w:r w:rsidRPr="009D658B">
              <w:rPr>
                <w:sz w:val="14"/>
              </w:rPr>
              <w:t>-35</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3"/>
              <w:ind w:left="537"/>
              <w:rPr>
                <w:rFonts w:eastAsia="Arial" w:cs="Arial"/>
                <w:sz w:val="14"/>
                <w:szCs w:val="14"/>
              </w:rPr>
            </w:pPr>
            <w:r w:rsidRPr="009D658B">
              <w:rPr>
                <w:sz w:val="14"/>
              </w:rPr>
              <w:t>-38</w:t>
            </w:r>
          </w:p>
        </w:tc>
        <w:tc>
          <w:tcPr>
            <w:tcW w:w="850" w:type="dxa"/>
            <w:tcBorders>
              <w:top w:val="nil"/>
              <w:left w:val="single" w:sz="4" w:space="0" w:color="000000"/>
              <w:bottom w:val="nil"/>
              <w:right w:val="nil"/>
            </w:tcBorders>
          </w:tcPr>
          <w:p w:rsidR="00EC6509" w:rsidRPr="009D658B" w:rsidRDefault="00EC6509" w:rsidP="0082296B">
            <w:pPr>
              <w:pStyle w:val="TableParagraph"/>
              <w:spacing w:before="23"/>
              <w:ind w:left="537"/>
              <w:rPr>
                <w:rFonts w:eastAsia="Arial" w:cs="Arial"/>
                <w:sz w:val="14"/>
                <w:szCs w:val="14"/>
              </w:rPr>
            </w:pPr>
            <w:r w:rsidRPr="009D658B">
              <w:rPr>
                <w:sz w:val="14"/>
              </w:rPr>
              <w:t>-99</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3"/>
              <w:ind w:left="540"/>
              <w:rPr>
                <w:rFonts w:eastAsia="Arial" w:cs="Arial"/>
                <w:sz w:val="14"/>
                <w:szCs w:val="14"/>
              </w:rPr>
            </w:pPr>
            <w:r w:rsidRPr="009D658B">
              <w:rPr>
                <w:sz w:val="14"/>
              </w:rPr>
              <w:t>-73</w:t>
            </w:r>
          </w:p>
        </w:tc>
      </w:tr>
      <w:tr w:rsidR="00EC6509" w:rsidRPr="009D658B" w:rsidTr="007E3194">
        <w:trPr>
          <w:trHeight w:hRule="exact" w:val="169"/>
        </w:trPr>
        <w:tc>
          <w:tcPr>
            <w:tcW w:w="4410" w:type="dxa"/>
            <w:tcBorders>
              <w:top w:val="nil"/>
              <w:left w:val="nil"/>
              <w:bottom w:val="nil"/>
              <w:right w:val="single" w:sz="8" w:space="0" w:color="808080"/>
            </w:tcBorders>
          </w:tcPr>
          <w:p w:rsidR="00EC6509" w:rsidRPr="009D658B" w:rsidRDefault="00EC6509" w:rsidP="0082296B">
            <w:pPr>
              <w:pStyle w:val="TableParagraph"/>
              <w:spacing w:before="25"/>
              <w:ind w:left="274"/>
              <w:rPr>
                <w:rFonts w:eastAsia="Arial" w:cs="Arial"/>
                <w:sz w:val="12"/>
                <w:szCs w:val="12"/>
              </w:rPr>
            </w:pPr>
            <w:r w:rsidRPr="009D658B">
              <w:rPr>
                <w:i/>
                <w:sz w:val="12"/>
              </w:rPr>
              <w:t xml:space="preserve">Primes </w:t>
            </w:r>
            <w:proofErr w:type="spellStart"/>
            <w:r w:rsidRPr="009D658B">
              <w:rPr>
                <w:i/>
                <w:sz w:val="12"/>
              </w:rPr>
              <w:t>acquises</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before="25"/>
              <w:ind w:left="533"/>
              <w:rPr>
                <w:rFonts w:eastAsia="Arial" w:cs="Arial"/>
                <w:sz w:val="12"/>
                <w:szCs w:val="12"/>
              </w:rPr>
            </w:pPr>
            <w:r w:rsidRPr="009D658B">
              <w:rPr>
                <w:i/>
                <w:sz w:val="12"/>
              </w:rPr>
              <w:t>265</w:t>
            </w:r>
          </w:p>
        </w:tc>
        <w:tc>
          <w:tcPr>
            <w:tcW w:w="851" w:type="dxa"/>
            <w:tcBorders>
              <w:top w:val="nil"/>
              <w:left w:val="nil"/>
              <w:bottom w:val="nil"/>
              <w:right w:val="nil"/>
            </w:tcBorders>
          </w:tcPr>
          <w:p w:rsidR="00EC6509" w:rsidRPr="009D658B" w:rsidRDefault="00EC6509" w:rsidP="0082296B">
            <w:pPr>
              <w:pStyle w:val="TableParagraph"/>
              <w:spacing w:before="25"/>
              <w:ind w:left="494"/>
              <w:rPr>
                <w:rFonts w:eastAsia="Arial" w:cs="Arial"/>
                <w:sz w:val="12"/>
                <w:szCs w:val="12"/>
              </w:rPr>
            </w:pPr>
            <w:r w:rsidRPr="009D658B">
              <w:rPr>
                <w:i/>
                <w:sz w:val="12"/>
              </w:rPr>
              <w:t>289</w:t>
            </w:r>
          </w:p>
        </w:tc>
        <w:tc>
          <w:tcPr>
            <w:tcW w:w="851" w:type="dxa"/>
            <w:tcBorders>
              <w:top w:val="nil"/>
              <w:left w:val="nil"/>
              <w:bottom w:val="nil"/>
              <w:right w:val="nil"/>
            </w:tcBorders>
          </w:tcPr>
          <w:p w:rsidR="00EC6509" w:rsidRPr="009D658B" w:rsidRDefault="00EC6509" w:rsidP="0082296B">
            <w:pPr>
              <w:pStyle w:val="TableParagraph"/>
              <w:spacing w:before="25"/>
              <w:ind w:left="493"/>
              <w:rPr>
                <w:rFonts w:eastAsia="Arial" w:cs="Arial"/>
                <w:sz w:val="12"/>
                <w:szCs w:val="12"/>
              </w:rPr>
            </w:pPr>
            <w:r w:rsidRPr="009D658B">
              <w:rPr>
                <w:i/>
                <w:sz w:val="12"/>
              </w:rPr>
              <w:t>445</w:t>
            </w:r>
          </w:p>
        </w:tc>
        <w:tc>
          <w:tcPr>
            <w:tcW w:w="802" w:type="dxa"/>
            <w:tcBorders>
              <w:top w:val="nil"/>
              <w:left w:val="nil"/>
              <w:bottom w:val="nil"/>
              <w:right w:val="nil"/>
            </w:tcBorders>
          </w:tcPr>
          <w:p w:rsidR="00EC6509" w:rsidRPr="009D658B" w:rsidRDefault="00EC6509" w:rsidP="0082296B">
            <w:pPr>
              <w:pStyle w:val="TableParagraph"/>
              <w:spacing w:before="25"/>
              <w:ind w:left="494"/>
              <w:rPr>
                <w:rFonts w:eastAsia="Arial" w:cs="Arial"/>
                <w:sz w:val="12"/>
                <w:szCs w:val="12"/>
              </w:rPr>
            </w:pPr>
            <w:r w:rsidRPr="009D658B">
              <w:rPr>
                <w:i/>
                <w:sz w:val="12"/>
              </w:rPr>
              <w:t>426</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5"/>
              <w:ind w:left="540"/>
              <w:rPr>
                <w:rFonts w:eastAsia="Arial" w:cs="Arial"/>
                <w:sz w:val="12"/>
                <w:szCs w:val="12"/>
              </w:rPr>
            </w:pPr>
            <w:r w:rsidRPr="009D658B">
              <w:rPr>
                <w:i/>
                <w:sz w:val="12"/>
              </w:rPr>
              <w:t>402</w:t>
            </w:r>
          </w:p>
        </w:tc>
        <w:tc>
          <w:tcPr>
            <w:tcW w:w="850" w:type="dxa"/>
            <w:tcBorders>
              <w:top w:val="nil"/>
              <w:left w:val="single" w:sz="4" w:space="0" w:color="000000"/>
              <w:bottom w:val="nil"/>
              <w:right w:val="nil"/>
            </w:tcBorders>
          </w:tcPr>
          <w:p w:rsidR="00EC6509" w:rsidRPr="009D658B" w:rsidRDefault="00EC6509" w:rsidP="0082296B">
            <w:pPr>
              <w:pStyle w:val="TableParagraph"/>
              <w:spacing w:before="25"/>
              <w:ind w:left="540"/>
              <w:rPr>
                <w:rFonts w:eastAsia="Arial" w:cs="Arial"/>
                <w:sz w:val="12"/>
                <w:szCs w:val="12"/>
              </w:rPr>
            </w:pPr>
            <w:r w:rsidRPr="009D658B">
              <w:rPr>
                <w:i/>
                <w:sz w:val="12"/>
              </w:rPr>
              <w:t>567</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5"/>
              <w:ind w:left="542"/>
              <w:rPr>
                <w:rFonts w:eastAsia="Arial" w:cs="Arial"/>
                <w:sz w:val="12"/>
                <w:szCs w:val="12"/>
              </w:rPr>
            </w:pPr>
            <w:r w:rsidRPr="009D658B">
              <w:rPr>
                <w:i/>
                <w:sz w:val="12"/>
              </w:rPr>
              <w:t>827</w:t>
            </w:r>
          </w:p>
        </w:tc>
      </w:tr>
      <w:tr w:rsidR="00EC6509" w:rsidRPr="009D658B" w:rsidTr="007E3194">
        <w:trPr>
          <w:trHeight w:hRule="exact" w:val="170"/>
        </w:trPr>
        <w:tc>
          <w:tcPr>
            <w:tcW w:w="4410" w:type="dxa"/>
            <w:tcBorders>
              <w:top w:val="nil"/>
              <w:left w:val="nil"/>
              <w:bottom w:val="nil"/>
              <w:right w:val="single" w:sz="8" w:space="0" w:color="808080"/>
            </w:tcBorders>
          </w:tcPr>
          <w:p w:rsidR="00EC6509" w:rsidRPr="009D658B" w:rsidRDefault="00EC6509" w:rsidP="0082296B">
            <w:pPr>
              <w:pStyle w:val="TableParagraph"/>
              <w:spacing w:line="131" w:lineRule="exact"/>
              <w:ind w:left="274"/>
              <w:rPr>
                <w:rFonts w:eastAsia="Arial" w:cs="Arial"/>
                <w:sz w:val="12"/>
                <w:szCs w:val="12"/>
              </w:rPr>
            </w:pPr>
            <w:r w:rsidRPr="009D658B">
              <w:rPr>
                <w:i/>
                <w:sz w:val="12"/>
              </w:rPr>
              <w:t>Charges techniques</w:t>
            </w:r>
          </w:p>
        </w:tc>
        <w:tc>
          <w:tcPr>
            <w:tcW w:w="900" w:type="dxa"/>
            <w:tcBorders>
              <w:top w:val="nil"/>
              <w:left w:val="single" w:sz="8" w:space="0" w:color="808080"/>
              <w:bottom w:val="nil"/>
              <w:right w:val="nil"/>
            </w:tcBorders>
          </w:tcPr>
          <w:p w:rsidR="00EC6509" w:rsidRPr="009D658B" w:rsidRDefault="00EC6509" w:rsidP="0082296B">
            <w:pPr>
              <w:pStyle w:val="TableParagraph"/>
              <w:spacing w:line="131" w:lineRule="exact"/>
              <w:ind w:left="492"/>
              <w:rPr>
                <w:rFonts w:eastAsia="Arial" w:cs="Arial"/>
                <w:sz w:val="12"/>
                <w:szCs w:val="12"/>
              </w:rPr>
            </w:pPr>
            <w:r w:rsidRPr="009D658B">
              <w:rPr>
                <w:i/>
                <w:sz w:val="12"/>
              </w:rPr>
              <w:t>-316</w:t>
            </w:r>
          </w:p>
        </w:tc>
        <w:tc>
          <w:tcPr>
            <w:tcW w:w="851" w:type="dxa"/>
            <w:tcBorders>
              <w:top w:val="nil"/>
              <w:left w:val="nil"/>
              <w:bottom w:val="nil"/>
              <w:right w:val="nil"/>
            </w:tcBorders>
          </w:tcPr>
          <w:p w:rsidR="00EC6509" w:rsidRPr="009D658B" w:rsidRDefault="00EC6509" w:rsidP="0082296B">
            <w:pPr>
              <w:pStyle w:val="TableParagraph"/>
              <w:spacing w:line="131" w:lineRule="exact"/>
              <w:ind w:left="453"/>
              <w:rPr>
                <w:rFonts w:eastAsia="Arial" w:cs="Arial"/>
                <w:sz w:val="12"/>
                <w:szCs w:val="12"/>
              </w:rPr>
            </w:pPr>
            <w:r w:rsidRPr="009D658B">
              <w:rPr>
                <w:i/>
                <w:sz w:val="12"/>
              </w:rPr>
              <w:t>-340</w:t>
            </w:r>
          </w:p>
        </w:tc>
        <w:tc>
          <w:tcPr>
            <w:tcW w:w="851" w:type="dxa"/>
            <w:tcBorders>
              <w:top w:val="nil"/>
              <w:left w:val="nil"/>
              <w:bottom w:val="nil"/>
              <w:right w:val="nil"/>
            </w:tcBorders>
          </w:tcPr>
          <w:p w:rsidR="00EC6509" w:rsidRPr="009D658B" w:rsidRDefault="00EC6509" w:rsidP="0082296B">
            <w:pPr>
              <w:pStyle w:val="TableParagraph"/>
              <w:spacing w:line="131" w:lineRule="exact"/>
              <w:ind w:left="452"/>
              <w:rPr>
                <w:rFonts w:eastAsia="Arial" w:cs="Arial"/>
                <w:sz w:val="12"/>
                <w:szCs w:val="12"/>
              </w:rPr>
            </w:pPr>
            <w:r w:rsidRPr="009D658B">
              <w:rPr>
                <w:i/>
                <w:sz w:val="12"/>
              </w:rPr>
              <w:t>-496</w:t>
            </w:r>
          </w:p>
        </w:tc>
        <w:tc>
          <w:tcPr>
            <w:tcW w:w="802" w:type="dxa"/>
            <w:tcBorders>
              <w:top w:val="nil"/>
              <w:left w:val="nil"/>
              <w:bottom w:val="nil"/>
              <w:right w:val="nil"/>
            </w:tcBorders>
          </w:tcPr>
          <w:p w:rsidR="00EC6509" w:rsidRPr="009D658B" w:rsidRDefault="00EC6509" w:rsidP="0082296B">
            <w:pPr>
              <w:pStyle w:val="TableParagraph"/>
              <w:spacing w:line="131" w:lineRule="exact"/>
              <w:ind w:left="453"/>
              <w:rPr>
                <w:rFonts w:eastAsia="Arial" w:cs="Arial"/>
                <w:sz w:val="12"/>
                <w:szCs w:val="12"/>
              </w:rPr>
            </w:pPr>
            <w:r w:rsidRPr="009D658B">
              <w:rPr>
                <w:i/>
                <w:sz w:val="12"/>
              </w:rPr>
              <w:t>-461</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1" w:lineRule="exact"/>
              <w:ind w:left="499"/>
              <w:rPr>
                <w:rFonts w:eastAsia="Arial" w:cs="Arial"/>
                <w:sz w:val="12"/>
                <w:szCs w:val="12"/>
              </w:rPr>
            </w:pPr>
            <w:r w:rsidRPr="009D658B">
              <w:rPr>
                <w:i/>
                <w:sz w:val="12"/>
              </w:rPr>
              <w:t>-440</w:t>
            </w:r>
          </w:p>
        </w:tc>
        <w:tc>
          <w:tcPr>
            <w:tcW w:w="850" w:type="dxa"/>
            <w:tcBorders>
              <w:top w:val="nil"/>
              <w:left w:val="single" w:sz="4" w:space="0" w:color="000000"/>
              <w:bottom w:val="nil"/>
              <w:right w:val="nil"/>
            </w:tcBorders>
          </w:tcPr>
          <w:p w:rsidR="00EC6509" w:rsidRPr="009D658B" w:rsidRDefault="00EC6509" w:rsidP="0082296B">
            <w:pPr>
              <w:pStyle w:val="TableParagraph"/>
              <w:spacing w:line="131" w:lineRule="exact"/>
              <w:ind w:left="499"/>
              <w:rPr>
                <w:rFonts w:eastAsia="Arial" w:cs="Arial"/>
                <w:sz w:val="12"/>
                <w:szCs w:val="12"/>
              </w:rPr>
            </w:pPr>
            <w:r w:rsidRPr="009D658B">
              <w:rPr>
                <w:i/>
                <w:sz w:val="12"/>
              </w:rPr>
              <w:t>-666</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1" w:lineRule="exact"/>
              <w:ind w:left="501"/>
              <w:rPr>
                <w:rFonts w:eastAsia="Arial" w:cs="Arial"/>
                <w:sz w:val="12"/>
                <w:szCs w:val="12"/>
              </w:rPr>
            </w:pPr>
            <w:r w:rsidRPr="009D658B">
              <w:rPr>
                <w:i/>
                <w:sz w:val="12"/>
              </w:rPr>
              <w:t>-901</w:t>
            </w:r>
          </w:p>
        </w:tc>
      </w:tr>
      <w:tr w:rsidR="00EC6509" w:rsidRPr="009D658B" w:rsidTr="007E3194">
        <w:trPr>
          <w:trHeight w:hRule="exact" w:val="254"/>
        </w:trPr>
        <w:tc>
          <w:tcPr>
            <w:tcW w:w="4410" w:type="dxa"/>
            <w:tcBorders>
              <w:top w:val="nil"/>
              <w:left w:val="nil"/>
              <w:bottom w:val="nil"/>
              <w:right w:val="single" w:sz="8" w:space="0" w:color="808080"/>
            </w:tcBorders>
          </w:tcPr>
          <w:p w:rsidR="00EC6509" w:rsidRPr="009D658B" w:rsidRDefault="00EC6509" w:rsidP="0082296B">
            <w:pPr>
              <w:pStyle w:val="TableParagraph"/>
              <w:spacing w:before="23"/>
              <w:ind w:left="122"/>
              <w:rPr>
                <w:rFonts w:eastAsia="Arial" w:cs="Arial"/>
                <w:sz w:val="14"/>
                <w:szCs w:val="14"/>
                <w:lang w:val="fr-FR"/>
              </w:rPr>
            </w:pPr>
            <w:r w:rsidRPr="009D658B">
              <w:rPr>
                <w:sz w:val="14"/>
                <w:lang w:val="fr-FR"/>
              </w:rPr>
              <w:t>Résultat de la réassurance cédée</w:t>
            </w:r>
          </w:p>
        </w:tc>
        <w:tc>
          <w:tcPr>
            <w:tcW w:w="900" w:type="dxa"/>
            <w:tcBorders>
              <w:top w:val="nil"/>
              <w:left w:val="single" w:sz="8" w:space="0" w:color="808080"/>
              <w:bottom w:val="nil"/>
              <w:right w:val="nil"/>
            </w:tcBorders>
          </w:tcPr>
          <w:p w:rsidR="00EC6509" w:rsidRPr="009D658B" w:rsidRDefault="00EC6509" w:rsidP="0082296B">
            <w:pPr>
              <w:pStyle w:val="TableParagraph"/>
              <w:spacing w:before="23"/>
              <w:ind w:right="158"/>
              <w:jc w:val="right"/>
              <w:rPr>
                <w:rFonts w:eastAsia="Arial" w:cs="Arial"/>
                <w:sz w:val="14"/>
                <w:szCs w:val="14"/>
              </w:rPr>
            </w:pPr>
            <w:r w:rsidRPr="009D658B">
              <w:rPr>
                <w:sz w:val="14"/>
              </w:rPr>
              <w:t>-7</w:t>
            </w:r>
          </w:p>
        </w:tc>
        <w:tc>
          <w:tcPr>
            <w:tcW w:w="851" w:type="dxa"/>
            <w:tcBorders>
              <w:top w:val="nil"/>
              <w:left w:val="nil"/>
              <w:bottom w:val="nil"/>
              <w:right w:val="nil"/>
            </w:tcBorders>
          </w:tcPr>
          <w:p w:rsidR="00EC6509" w:rsidRPr="009D658B" w:rsidRDefault="00EC6509" w:rsidP="0082296B">
            <w:pPr>
              <w:pStyle w:val="TableParagraph"/>
              <w:spacing w:before="23"/>
              <w:ind w:right="154"/>
              <w:jc w:val="right"/>
              <w:rPr>
                <w:rFonts w:eastAsia="Arial" w:cs="Arial"/>
                <w:sz w:val="14"/>
                <w:szCs w:val="14"/>
              </w:rPr>
            </w:pPr>
            <w:r w:rsidRPr="009D658B">
              <w:rPr>
                <w:sz w:val="14"/>
              </w:rPr>
              <w:t>0</w:t>
            </w:r>
          </w:p>
        </w:tc>
        <w:tc>
          <w:tcPr>
            <w:tcW w:w="851" w:type="dxa"/>
            <w:tcBorders>
              <w:top w:val="nil"/>
              <w:left w:val="nil"/>
              <w:bottom w:val="nil"/>
              <w:right w:val="nil"/>
            </w:tcBorders>
          </w:tcPr>
          <w:p w:rsidR="00EC6509" w:rsidRPr="009D658B" w:rsidRDefault="00EC6509" w:rsidP="0082296B">
            <w:pPr>
              <w:pStyle w:val="TableParagraph"/>
              <w:spacing w:before="23"/>
              <w:ind w:left="490"/>
              <w:rPr>
                <w:rFonts w:eastAsia="Arial" w:cs="Arial"/>
                <w:sz w:val="14"/>
                <w:szCs w:val="14"/>
              </w:rPr>
            </w:pPr>
            <w:r w:rsidRPr="009D658B">
              <w:rPr>
                <w:sz w:val="14"/>
              </w:rPr>
              <w:t>-10</w:t>
            </w:r>
          </w:p>
        </w:tc>
        <w:tc>
          <w:tcPr>
            <w:tcW w:w="802" w:type="dxa"/>
            <w:tcBorders>
              <w:top w:val="nil"/>
              <w:left w:val="nil"/>
              <w:bottom w:val="nil"/>
              <w:right w:val="nil"/>
            </w:tcBorders>
          </w:tcPr>
          <w:p w:rsidR="00EC6509" w:rsidRPr="009D658B" w:rsidRDefault="00EC6509" w:rsidP="0082296B">
            <w:pPr>
              <w:pStyle w:val="TableParagraph"/>
              <w:spacing w:before="23"/>
              <w:ind w:right="107"/>
              <w:jc w:val="right"/>
              <w:rPr>
                <w:rFonts w:eastAsia="Arial" w:cs="Arial"/>
                <w:sz w:val="14"/>
                <w:szCs w:val="14"/>
              </w:rPr>
            </w:pPr>
            <w:r w:rsidRPr="009D658B">
              <w:rPr>
                <w:sz w:val="14"/>
              </w:rPr>
              <w:t>-8</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3"/>
              <w:ind w:left="537"/>
              <w:rPr>
                <w:rFonts w:eastAsia="Arial" w:cs="Arial"/>
                <w:sz w:val="14"/>
                <w:szCs w:val="14"/>
              </w:rPr>
            </w:pPr>
            <w:r w:rsidRPr="009D658B">
              <w:rPr>
                <w:sz w:val="14"/>
              </w:rPr>
              <w:t>-13</w:t>
            </w:r>
          </w:p>
        </w:tc>
        <w:tc>
          <w:tcPr>
            <w:tcW w:w="850" w:type="dxa"/>
            <w:tcBorders>
              <w:top w:val="nil"/>
              <w:left w:val="single" w:sz="4" w:space="0" w:color="000000"/>
              <w:bottom w:val="nil"/>
              <w:right w:val="nil"/>
            </w:tcBorders>
          </w:tcPr>
          <w:p w:rsidR="00EC6509" w:rsidRPr="009D658B" w:rsidRDefault="00EC6509" w:rsidP="0082296B">
            <w:pPr>
              <w:pStyle w:val="TableParagraph"/>
              <w:spacing w:before="23"/>
              <w:ind w:left="537"/>
              <w:rPr>
                <w:rFonts w:eastAsia="Arial" w:cs="Arial"/>
                <w:sz w:val="14"/>
                <w:szCs w:val="14"/>
              </w:rPr>
            </w:pPr>
            <w:r w:rsidRPr="009D658B">
              <w:rPr>
                <w:sz w:val="14"/>
              </w:rPr>
              <w:t>-18</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3"/>
              <w:ind w:left="540"/>
              <w:rPr>
                <w:rFonts w:eastAsia="Arial" w:cs="Arial"/>
                <w:sz w:val="14"/>
                <w:szCs w:val="14"/>
              </w:rPr>
            </w:pPr>
            <w:r w:rsidRPr="009D658B">
              <w:rPr>
                <w:sz w:val="14"/>
              </w:rPr>
              <w:t>-21</w:t>
            </w:r>
          </w:p>
        </w:tc>
      </w:tr>
      <w:tr w:rsidR="00EC6509" w:rsidRPr="009D658B" w:rsidTr="007E3194">
        <w:trPr>
          <w:trHeight w:hRule="exact" w:val="284"/>
        </w:trPr>
        <w:tc>
          <w:tcPr>
            <w:tcW w:w="4410" w:type="dxa"/>
            <w:tcBorders>
              <w:top w:val="nil"/>
              <w:left w:val="nil"/>
              <w:bottom w:val="nil"/>
              <w:right w:val="single" w:sz="8" w:space="0" w:color="808080"/>
            </w:tcBorders>
          </w:tcPr>
          <w:p w:rsidR="00EC6509" w:rsidRPr="009D658B" w:rsidRDefault="00EC6509" w:rsidP="0082296B">
            <w:pPr>
              <w:pStyle w:val="TableParagraph"/>
              <w:spacing w:before="54"/>
              <w:ind w:left="122"/>
              <w:rPr>
                <w:rFonts w:eastAsia="Arial" w:cs="Arial"/>
                <w:sz w:val="14"/>
                <w:szCs w:val="14"/>
              </w:rPr>
            </w:pPr>
            <w:proofErr w:type="spellStart"/>
            <w:r w:rsidRPr="009D658B">
              <w:rPr>
                <w:sz w:val="14"/>
              </w:rPr>
              <w:t>Revenus</w:t>
            </w:r>
            <w:proofErr w:type="spellEnd"/>
            <w:r w:rsidRPr="009D658B">
              <w:rPr>
                <w:sz w:val="14"/>
              </w:rPr>
              <w:t xml:space="preserve"> de </w:t>
            </w:r>
            <w:proofErr w:type="spellStart"/>
            <w:r w:rsidRPr="009D658B">
              <w:rPr>
                <w:sz w:val="14"/>
              </w:rPr>
              <w:t>dividendes</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before="54"/>
              <w:ind w:left="576"/>
              <w:rPr>
                <w:rFonts w:eastAsia="Arial" w:cs="Arial"/>
                <w:sz w:val="14"/>
                <w:szCs w:val="14"/>
              </w:rPr>
            </w:pPr>
            <w:r w:rsidRPr="009D658B">
              <w:rPr>
                <w:sz w:val="14"/>
              </w:rPr>
              <w:t>39</w:t>
            </w:r>
          </w:p>
        </w:tc>
        <w:tc>
          <w:tcPr>
            <w:tcW w:w="851" w:type="dxa"/>
            <w:tcBorders>
              <w:top w:val="nil"/>
              <w:left w:val="nil"/>
              <w:bottom w:val="nil"/>
              <w:right w:val="nil"/>
            </w:tcBorders>
          </w:tcPr>
          <w:p w:rsidR="00EC6509" w:rsidRPr="009D658B" w:rsidRDefault="00EC6509" w:rsidP="0082296B">
            <w:pPr>
              <w:pStyle w:val="TableParagraph"/>
              <w:spacing w:before="54"/>
              <w:ind w:left="537"/>
              <w:rPr>
                <w:rFonts w:eastAsia="Arial" w:cs="Arial"/>
                <w:sz w:val="14"/>
                <w:szCs w:val="14"/>
              </w:rPr>
            </w:pPr>
            <w:r w:rsidRPr="009D658B">
              <w:rPr>
                <w:sz w:val="14"/>
              </w:rPr>
              <w:t>13</w:t>
            </w:r>
          </w:p>
        </w:tc>
        <w:tc>
          <w:tcPr>
            <w:tcW w:w="851" w:type="dxa"/>
            <w:tcBorders>
              <w:top w:val="nil"/>
              <w:left w:val="nil"/>
              <w:bottom w:val="nil"/>
              <w:right w:val="nil"/>
            </w:tcBorders>
          </w:tcPr>
          <w:p w:rsidR="00EC6509" w:rsidRPr="009D658B" w:rsidRDefault="00EC6509" w:rsidP="0082296B">
            <w:pPr>
              <w:pStyle w:val="TableParagraph"/>
              <w:spacing w:before="54"/>
              <w:ind w:left="536"/>
              <w:rPr>
                <w:rFonts w:eastAsia="Arial" w:cs="Arial"/>
                <w:sz w:val="14"/>
                <w:szCs w:val="14"/>
              </w:rPr>
            </w:pPr>
            <w:r w:rsidRPr="009D658B">
              <w:rPr>
                <w:sz w:val="14"/>
              </w:rPr>
              <w:t>12</w:t>
            </w:r>
          </w:p>
        </w:tc>
        <w:tc>
          <w:tcPr>
            <w:tcW w:w="802" w:type="dxa"/>
            <w:tcBorders>
              <w:top w:val="nil"/>
              <w:left w:val="nil"/>
              <w:bottom w:val="nil"/>
              <w:right w:val="nil"/>
            </w:tcBorders>
          </w:tcPr>
          <w:p w:rsidR="00EC6509" w:rsidRPr="009D658B" w:rsidRDefault="00EC6509" w:rsidP="0082296B">
            <w:pPr>
              <w:pStyle w:val="TableParagraph"/>
              <w:spacing w:before="54"/>
              <w:ind w:right="108"/>
              <w:jc w:val="right"/>
              <w:rPr>
                <w:rFonts w:eastAsia="Arial" w:cs="Arial"/>
                <w:sz w:val="14"/>
                <w:szCs w:val="14"/>
              </w:rPr>
            </w:pPr>
            <w:r w:rsidRPr="009D658B">
              <w:rPr>
                <w:sz w:val="14"/>
              </w:rPr>
              <w:t>10</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54"/>
              <w:ind w:right="106"/>
              <w:jc w:val="right"/>
              <w:rPr>
                <w:rFonts w:eastAsia="Arial" w:cs="Arial"/>
                <w:sz w:val="14"/>
                <w:szCs w:val="14"/>
              </w:rPr>
            </w:pPr>
            <w:r w:rsidRPr="009D658B">
              <w:rPr>
                <w:sz w:val="14"/>
              </w:rPr>
              <w:t>36</w:t>
            </w:r>
          </w:p>
        </w:tc>
        <w:tc>
          <w:tcPr>
            <w:tcW w:w="850" w:type="dxa"/>
            <w:tcBorders>
              <w:top w:val="nil"/>
              <w:left w:val="single" w:sz="4" w:space="0" w:color="000000"/>
              <w:bottom w:val="nil"/>
              <w:right w:val="nil"/>
            </w:tcBorders>
          </w:tcPr>
          <w:p w:rsidR="00EC6509" w:rsidRPr="009D658B" w:rsidRDefault="00EC6509" w:rsidP="0082296B">
            <w:pPr>
              <w:pStyle w:val="TableParagraph"/>
              <w:spacing w:before="54"/>
              <w:ind w:right="106"/>
              <w:jc w:val="right"/>
              <w:rPr>
                <w:rFonts w:eastAsia="Arial" w:cs="Arial"/>
                <w:sz w:val="14"/>
                <w:szCs w:val="14"/>
              </w:rPr>
            </w:pPr>
            <w:r w:rsidRPr="009D658B">
              <w:rPr>
                <w:sz w:val="14"/>
              </w:rPr>
              <w:t>51</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54"/>
              <w:ind w:right="108"/>
              <w:jc w:val="right"/>
              <w:rPr>
                <w:rFonts w:eastAsia="Arial" w:cs="Arial"/>
                <w:sz w:val="14"/>
                <w:szCs w:val="14"/>
              </w:rPr>
            </w:pPr>
            <w:r w:rsidRPr="009D658B">
              <w:rPr>
                <w:sz w:val="14"/>
              </w:rPr>
              <w:t>46</w:t>
            </w:r>
          </w:p>
        </w:tc>
      </w:tr>
      <w:tr w:rsidR="00EC6509" w:rsidRPr="009D658B" w:rsidTr="007E3194">
        <w:trPr>
          <w:trHeight w:hRule="exact" w:val="399"/>
        </w:trPr>
        <w:tc>
          <w:tcPr>
            <w:tcW w:w="4410" w:type="dxa"/>
            <w:tcBorders>
              <w:top w:val="nil"/>
              <w:left w:val="nil"/>
              <w:bottom w:val="nil"/>
              <w:right w:val="single" w:sz="8" w:space="0" w:color="808080"/>
            </w:tcBorders>
          </w:tcPr>
          <w:p w:rsidR="00EC6509" w:rsidRPr="009D658B" w:rsidRDefault="00EC6509" w:rsidP="0082296B">
            <w:pPr>
              <w:pStyle w:val="TableParagraph"/>
              <w:spacing w:before="53"/>
              <w:ind w:left="122"/>
              <w:rPr>
                <w:rFonts w:eastAsia="Arial" w:cs="Arial"/>
                <w:sz w:val="14"/>
                <w:szCs w:val="14"/>
                <w:lang w:val="fr-FR"/>
              </w:rPr>
            </w:pPr>
            <w:r w:rsidRPr="009D658B">
              <w:rPr>
                <w:sz w:val="14"/>
                <w:lang w:val="fr-FR"/>
              </w:rPr>
              <w:t>Résultat net des instruments financiers à la juste valeur par le biais du compte de résultat</w:t>
            </w:r>
          </w:p>
        </w:tc>
        <w:tc>
          <w:tcPr>
            <w:tcW w:w="900" w:type="dxa"/>
            <w:tcBorders>
              <w:top w:val="nil"/>
              <w:left w:val="single" w:sz="8" w:space="0" w:color="808080"/>
              <w:bottom w:val="nil"/>
              <w:right w:val="nil"/>
            </w:tcBorders>
          </w:tcPr>
          <w:p w:rsidR="00EC6509" w:rsidRPr="009D658B" w:rsidRDefault="00EC6509" w:rsidP="0082296B">
            <w:pPr>
              <w:pStyle w:val="TableParagraph"/>
              <w:spacing w:before="53"/>
              <w:ind w:left="499"/>
              <w:rPr>
                <w:rFonts w:eastAsia="Arial" w:cs="Arial"/>
                <w:sz w:val="14"/>
                <w:szCs w:val="14"/>
              </w:rPr>
            </w:pPr>
            <w:r w:rsidRPr="009D658B">
              <w:rPr>
                <w:sz w:val="14"/>
              </w:rPr>
              <w:t>179</w:t>
            </w:r>
          </w:p>
        </w:tc>
        <w:tc>
          <w:tcPr>
            <w:tcW w:w="851" w:type="dxa"/>
            <w:tcBorders>
              <w:top w:val="nil"/>
              <w:left w:val="nil"/>
              <w:bottom w:val="nil"/>
              <w:right w:val="nil"/>
            </w:tcBorders>
          </w:tcPr>
          <w:p w:rsidR="00EC6509" w:rsidRPr="009D658B" w:rsidRDefault="00EC6509" w:rsidP="0082296B">
            <w:pPr>
              <w:pStyle w:val="TableParagraph"/>
              <w:spacing w:before="53"/>
              <w:ind w:left="537"/>
              <w:rPr>
                <w:rFonts w:eastAsia="Arial" w:cs="Arial"/>
                <w:sz w:val="14"/>
                <w:szCs w:val="14"/>
              </w:rPr>
            </w:pPr>
            <w:r w:rsidRPr="009D658B">
              <w:rPr>
                <w:sz w:val="14"/>
              </w:rPr>
              <w:t>47</w:t>
            </w:r>
          </w:p>
        </w:tc>
        <w:tc>
          <w:tcPr>
            <w:tcW w:w="851" w:type="dxa"/>
            <w:tcBorders>
              <w:top w:val="nil"/>
              <w:left w:val="nil"/>
              <w:bottom w:val="nil"/>
              <w:right w:val="nil"/>
            </w:tcBorders>
          </w:tcPr>
          <w:p w:rsidR="00EC6509" w:rsidRPr="009D658B" w:rsidRDefault="00EC6509" w:rsidP="0082296B">
            <w:pPr>
              <w:pStyle w:val="TableParagraph"/>
              <w:spacing w:before="53"/>
              <w:ind w:left="490"/>
              <w:rPr>
                <w:rFonts w:eastAsia="Arial" w:cs="Arial"/>
                <w:sz w:val="14"/>
                <w:szCs w:val="14"/>
              </w:rPr>
            </w:pPr>
            <w:r w:rsidRPr="009D658B">
              <w:rPr>
                <w:sz w:val="14"/>
              </w:rPr>
              <w:t>-68</w:t>
            </w:r>
          </w:p>
        </w:tc>
        <w:tc>
          <w:tcPr>
            <w:tcW w:w="802" w:type="dxa"/>
            <w:tcBorders>
              <w:top w:val="nil"/>
              <w:left w:val="nil"/>
              <w:bottom w:val="nil"/>
              <w:right w:val="nil"/>
            </w:tcBorders>
          </w:tcPr>
          <w:p w:rsidR="00EC6509" w:rsidRPr="009D658B" w:rsidRDefault="00EC6509" w:rsidP="0082296B">
            <w:pPr>
              <w:pStyle w:val="TableParagraph"/>
              <w:spacing w:before="53"/>
              <w:ind w:right="108"/>
              <w:jc w:val="right"/>
              <w:rPr>
                <w:rFonts w:eastAsia="Arial" w:cs="Arial"/>
                <w:sz w:val="14"/>
                <w:szCs w:val="14"/>
              </w:rPr>
            </w:pPr>
            <w:r w:rsidRPr="009D658B">
              <w:rPr>
                <w:sz w:val="14"/>
              </w:rPr>
              <w:t>93</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53"/>
              <w:ind w:left="506"/>
              <w:rPr>
                <w:rFonts w:eastAsia="Arial" w:cs="Arial"/>
                <w:sz w:val="14"/>
                <w:szCs w:val="14"/>
              </w:rPr>
            </w:pPr>
            <w:r w:rsidRPr="009D658B">
              <w:rPr>
                <w:sz w:val="14"/>
              </w:rPr>
              <w:t>154</w:t>
            </w:r>
          </w:p>
        </w:tc>
        <w:tc>
          <w:tcPr>
            <w:tcW w:w="850" w:type="dxa"/>
            <w:tcBorders>
              <w:top w:val="nil"/>
              <w:left w:val="single" w:sz="4" w:space="0" w:color="000000"/>
              <w:bottom w:val="nil"/>
              <w:right w:val="nil"/>
            </w:tcBorders>
          </w:tcPr>
          <w:p w:rsidR="00EC6509" w:rsidRPr="009D658B" w:rsidRDefault="00EC6509" w:rsidP="0082296B">
            <w:pPr>
              <w:pStyle w:val="TableParagraph"/>
              <w:spacing w:before="53"/>
              <w:ind w:left="506"/>
              <w:rPr>
                <w:rFonts w:eastAsia="Arial" w:cs="Arial"/>
                <w:sz w:val="14"/>
                <w:szCs w:val="14"/>
              </w:rPr>
            </w:pPr>
            <w:r w:rsidRPr="009D658B">
              <w:rPr>
                <w:sz w:val="14"/>
              </w:rPr>
              <w:t>236</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53"/>
              <w:ind w:left="508"/>
              <w:rPr>
                <w:rFonts w:eastAsia="Arial" w:cs="Arial"/>
                <w:sz w:val="14"/>
                <w:szCs w:val="14"/>
              </w:rPr>
            </w:pPr>
            <w:r w:rsidRPr="009D658B">
              <w:rPr>
                <w:sz w:val="14"/>
              </w:rPr>
              <w:t>247</w:t>
            </w:r>
          </w:p>
        </w:tc>
      </w:tr>
      <w:tr w:rsidR="00EC6509" w:rsidRPr="009D658B" w:rsidTr="007E3194">
        <w:trPr>
          <w:trHeight w:hRule="exact" w:val="284"/>
        </w:trPr>
        <w:tc>
          <w:tcPr>
            <w:tcW w:w="4410" w:type="dxa"/>
            <w:tcBorders>
              <w:top w:val="nil"/>
              <w:left w:val="nil"/>
              <w:bottom w:val="nil"/>
              <w:right w:val="single" w:sz="8" w:space="0" w:color="808080"/>
            </w:tcBorders>
          </w:tcPr>
          <w:p w:rsidR="00EC6509" w:rsidRPr="009D658B" w:rsidRDefault="00EC6509" w:rsidP="0082296B">
            <w:pPr>
              <w:pStyle w:val="TableParagraph"/>
              <w:spacing w:before="53"/>
              <w:ind w:left="122"/>
              <w:rPr>
                <w:rFonts w:eastAsia="Arial" w:cs="Arial"/>
                <w:sz w:val="14"/>
                <w:szCs w:val="14"/>
                <w:lang w:val="fr-FR"/>
              </w:rPr>
            </w:pPr>
            <w:r w:rsidRPr="009D658B">
              <w:rPr>
                <w:sz w:val="14"/>
                <w:lang w:val="fr-FR"/>
              </w:rPr>
              <w:t>Résultat net réalisé sur des actifs disponibles à la vente</w:t>
            </w:r>
          </w:p>
        </w:tc>
        <w:tc>
          <w:tcPr>
            <w:tcW w:w="900" w:type="dxa"/>
            <w:tcBorders>
              <w:top w:val="nil"/>
              <w:left w:val="single" w:sz="8" w:space="0" w:color="808080"/>
              <w:bottom w:val="nil"/>
              <w:right w:val="nil"/>
            </w:tcBorders>
          </w:tcPr>
          <w:p w:rsidR="00EC6509" w:rsidRPr="009D658B" w:rsidRDefault="00EC6509" w:rsidP="0082296B">
            <w:pPr>
              <w:pStyle w:val="TableParagraph"/>
              <w:spacing w:before="53"/>
              <w:ind w:left="576"/>
              <w:rPr>
                <w:rFonts w:eastAsia="Arial" w:cs="Arial"/>
                <w:sz w:val="14"/>
                <w:szCs w:val="14"/>
              </w:rPr>
            </w:pPr>
            <w:r w:rsidRPr="009D658B">
              <w:rPr>
                <w:sz w:val="14"/>
              </w:rPr>
              <w:t>36</w:t>
            </w:r>
          </w:p>
        </w:tc>
        <w:tc>
          <w:tcPr>
            <w:tcW w:w="851" w:type="dxa"/>
            <w:tcBorders>
              <w:top w:val="nil"/>
              <w:left w:val="nil"/>
              <w:bottom w:val="nil"/>
              <w:right w:val="nil"/>
            </w:tcBorders>
          </w:tcPr>
          <w:p w:rsidR="00EC6509" w:rsidRPr="009D658B" w:rsidRDefault="00EC6509" w:rsidP="0082296B">
            <w:pPr>
              <w:pStyle w:val="TableParagraph"/>
              <w:spacing w:before="53"/>
              <w:ind w:left="537"/>
              <w:rPr>
                <w:rFonts w:eastAsia="Arial" w:cs="Arial"/>
                <w:sz w:val="14"/>
                <w:szCs w:val="14"/>
              </w:rPr>
            </w:pPr>
            <w:r w:rsidRPr="009D658B">
              <w:rPr>
                <w:sz w:val="14"/>
              </w:rPr>
              <w:t>44</w:t>
            </w:r>
          </w:p>
        </w:tc>
        <w:tc>
          <w:tcPr>
            <w:tcW w:w="851" w:type="dxa"/>
            <w:tcBorders>
              <w:top w:val="nil"/>
              <w:left w:val="nil"/>
              <w:bottom w:val="nil"/>
              <w:right w:val="nil"/>
            </w:tcBorders>
          </w:tcPr>
          <w:p w:rsidR="00EC6509" w:rsidRPr="009D658B" w:rsidRDefault="00EC6509" w:rsidP="0082296B">
            <w:pPr>
              <w:pStyle w:val="TableParagraph"/>
              <w:spacing w:before="53"/>
              <w:ind w:left="536"/>
              <w:rPr>
                <w:rFonts w:eastAsia="Arial" w:cs="Arial"/>
                <w:sz w:val="14"/>
                <w:szCs w:val="14"/>
              </w:rPr>
            </w:pPr>
            <w:r w:rsidRPr="009D658B">
              <w:rPr>
                <w:sz w:val="14"/>
              </w:rPr>
              <w:t>30</w:t>
            </w:r>
          </w:p>
        </w:tc>
        <w:tc>
          <w:tcPr>
            <w:tcW w:w="802" w:type="dxa"/>
            <w:tcBorders>
              <w:top w:val="nil"/>
              <w:left w:val="nil"/>
              <w:bottom w:val="nil"/>
              <w:right w:val="nil"/>
            </w:tcBorders>
          </w:tcPr>
          <w:p w:rsidR="00EC6509" w:rsidRPr="009D658B" w:rsidRDefault="00EC6509" w:rsidP="0082296B">
            <w:pPr>
              <w:pStyle w:val="TableParagraph"/>
              <w:spacing w:before="53"/>
              <w:ind w:right="108"/>
              <w:jc w:val="right"/>
              <w:rPr>
                <w:rFonts w:eastAsia="Arial" w:cs="Arial"/>
                <w:sz w:val="14"/>
                <w:szCs w:val="14"/>
              </w:rPr>
            </w:pPr>
            <w:r w:rsidRPr="009D658B">
              <w:rPr>
                <w:sz w:val="14"/>
              </w:rPr>
              <w:t>27</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53"/>
              <w:ind w:left="506"/>
              <w:rPr>
                <w:rFonts w:eastAsia="Arial" w:cs="Arial"/>
                <w:sz w:val="14"/>
                <w:szCs w:val="14"/>
              </w:rPr>
            </w:pPr>
            <w:r w:rsidRPr="009D658B">
              <w:rPr>
                <w:sz w:val="14"/>
              </w:rPr>
              <w:t>128</w:t>
            </w:r>
          </w:p>
        </w:tc>
        <w:tc>
          <w:tcPr>
            <w:tcW w:w="850" w:type="dxa"/>
            <w:tcBorders>
              <w:top w:val="nil"/>
              <w:left w:val="single" w:sz="4" w:space="0" w:color="000000"/>
              <w:bottom w:val="nil"/>
              <w:right w:val="nil"/>
            </w:tcBorders>
          </w:tcPr>
          <w:p w:rsidR="00EC6509" w:rsidRPr="009D658B" w:rsidRDefault="00EC6509" w:rsidP="0082296B">
            <w:pPr>
              <w:pStyle w:val="TableParagraph"/>
              <w:spacing w:before="53"/>
              <w:ind w:left="506"/>
              <w:rPr>
                <w:rFonts w:eastAsia="Arial" w:cs="Arial"/>
                <w:sz w:val="14"/>
                <w:szCs w:val="14"/>
              </w:rPr>
            </w:pPr>
            <w:r w:rsidRPr="009D658B">
              <w:rPr>
                <w:sz w:val="14"/>
              </w:rPr>
              <w:t>116</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53"/>
              <w:ind w:left="508"/>
              <w:rPr>
                <w:rFonts w:eastAsia="Arial" w:cs="Arial"/>
                <w:sz w:val="14"/>
                <w:szCs w:val="14"/>
              </w:rPr>
            </w:pPr>
            <w:r w:rsidRPr="009D658B">
              <w:rPr>
                <w:sz w:val="14"/>
              </w:rPr>
              <w:t>155</w:t>
            </w:r>
          </w:p>
        </w:tc>
      </w:tr>
      <w:tr w:rsidR="00EC6509" w:rsidRPr="009D658B" w:rsidTr="007E3194">
        <w:trPr>
          <w:trHeight w:hRule="exact" w:val="251"/>
        </w:trPr>
        <w:tc>
          <w:tcPr>
            <w:tcW w:w="4410" w:type="dxa"/>
            <w:tcBorders>
              <w:top w:val="nil"/>
              <w:left w:val="nil"/>
              <w:bottom w:val="nil"/>
              <w:right w:val="single" w:sz="8" w:space="0" w:color="808080"/>
            </w:tcBorders>
          </w:tcPr>
          <w:p w:rsidR="00EC6509" w:rsidRPr="009D658B" w:rsidRDefault="00EC6509" w:rsidP="0082296B">
            <w:pPr>
              <w:pStyle w:val="TableParagraph"/>
              <w:spacing w:before="54"/>
              <w:ind w:left="122"/>
              <w:rPr>
                <w:rFonts w:eastAsia="Arial" w:cs="Arial"/>
                <w:sz w:val="14"/>
                <w:szCs w:val="14"/>
              </w:rPr>
            </w:pPr>
            <w:proofErr w:type="spellStart"/>
            <w:r w:rsidRPr="009D658B">
              <w:rPr>
                <w:sz w:val="14"/>
              </w:rPr>
              <w:t>Revenus</w:t>
            </w:r>
            <w:proofErr w:type="spellEnd"/>
            <w:r w:rsidRPr="009D658B">
              <w:rPr>
                <w:sz w:val="14"/>
              </w:rPr>
              <w:t xml:space="preserve"> nets de commissions</w:t>
            </w:r>
          </w:p>
        </w:tc>
        <w:tc>
          <w:tcPr>
            <w:tcW w:w="900" w:type="dxa"/>
            <w:tcBorders>
              <w:top w:val="nil"/>
              <w:left w:val="single" w:sz="8" w:space="0" w:color="808080"/>
              <w:bottom w:val="nil"/>
              <w:right w:val="nil"/>
            </w:tcBorders>
          </w:tcPr>
          <w:p w:rsidR="00EC6509" w:rsidRPr="009D658B" w:rsidRDefault="00EC6509" w:rsidP="0082296B">
            <w:pPr>
              <w:pStyle w:val="TableParagraph"/>
              <w:spacing w:before="54"/>
              <w:ind w:left="499"/>
              <w:rPr>
                <w:rFonts w:eastAsia="Arial" w:cs="Arial"/>
                <w:sz w:val="14"/>
                <w:szCs w:val="14"/>
              </w:rPr>
            </w:pPr>
            <w:r w:rsidRPr="009D658B">
              <w:rPr>
                <w:sz w:val="14"/>
              </w:rPr>
              <w:t>465</w:t>
            </w:r>
          </w:p>
        </w:tc>
        <w:tc>
          <w:tcPr>
            <w:tcW w:w="851" w:type="dxa"/>
            <w:tcBorders>
              <w:top w:val="nil"/>
              <w:left w:val="nil"/>
              <w:bottom w:val="nil"/>
              <w:right w:val="nil"/>
            </w:tcBorders>
          </w:tcPr>
          <w:p w:rsidR="00EC6509" w:rsidRPr="009D658B" w:rsidRDefault="00EC6509" w:rsidP="0082296B">
            <w:pPr>
              <w:pStyle w:val="TableParagraph"/>
              <w:spacing w:before="54"/>
              <w:ind w:left="460"/>
              <w:rPr>
                <w:rFonts w:eastAsia="Arial" w:cs="Arial"/>
                <w:sz w:val="14"/>
                <w:szCs w:val="14"/>
              </w:rPr>
            </w:pPr>
            <w:r w:rsidRPr="009D658B">
              <w:rPr>
                <w:sz w:val="14"/>
              </w:rPr>
              <w:t>383</w:t>
            </w:r>
          </w:p>
        </w:tc>
        <w:tc>
          <w:tcPr>
            <w:tcW w:w="851" w:type="dxa"/>
            <w:tcBorders>
              <w:top w:val="nil"/>
              <w:left w:val="nil"/>
              <w:bottom w:val="nil"/>
              <w:right w:val="nil"/>
            </w:tcBorders>
          </w:tcPr>
          <w:p w:rsidR="00EC6509" w:rsidRPr="009D658B" w:rsidRDefault="00EC6509" w:rsidP="0082296B">
            <w:pPr>
              <w:pStyle w:val="TableParagraph"/>
              <w:spacing w:before="54"/>
              <w:ind w:left="459"/>
              <w:rPr>
                <w:rFonts w:eastAsia="Arial" w:cs="Arial"/>
                <w:sz w:val="14"/>
                <w:szCs w:val="14"/>
              </w:rPr>
            </w:pPr>
            <w:r w:rsidRPr="009D658B">
              <w:rPr>
                <w:sz w:val="14"/>
              </w:rPr>
              <w:t>371</w:t>
            </w:r>
          </w:p>
        </w:tc>
        <w:tc>
          <w:tcPr>
            <w:tcW w:w="802" w:type="dxa"/>
            <w:tcBorders>
              <w:top w:val="nil"/>
              <w:left w:val="nil"/>
              <w:bottom w:val="nil"/>
              <w:right w:val="nil"/>
            </w:tcBorders>
          </w:tcPr>
          <w:p w:rsidR="00EC6509" w:rsidRPr="009D658B" w:rsidRDefault="00EC6509" w:rsidP="0082296B">
            <w:pPr>
              <w:pStyle w:val="TableParagraph"/>
              <w:spacing w:before="54"/>
              <w:ind w:left="461"/>
              <w:rPr>
                <w:rFonts w:eastAsia="Arial" w:cs="Arial"/>
                <w:sz w:val="14"/>
                <w:szCs w:val="14"/>
              </w:rPr>
            </w:pPr>
            <w:r w:rsidRPr="009D658B">
              <w:rPr>
                <w:sz w:val="14"/>
              </w:rPr>
              <w:t>346</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54"/>
              <w:ind w:left="506"/>
              <w:rPr>
                <w:rFonts w:eastAsia="Arial" w:cs="Arial"/>
                <w:sz w:val="14"/>
                <w:szCs w:val="14"/>
              </w:rPr>
            </w:pPr>
            <w:r w:rsidRPr="009D658B">
              <w:rPr>
                <w:sz w:val="14"/>
              </w:rPr>
              <w:t>360</w:t>
            </w:r>
          </w:p>
        </w:tc>
        <w:tc>
          <w:tcPr>
            <w:tcW w:w="850" w:type="dxa"/>
            <w:tcBorders>
              <w:top w:val="nil"/>
              <w:left w:val="single" w:sz="4" w:space="0" w:color="000000"/>
              <w:bottom w:val="nil"/>
              <w:right w:val="nil"/>
            </w:tcBorders>
          </w:tcPr>
          <w:p w:rsidR="00EC6509" w:rsidRPr="009D658B" w:rsidRDefault="00EC6509" w:rsidP="0082296B">
            <w:pPr>
              <w:pStyle w:val="TableParagraph"/>
              <w:spacing w:before="54"/>
              <w:ind w:left="506"/>
              <w:rPr>
                <w:rFonts w:eastAsia="Arial" w:cs="Arial"/>
                <w:sz w:val="14"/>
                <w:szCs w:val="14"/>
              </w:rPr>
            </w:pPr>
            <w:r w:rsidRPr="009D658B">
              <w:rPr>
                <w:sz w:val="14"/>
              </w:rPr>
              <w:t>924</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54"/>
              <w:ind w:left="508"/>
              <w:rPr>
                <w:rFonts w:eastAsia="Arial" w:cs="Arial"/>
                <w:sz w:val="14"/>
                <w:szCs w:val="14"/>
              </w:rPr>
            </w:pPr>
            <w:r w:rsidRPr="009D658B">
              <w:rPr>
                <w:sz w:val="14"/>
              </w:rPr>
              <w:t>706</w:t>
            </w:r>
          </w:p>
        </w:tc>
      </w:tr>
      <w:tr w:rsidR="00EC6509" w:rsidRPr="009D658B" w:rsidTr="007E3194">
        <w:trPr>
          <w:trHeight w:hRule="exact" w:val="169"/>
        </w:trPr>
        <w:tc>
          <w:tcPr>
            <w:tcW w:w="4410" w:type="dxa"/>
            <w:tcBorders>
              <w:top w:val="nil"/>
              <w:left w:val="nil"/>
              <w:bottom w:val="nil"/>
              <w:right w:val="single" w:sz="8" w:space="0" w:color="808080"/>
            </w:tcBorders>
          </w:tcPr>
          <w:p w:rsidR="00EC6509" w:rsidRPr="009D658B" w:rsidRDefault="00EC6509" w:rsidP="0082296B">
            <w:pPr>
              <w:pStyle w:val="TableParagraph"/>
              <w:spacing w:before="23"/>
              <w:ind w:left="290"/>
              <w:rPr>
                <w:rFonts w:eastAsia="Arial" w:cs="Arial"/>
                <w:sz w:val="12"/>
                <w:szCs w:val="12"/>
              </w:rPr>
            </w:pPr>
            <w:proofErr w:type="spellStart"/>
            <w:r w:rsidRPr="009D658B">
              <w:rPr>
                <w:sz w:val="12"/>
              </w:rPr>
              <w:t>Revenus</w:t>
            </w:r>
            <w:proofErr w:type="spellEnd"/>
            <w:r w:rsidRPr="009D658B">
              <w:rPr>
                <w:sz w:val="12"/>
              </w:rPr>
              <w:t xml:space="preserve"> de commissions</w:t>
            </w:r>
          </w:p>
        </w:tc>
        <w:tc>
          <w:tcPr>
            <w:tcW w:w="900" w:type="dxa"/>
            <w:tcBorders>
              <w:top w:val="nil"/>
              <w:left w:val="single" w:sz="8" w:space="0" w:color="808080"/>
              <w:bottom w:val="nil"/>
              <w:right w:val="nil"/>
            </w:tcBorders>
          </w:tcPr>
          <w:p w:rsidR="00EC6509" w:rsidRPr="009D658B" w:rsidRDefault="00EC6509" w:rsidP="0082296B">
            <w:pPr>
              <w:pStyle w:val="TableParagraph"/>
              <w:spacing w:before="23"/>
              <w:ind w:left="533"/>
              <w:rPr>
                <w:rFonts w:eastAsia="Arial" w:cs="Arial"/>
                <w:sz w:val="12"/>
                <w:szCs w:val="12"/>
              </w:rPr>
            </w:pPr>
            <w:r w:rsidRPr="009D658B">
              <w:rPr>
                <w:sz w:val="12"/>
              </w:rPr>
              <w:t>634</w:t>
            </w:r>
          </w:p>
        </w:tc>
        <w:tc>
          <w:tcPr>
            <w:tcW w:w="851" w:type="dxa"/>
            <w:tcBorders>
              <w:top w:val="nil"/>
              <w:left w:val="nil"/>
              <w:bottom w:val="nil"/>
              <w:right w:val="nil"/>
            </w:tcBorders>
          </w:tcPr>
          <w:p w:rsidR="00EC6509" w:rsidRPr="009D658B" w:rsidRDefault="00EC6509" w:rsidP="0082296B">
            <w:pPr>
              <w:pStyle w:val="TableParagraph"/>
              <w:spacing w:before="23"/>
              <w:ind w:left="494"/>
              <w:rPr>
                <w:rFonts w:eastAsia="Arial" w:cs="Arial"/>
                <w:sz w:val="12"/>
                <w:szCs w:val="12"/>
              </w:rPr>
            </w:pPr>
            <w:r w:rsidRPr="009D658B">
              <w:rPr>
                <w:sz w:val="12"/>
              </w:rPr>
              <w:t>547</w:t>
            </w:r>
          </w:p>
        </w:tc>
        <w:tc>
          <w:tcPr>
            <w:tcW w:w="851" w:type="dxa"/>
            <w:tcBorders>
              <w:top w:val="nil"/>
              <w:left w:val="nil"/>
              <w:bottom w:val="nil"/>
              <w:right w:val="nil"/>
            </w:tcBorders>
          </w:tcPr>
          <w:p w:rsidR="00EC6509" w:rsidRPr="009D658B" w:rsidRDefault="00EC6509" w:rsidP="0082296B">
            <w:pPr>
              <w:pStyle w:val="TableParagraph"/>
              <w:spacing w:before="23"/>
              <w:ind w:left="493"/>
              <w:rPr>
                <w:rFonts w:eastAsia="Arial" w:cs="Arial"/>
                <w:sz w:val="12"/>
                <w:szCs w:val="12"/>
              </w:rPr>
            </w:pPr>
            <w:r w:rsidRPr="009D658B">
              <w:rPr>
                <w:sz w:val="12"/>
              </w:rPr>
              <w:t>533</w:t>
            </w:r>
          </w:p>
        </w:tc>
        <w:tc>
          <w:tcPr>
            <w:tcW w:w="802" w:type="dxa"/>
            <w:tcBorders>
              <w:top w:val="nil"/>
              <w:left w:val="nil"/>
              <w:bottom w:val="nil"/>
              <w:right w:val="nil"/>
            </w:tcBorders>
          </w:tcPr>
          <w:p w:rsidR="00EC6509" w:rsidRPr="009D658B" w:rsidRDefault="00EC6509" w:rsidP="0082296B">
            <w:pPr>
              <w:pStyle w:val="TableParagraph"/>
              <w:spacing w:before="23"/>
              <w:ind w:left="494"/>
              <w:rPr>
                <w:rFonts w:eastAsia="Arial" w:cs="Arial"/>
                <w:sz w:val="12"/>
                <w:szCs w:val="12"/>
              </w:rPr>
            </w:pPr>
            <w:r w:rsidRPr="009D658B">
              <w:rPr>
                <w:sz w:val="12"/>
              </w:rPr>
              <w:t>507</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3"/>
              <w:ind w:left="540"/>
              <w:rPr>
                <w:rFonts w:eastAsia="Arial" w:cs="Arial"/>
                <w:sz w:val="12"/>
                <w:szCs w:val="12"/>
              </w:rPr>
            </w:pPr>
            <w:r w:rsidRPr="009D658B">
              <w:rPr>
                <w:sz w:val="12"/>
              </w:rPr>
              <w:t>517</w:t>
            </w:r>
          </w:p>
        </w:tc>
        <w:tc>
          <w:tcPr>
            <w:tcW w:w="850" w:type="dxa"/>
            <w:tcBorders>
              <w:top w:val="nil"/>
              <w:left w:val="single" w:sz="4" w:space="0" w:color="000000"/>
              <w:bottom w:val="nil"/>
              <w:right w:val="nil"/>
            </w:tcBorders>
          </w:tcPr>
          <w:p w:rsidR="00EC6509" w:rsidRPr="009D658B" w:rsidRDefault="00EC6509" w:rsidP="0082296B">
            <w:pPr>
              <w:pStyle w:val="TableParagraph"/>
              <w:spacing w:before="23"/>
              <w:ind w:left="439"/>
              <w:rPr>
                <w:rFonts w:eastAsia="Arial" w:cs="Arial"/>
                <w:sz w:val="12"/>
                <w:szCs w:val="12"/>
              </w:rPr>
            </w:pPr>
            <w:r w:rsidRPr="009D658B">
              <w:rPr>
                <w:sz w:val="12"/>
              </w:rPr>
              <w:t>1 267</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3"/>
              <w:ind w:left="441"/>
              <w:rPr>
                <w:rFonts w:eastAsia="Arial" w:cs="Arial"/>
                <w:sz w:val="12"/>
                <w:szCs w:val="12"/>
              </w:rPr>
            </w:pPr>
            <w:r w:rsidRPr="009D658B">
              <w:rPr>
                <w:sz w:val="12"/>
              </w:rPr>
              <w:t>1 024</w:t>
            </w:r>
          </w:p>
        </w:tc>
      </w:tr>
      <w:tr w:rsidR="00EC6509" w:rsidRPr="009D658B" w:rsidTr="007E3194">
        <w:trPr>
          <w:trHeight w:hRule="exact" w:val="171"/>
        </w:trPr>
        <w:tc>
          <w:tcPr>
            <w:tcW w:w="4410" w:type="dxa"/>
            <w:tcBorders>
              <w:top w:val="nil"/>
              <w:left w:val="nil"/>
              <w:bottom w:val="nil"/>
              <w:right w:val="single" w:sz="8" w:space="0" w:color="808080"/>
            </w:tcBorders>
          </w:tcPr>
          <w:p w:rsidR="00EC6509" w:rsidRPr="009D658B" w:rsidRDefault="00EC6509" w:rsidP="0082296B">
            <w:pPr>
              <w:pStyle w:val="TableParagraph"/>
              <w:spacing w:line="132" w:lineRule="exact"/>
              <w:ind w:left="290"/>
              <w:rPr>
                <w:rFonts w:eastAsia="Arial" w:cs="Arial"/>
                <w:sz w:val="12"/>
                <w:szCs w:val="12"/>
              </w:rPr>
            </w:pPr>
            <w:r w:rsidRPr="009D658B">
              <w:rPr>
                <w:sz w:val="12"/>
              </w:rPr>
              <w:t>Charges de commissions</w:t>
            </w:r>
          </w:p>
        </w:tc>
        <w:tc>
          <w:tcPr>
            <w:tcW w:w="900" w:type="dxa"/>
            <w:tcBorders>
              <w:top w:val="nil"/>
              <w:left w:val="single" w:sz="8" w:space="0" w:color="808080"/>
              <w:bottom w:val="nil"/>
              <w:right w:val="nil"/>
            </w:tcBorders>
          </w:tcPr>
          <w:p w:rsidR="00EC6509" w:rsidRPr="009D658B" w:rsidRDefault="00EC6509" w:rsidP="0082296B">
            <w:pPr>
              <w:pStyle w:val="TableParagraph"/>
              <w:spacing w:line="132" w:lineRule="exact"/>
              <w:ind w:left="492"/>
              <w:rPr>
                <w:rFonts w:eastAsia="Arial" w:cs="Arial"/>
                <w:sz w:val="12"/>
                <w:szCs w:val="12"/>
              </w:rPr>
            </w:pPr>
            <w:r w:rsidRPr="009D658B">
              <w:rPr>
                <w:sz w:val="12"/>
              </w:rPr>
              <w:t>-169</w:t>
            </w:r>
          </w:p>
        </w:tc>
        <w:tc>
          <w:tcPr>
            <w:tcW w:w="851" w:type="dxa"/>
            <w:tcBorders>
              <w:top w:val="nil"/>
              <w:left w:val="nil"/>
              <w:bottom w:val="nil"/>
              <w:right w:val="nil"/>
            </w:tcBorders>
          </w:tcPr>
          <w:p w:rsidR="00EC6509" w:rsidRPr="009D658B" w:rsidRDefault="00EC6509" w:rsidP="0082296B">
            <w:pPr>
              <w:pStyle w:val="TableParagraph"/>
              <w:spacing w:line="132" w:lineRule="exact"/>
              <w:ind w:left="453"/>
              <w:rPr>
                <w:rFonts w:eastAsia="Arial" w:cs="Arial"/>
                <w:sz w:val="12"/>
                <w:szCs w:val="12"/>
              </w:rPr>
            </w:pPr>
            <w:r w:rsidRPr="009D658B">
              <w:rPr>
                <w:sz w:val="12"/>
              </w:rPr>
              <w:t>-164</w:t>
            </w:r>
          </w:p>
        </w:tc>
        <w:tc>
          <w:tcPr>
            <w:tcW w:w="851" w:type="dxa"/>
            <w:tcBorders>
              <w:top w:val="nil"/>
              <w:left w:val="nil"/>
              <w:bottom w:val="nil"/>
              <w:right w:val="nil"/>
            </w:tcBorders>
          </w:tcPr>
          <w:p w:rsidR="00EC6509" w:rsidRPr="009D658B" w:rsidRDefault="00EC6509" w:rsidP="0082296B">
            <w:pPr>
              <w:pStyle w:val="TableParagraph"/>
              <w:spacing w:line="132" w:lineRule="exact"/>
              <w:ind w:left="452"/>
              <w:rPr>
                <w:rFonts w:eastAsia="Arial" w:cs="Arial"/>
                <w:sz w:val="12"/>
                <w:szCs w:val="12"/>
              </w:rPr>
            </w:pPr>
            <w:r w:rsidRPr="009D658B">
              <w:rPr>
                <w:sz w:val="12"/>
              </w:rPr>
              <w:t>-162</w:t>
            </w:r>
          </w:p>
        </w:tc>
        <w:tc>
          <w:tcPr>
            <w:tcW w:w="802" w:type="dxa"/>
            <w:tcBorders>
              <w:top w:val="nil"/>
              <w:left w:val="nil"/>
              <w:bottom w:val="nil"/>
              <w:right w:val="nil"/>
            </w:tcBorders>
          </w:tcPr>
          <w:p w:rsidR="00EC6509" w:rsidRPr="009D658B" w:rsidRDefault="00EC6509" w:rsidP="0082296B">
            <w:pPr>
              <w:pStyle w:val="TableParagraph"/>
              <w:spacing w:line="132" w:lineRule="exact"/>
              <w:ind w:left="453"/>
              <w:rPr>
                <w:rFonts w:eastAsia="Arial" w:cs="Arial"/>
                <w:sz w:val="12"/>
                <w:szCs w:val="12"/>
              </w:rPr>
            </w:pPr>
            <w:r w:rsidRPr="009D658B">
              <w:rPr>
                <w:sz w:val="12"/>
              </w:rPr>
              <w:t>-161</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2" w:lineRule="exact"/>
              <w:ind w:left="499"/>
              <w:rPr>
                <w:rFonts w:eastAsia="Arial" w:cs="Arial"/>
                <w:sz w:val="12"/>
                <w:szCs w:val="12"/>
              </w:rPr>
            </w:pPr>
            <w:r w:rsidRPr="009D658B">
              <w:rPr>
                <w:sz w:val="12"/>
              </w:rPr>
              <w:t>-157</w:t>
            </w:r>
          </w:p>
        </w:tc>
        <w:tc>
          <w:tcPr>
            <w:tcW w:w="850" w:type="dxa"/>
            <w:tcBorders>
              <w:top w:val="nil"/>
              <w:left w:val="single" w:sz="4" w:space="0" w:color="000000"/>
              <w:bottom w:val="nil"/>
              <w:right w:val="nil"/>
            </w:tcBorders>
          </w:tcPr>
          <w:p w:rsidR="00EC6509" w:rsidRPr="009D658B" w:rsidRDefault="00EC6509" w:rsidP="0082296B">
            <w:pPr>
              <w:pStyle w:val="TableParagraph"/>
              <w:spacing w:line="132" w:lineRule="exact"/>
              <w:ind w:left="499"/>
              <w:rPr>
                <w:rFonts w:eastAsia="Arial" w:cs="Arial"/>
                <w:sz w:val="12"/>
                <w:szCs w:val="12"/>
              </w:rPr>
            </w:pPr>
            <w:r w:rsidRPr="009D658B">
              <w:rPr>
                <w:sz w:val="12"/>
              </w:rPr>
              <w:t>-343</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2" w:lineRule="exact"/>
              <w:ind w:left="501"/>
              <w:rPr>
                <w:rFonts w:eastAsia="Arial" w:cs="Arial"/>
                <w:sz w:val="12"/>
                <w:szCs w:val="12"/>
              </w:rPr>
            </w:pPr>
            <w:r w:rsidRPr="009D658B">
              <w:rPr>
                <w:sz w:val="12"/>
              </w:rPr>
              <w:t>-318</w:t>
            </w:r>
          </w:p>
        </w:tc>
      </w:tr>
      <w:tr w:rsidR="00EC6509" w:rsidRPr="009D658B" w:rsidTr="007E3194">
        <w:trPr>
          <w:trHeight w:hRule="exact" w:val="258"/>
        </w:trPr>
        <w:tc>
          <w:tcPr>
            <w:tcW w:w="4410" w:type="dxa"/>
            <w:tcBorders>
              <w:top w:val="nil"/>
              <w:left w:val="nil"/>
              <w:bottom w:val="single" w:sz="8" w:space="0" w:color="808080"/>
              <w:right w:val="single" w:sz="8" w:space="0" w:color="808080"/>
            </w:tcBorders>
          </w:tcPr>
          <w:p w:rsidR="00EC6509" w:rsidRPr="009D658B" w:rsidRDefault="00EC6509" w:rsidP="0082296B">
            <w:pPr>
              <w:pStyle w:val="TableParagraph"/>
              <w:spacing w:before="23"/>
              <w:ind w:left="122"/>
              <w:rPr>
                <w:rFonts w:eastAsia="Arial" w:cs="Arial"/>
                <w:sz w:val="14"/>
                <w:szCs w:val="14"/>
              </w:rPr>
            </w:pPr>
            <w:proofErr w:type="spellStart"/>
            <w:r w:rsidRPr="009D658B">
              <w:rPr>
                <w:sz w:val="14"/>
              </w:rPr>
              <w:t>Autres</w:t>
            </w:r>
            <w:proofErr w:type="spellEnd"/>
            <w:r w:rsidRPr="009D658B">
              <w:rPr>
                <w:sz w:val="14"/>
              </w:rPr>
              <w:t xml:space="preserve"> </w:t>
            </w:r>
            <w:proofErr w:type="spellStart"/>
            <w:r w:rsidRPr="009D658B">
              <w:rPr>
                <w:sz w:val="14"/>
              </w:rPr>
              <w:t>revenus</w:t>
            </w:r>
            <w:proofErr w:type="spellEnd"/>
            <w:r w:rsidRPr="009D658B">
              <w:rPr>
                <w:sz w:val="14"/>
              </w:rPr>
              <w:t xml:space="preserve"> nets</w:t>
            </w:r>
          </w:p>
        </w:tc>
        <w:tc>
          <w:tcPr>
            <w:tcW w:w="900" w:type="dxa"/>
            <w:tcBorders>
              <w:top w:val="nil"/>
              <w:left w:val="single" w:sz="8" w:space="0" w:color="808080"/>
              <w:bottom w:val="single" w:sz="8" w:space="0" w:color="808080"/>
              <w:right w:val="nil"/>
            </w:tcBorders>
          </w:tcPr>
          <w:p w:rsidR="00EC6509" w:rsidRPr="009D658B" w:rsidRDefault="00EC6509" w:rsidP="0082296B">
            <w:pPr>
              <w:pStyle w:val="TableParagraph"/>
              <w:spacing w:before="23"/>
              <w:ind w:left="499"/>
              <w:rPr>
                <w:rFonts w:eastAsia="Arial" w:cs="Arial"/>
                <w:sz w:val="14"/>
                <w:szCs w:val="14"/>
              </w:rPr>
            </w:pPr>
            <w:r w:rsidRPr="009D658B">
              <w:rPr>
                <w:sz w:val="14"/>
              </w:rPr>
              <w:t>105</w:t>
            </w:r>
          </w:p>
        </w:tc>
        <w:tc>
          <w:tcPr>
            <w:tcW w:w="851" w:type="dxa"/>
            <w:tcBorders>
              <w:top w:val="nil"/>
              <w:left w:val="nil"/>
              <w:bottom w:val="single" w:sz="8" w:space="0" w:color="808080"/>
              <w:right w:val="nil"/>
            </w:tcBorders>
          </w:tcPr>
          <w:p w:rsidR="00EC6509" w:rsidRPr="009D658B" w:rsidRDefault="00EC6509" w:rsidP="0082296B">
            <w:pPr>
              <w:pStyle w:val="TableParagraph"/>
              <w:spacing w:before="23"/>
              <w:ind w:left="537"/>
              <w:rPr>
                <w:rFonts w:eastAsia="Arial" w:cs="Arial"/>
                <w:sz w:val="14"/>
                <w:szCs w:val="14"/>
              </w:rPr>
            </w:pPr>
            <w:r w:rsidRPr="009D658B">
              <w:rPr>
                <w:sz w:val="14"/>
              </w:rPr>
              <w:t>96</w:t>
            </w:r>
          </w:p>
        </w:tc>
        <w:tc>
          <w:tcPr>
            <w:tcW w:w="851" w:type="dxa"/>
            <w:tcBorders>
              <w:top w:val="nil"/>
              <w:left w:val="nil"/>
              <w:bottom w:val="single" w:sz="8" w:space="0" w:color="808080"/>
              <w:right w:val="nil"/>
            </w:tcBorders>
          </w:tcPr>
          <w:p w:rsidR="00EC6509" w:rsidRPr="009D658B" w:rsidRDefault="00EC6509" w:rsidP="0082296B">
            <w:pPr>
              <w:pStyle w:val="TableParagraph"/>
              <w:spacing w:before="23"/>
              <w:ind w:left="536"/>
              <w:rPr>
                <w:rFonts w:eastAsia="Arial" w:cs="Arial"/>
                <w:sz w:val="14"/>
                <w:szCs w:val="14"/>
              </w:rPr>
            </w:pPr>
            <w:r w:rsidRPr="009D658B">
              <w:rPr>
                <w:sz w:val="14"/>
              </w:rPr>
              <w:t>47</w:t>
            </w:r>
          </w:p>
        </w:tc>
        <w:tc>
          <w:tcPr>
            <w:tcW w:w="802" w:type="dxa"/>
            <w:tcBorders>
              <w:top w:val="nil"/>
              <w:left w:val="nil"/>
              <w:bottom w:val="single" w:sz="8" w:space="0" w:color="808080"/>
              <w:right w:val="nil"/>
            </w:tcBorders>
          </w:tcPr>
          <w:p w:rsidR="00EC6509" w:rsidRPr="009D658B" w:rsidRDefault="00EC6509" w:rsidP="0082296B">
            <w:pPr>
              <w:pStyle w:val="TableParagraph"/>
              <w:spacing w:before="23"/>
              <w:ind w:right="108"/>
              <w:jc w:val="right"/>
              <w:rPr>
                <w:rFonts w:eastAsia="Arial" w:cs="Arial"/>
                <w:sz w:val="14"/>
                <w:szCs w:val="14"/>
              </w:rPr>
            </w:pPr>
            <w:r w:rsidRPr="009D658B">
              <w:rPr>
                <w:sz w:val="14"/>
              </w:rPr>
              <w:t>51</w:t>
            </w:r>
          </w:p>
        </w:tc>
        <w:tc>
          <w:tcPr>
            <w:tcW w:w="850" w:type="dxa"/>
            <w:tcBorders>
              <w:top w:val="nil"/>
              <w:left w:val="nil"/>
              <w:bottom w:val="single" w:sz="8" w:space="0" w:color="808080"/>
              <w:right w:val="single" w:sz="4" w:space="0" w:color="000000"/>
            </w:tcBorders>
            <w:shd w:val="clear" w:color="auto" w:fill="D9D9D9"/>
          </w:tcPr>
          <w:p w:rsidR="00EC6509" w:rsidRPr="009D658B" w:rsidRDefault="00EC6509" w:rsidP="0082296B">
            <w:pPr>
              <w:pStyle w:val="TableParagraph"/>
              <w:spacing w:before="23"/>
              <w:ind w:right="106"/>
              <w:jc w:val="right"/>
              <w:rPr>
                <w:rFonts w:eastAsia="Arial" w:cs="Arial"/>
                <w:sz w:val="14"/>
                <w:szCs w:val="14"/>
              </w:rPr>
            </w:pPr>
            <w:r w:rsidRPr="009D658B">
              <w:rPr>
                <w:sz w:val="14"/>
              </w:rPr>
              <w:t>47</w:t>
            </w:r>
          </w:p>
        </w:tc>
        <w:tc>
          <w:tcPr>
            <w:tcW w:w="850" w:type="dxa"/>
            <w:tcBorders>
              <w:top w:val="nil"/>
              <w:left w:val="single" w:sz="4" w:space="0" w:color="000000"/>
              <w:bottom w:val="single" w:sz="8" w:space="0" w:color="808080"/>
              <w:right w:val="nil"/>
            </w:tcBorders>
          </w:tcPr>
          <w:p w:rsidR="00EC6509" w:rsidRPr="009D658B" w:rsidRDefault="00EC6509" w:rsidP="0082296B">
            <w:pPr>
              <w:pStyle w:val="TableParagraph"/>
              <w:spacing w:before="23"/>
              <w:ind w:left="506"/>
              <w:rPr>
                <w:rFonts w:eastAsia="Arial" w:cs="Arial"/>
                <w:sz w:val="14"/>
                <w:szCs w:val="14"/>
              </w:rPr>
            </w:pPr>
            <w:r w:rsidRPr="009D658B">
              <w:rPr>
                <w:sz w:val="14"/>
              </w:rPr>
              <w:t>154</w:t>
            </w:r>
          </w:p>
        </w:tc>
        <w:tc>
          <w:tcPr>
            <w:tcW w:w="850" w:type="dxa"/>
            <w:tcBorders>
              <w:top w:val="nil"/>
              <w:left w:val="nil"/>
              <w:bottom w:val="single" w:sz="8" w:space="0" w:color="808080"/>
              <w:right w:val="nil"/>
            </w:tcBorders>
            <w:shd w:val="clear" w:color="auto" w:fill="D9D9D9"/>
          </w:tcPr>
          <w:p w:rsidR="00EC6509" w:rsidRPr="009D658B" w:rsidRDefault="00EC6509" w:rsidP="0082296B">
            <w:pPr>
              <w:pStyle w:val="TableParagraph"/>
              <w:spacing w:before="23"/>
              <w:ind w:right="108"/>
              <w:jc w:val="right"/>
              <w:rPr>
                <w:rFonts w:eastAsia="Arial" w:cs="Arial"/>
                <w:sz w:val="14"/>
                <w:szCs w:val="14"/>
              </w:rPr>
            </w:pPr>
            <w:r w:rsidRPr="009D658B">
              <w:rPr>
                <w:sz w:val="14"/>
              </w:rPr>
              <w:t>98</w:t>
            </w:r>
          </w:p>
        </w:tc>
      </w:tr>
      <w:tr w:rsidR="00EC6509" w:rsidRPr="009D658B" w:rsidTr="007E3194">
        <w:trPr>
          <w:trHeight w:hRule="exact" w:val="303"/>
        </w:trPr>
        <w:tc>
          <w:tcPr>
            <w:tcW w:w="4410" w:type="dxa"/>
            <w:tcBorders>
              <w:top w:val="single" w:sz="8" w:space="0" w:color="808080"/>
              <w:left w:val="nil"/>
              <w:bottom w:val="single" w:sz="8" w:space="0" w:color="808080"/>
              <w:right w:val="single" w:sz="8" w:space="0" w:color="808080"/>
            </w:tcBorders>
          </w:tcPr>
          <w:p w:rsidR="00EC6509" w:rsidRPr="009D658B" w:rsidRDefault="00EC6509" w:rsidP="0082296B">
            <w:pPr>
              <w:pStyle w:val="TableParagraph"/>
              <w:spacing w:before="120"/>
              <w:ind w:left="122"/>
              <w:rPr>
                <w:rFonts w:eastAsia="Arial" w:cs="Arial"/>
                <w:sz w:val="14"/>
                <w:szCs w:val="14"/>
              </w:rPr>
            </w:pPr>
            <w:r w:rsidRPr="009D658B">
              <w:rPr>
                <w:sz w:val="14"/>
              </w:rPr>
              <w:t xml:space="preserve">Total des </w:t>
            </w:r>
            <w:proofErr w:type="spellStart"/>
            <w:r w:rsidRPr="009D658B">
              <w:rPr>
                <w:sz w:val="14"/>
              </w:rPr>
              <w:t>revenus</w:t>
            </w:r>
            <w:proofErr w:type="spellEnd"/>
          </w:p>
        </w:tc>
        <w:tc>
          <w:tcPr>
            <w:tcW w:w="900" w:type="dxa"/>
            <w:tcBorders>
              <w:top w:val="single" w:sz="8" w:space="0" w:color="808080"/>
              <w:left w:val="single" w:sz="8" w:space="0" w:color="808080"/>
              <w:bottom w:val="single" w:sz="8" w:space="0" w:color="808080"/>
              <w:right w:val="nil"/>
            </w:tcBorders>
          </w:tcPr>
          <w:p w:rsidR="00EC6509" w:rsidRPr="009D658B" w:rsidRDefault="00EC6509" w:rsidP="0082296B">
            <w:pPr>
              <w:pStyle w:val="TableParagraph"/>
              <w:spacing w:before="60"/>
              <w:ind w:left="382"/>
              <w:rPr>
                <w:rFonts w:eastAsia="Arial" w:cs="Arial"/>
                <w:sz w:val="14"/>
                <w:szCs w:val="14"/>
              </w:rPr>
            </w:pPr>
            <w:r w:rsidRPr="009D658B">
              <w:rPr>
                <w:sz w:val="14"/>
              </w:rPr>
              <w:t>2 013</w:t>
            </w:r>
          </w:p>
        </w:tc>
        <w:tc>
          <w:tcPr>
            <w:tcW w:w="851"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343"/>
              <w:rPr>
                <w:rFonts w:eastAsia="Arial" w:cs="Arial"/>
                <w:sz w:val="14"/>
                <w:szCs w:val="14"/>
              </w:rPr>
            </w:pPr>
            <w:r w:rsidRPr="009D658B">
              <w:rPr>
                <w:sz w:val="14"/>
              </w:rPr>
              <w:t>1 736</w:t>
            </w:r>
          </w:p>
        </w:tc>
        <w:tc>
          <w:tcPr>
            <w:tcW w:w="851"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341"/>
              <w:rPr>
                <w:rFonts w:eastAsia="Arial" w:cs="Arial"/>
                <w:sz w:val="14"/>
                <w:szCs w:val="14"/>
              </w:rPr>
            </w:pPr>
            <w:r w:rsidRPr="009D658B">
              <w:rPr>
                <w:sz w:val="14"/>
              </w:rPr>
              <w:t>1 543</w:t>
            </w:r>
          </w:p>
        </w:tc>
        <w:tc>
          <w:tcPr>
            <w:tcW w:w="802"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343"/>
              <w:rPr>
                <w:rFonts w:eastAsia="Arial" w:cs="Arial"/>
                <w:sz w:val="14"/>
                <w:szCs w:val="14"/>
              </w:rPr>
            </w:pPr>
            <w:r w:rsidRPr="009D658B">
              <w:rPr>
                <w:sz w:val="14"/>
              </w:rPr>
              <w:t>1 697</w:t>
            </w:r>
          </w:p>
        </w:tc>
        <w:tc>
          <w:tcPr>
            <w:tcW w:w="850" w:type="dxa"/>
            <w:tcBorders>
              <w:top w:val="single" w:sz="8" w:space="0" w:color="808080"/>
              <w:left w:val="nil"/>
              <w:bottom w:val="single" w:sz="8" w:space="0" w:color="808080"/>
              <w:right w:val="single" w:sz="4" w:space="0" w:color="000000"/>
            </w:tcBorders>
            <w:shd w:val="clear" w:color="auto" w:fill="D9D9D9"/>
          </w:tcPr>
          <w:p w:rsidR="00EC6509" w:rsidRPr="009D658B" w:rsidRDefault="00EC6509" w:rsidP="0082296B">
            <w:pPr>
              <w:pStyle w:val="TableParagraph"/>
              <w:spacing w:before="60"/>
              <w:ind w:left="388"/>
              <w:rPr>
                <w:rFonts w:eastAsia="Arial" w:cs="Arial"/>
                <w:sz w:val="14"/>
                <w:szCs w:val="14"/>
              </w:rPr>
            </w:pPr>
            <w:r w:rsidRPr="009D658B">
              <w:rPr>
                <w:sz w:val="14"/>
              </w:rPr>
              <w:t>1 885</w:t>
            </w:r>
          </w:p>
        </w:tc>
        <w:tc>
          <w:tcPr>
            <w:tcW w:w="850" w:type="dxa"/>
            <w:tcBorders>
              <w:top w:val="single" w:sz="8" w:space="0" w:color="808080"/>
              <w:left w:val="single" w:sz="4" w:space="0" w:color="000000"/>
              <w:bottom w:val="single" w:sz="8" w:space="0" w:color="808080"/>
              <w:right w:val="nil"/>
            </w:tcBorders>
          </w:tcPr>
          <w:p w:rsidR="00EC6509" w:rsidRPr="009D658B" w:rsidRDefault="00EC6509" w:rsidP="0082296B">
            <w:pPr>
              <w:pStyle w:val="TableParagraph"/>
              <w:spacing w:before="60"/>
              <w:ind w:left="388"/>
              <w:rPr>
                <w:rFonts w:eastAsia="Arial" w:cs="Arial"/>
                <w:sz w:val="14"/>
                <w:szCs w:val="14"/>
              </w:rPr>
            </w:pPr>
            <w:r w:rsidRPr="009D658B">
              <w:rPr>
                <w:sz w:val="14"/>
              </w:rPr>
              <w:t>3 868</w:t>
            </w:r>
          </w:p>
        </w:tc>
        <w:tc>
          <w:tcPr>
            <w:tcW w:w="850" w:type="dxa"/>
            <w:tcBorders>
              <w:top w:val="single" w:sz="8" w:space="0" w:color="808080"/>
              <w:left w:val="nil"/>
              <w:bottom w:val="single" w:sz="8" w:space="0" w:color="808080"/>
              <w:right w:val="nil"/>
            </w:tcBorders>
            <w:shd w:val="clear" w:color="auto" w:fill="D9D9D9"/>
          </w:tcPr>
          <w:p w:rsidR="00EC6509" w:rsidRPr="009D658B" w:rsidRDefault="00EC6509" w:rsidP="0082296B">
            <w:pPr>
              <w:pStyle w:val="TableParagraph"/>
              <w:spacing w:before="60"/>
              <w:ind w:left="391"/>
              <w:rPr>
                <w:rFonts w:eastAsia="Arial" w:cs="Arial"/>
                <w:sz w:val="14"/>
                <w:szCs w:val="14"/>
              </w:rPr>
            </w:pPr>
            <w:r w:rsidRPr="009D658B">
              <w:rPr>
                <w:sz w:val="14"/>
              </w:rPr>
              <w:t>3 581</w:t>
            </w:r>
          </w:p>
        </w:tc>
      </w:tr>
      <w:tr w:rsidR="00EC6509" w:rsidRPr="009D658B" w:rsidTr="007E3194">
        <w:trPr>
          <w:trHeight w:hRule="exact" w:val="331"/>
        </w:trPr>
        <w:tc>
          <w:tcPr>
            <w:tcW w:w="4410" w:type="dxa"/>
            <w:tcBorders>
              <w:top w:val="single" w:sz="8" w:space="0" w:color="808080"/>
              <w:left w:val="nil"/>
              <w:bottom w:val="nil"/>
              <w:right w:val="single" w:sz="8" w:space="0" w:color="808080"/>
            </w:tcBorders>
          </w:tcPr>
          <w:p w:rsidR="00EC6509" w:rsidRPr="009D658B" w:rsidRDefault="00EC6509" w:rsidP="0082296B">
            <w:pPr>
              <w:pStyle w:val="TableParagraph"/>
              <w:spacing w:before="120"/>
              <w:ind w:left="122"/>
              <w:rPr>
                <w:rFonts w:eastAsia="Arial" w:cs="Arial"/>
                <w:sz w:val="14"/>
                <w:szCs w:val="14"/>
              </w:rPr>
            </w:pPr>
            <w:r w:rsidRPr="009D658B">
              <w:rPr>
                <w:sz w:val="14"/>
              </w:rPr>
              <w:t xml:space="preserve">Charges </w:t>
            </w:r>
            <w:proofErr w:type="spellStart"/>
            <w:r w:rsidRPr="009D658B">
              <w:rPr>
                <w:sz w:val="14"/>
              </w:rPr>
              <w:t>d’exploitation</w:t>
            </w:r>
            <w:proofErr w:type="spellEnd"/>
          </w:p>
        </w:tc>
        <w:tc>
          <w:tcPr>
            <w:tcW w:w="900" w:type="dxa"/>
            <w:tcBorders>
              <w:top w:val="single" w:sz="8" w:space="0" w:color="808080"/>
              <w:left w:val="single" w:sz="8" w:space="0" w:color="808080"/>
              <w:bottom w:val="nil"/>
              <w:right w:val="nil"/>
            </w:tcBorders>
          </w:tcPr>
          <w:p w:rsidR="00EC6509" w:rsidRPr="009D658B" w:rsidRDefault="00EC6509" w:rsidP="0082296B">
            <w:pPr>
              <w:pStyle w:val="TableParagraph"/>
              <w:spacing w:before="60"/>
              <w:ind w:left="451"/>
              <w:rPr>
                <w:rFonts w:eastAsia="Arial" w:cs="Arial"/>
                <w:sz w:val="14"/>
                <w:szCs w:val="14"/>
              </w:rPr>
            </w:pPr>
            <w:r w:rsidRPr="009D658B">
              <w:rPr>
                <w:sz w:val="14"/>
              </w:rPr>
              <w:t>-941</w:t>
            </w:r>
          </w:p>
        </w:tc>
        <w:tc>
          <w:tcPr>
            <w:tcW w:w="851" w:type="dxa"/>
            <w:tcBorders>
              <w:top w:val="single" w:sz="8" w:space="0" w:color="808080"/>
              <w:left w:val="nil"/>
              <w:bottom w:val="nil"/>
              <w:right w:val="nil"/>
            </w:tcBorders>
          </w:tcPr>
          <w:p w:rsidR="00EC6509" w:rsidRPr="009D658B" w:rsidRDefault="00EC6509" w:rsidP="0082296B">
            <w:pPr>
              <w:pStyle w:val="TableParagraph"/>
              <w:spacing w:before="60"/>
              <w:ind w:left="412"/>
              <w:rPr>
                <w:rFonts w:eastAsia="Arial" w:cs="Arial"/>
                <w:sz w:val="14"/>
                <w:szCs w:val="14"/>
              </w:rPr>
            </w:pPr>
            <w:r w:rsidRPr="009D658B">
              <w:rPr>
                <w:sz w:val="14"/>
              </w:rPr>
              <w:t>-862</w:t>
            </w:r>
          </w:p>
        </w:tc>
        <w:tc>
          <w:tcPr>
            <w:tcW w:w="851" w:type="dxa"/>
            <w:tcBorders>
              <w:top w:val="single" w:sz="8" w:space="0" w:color="808080"/>
              <w:left w:val="nil"/>
              <w:bottom w:val="nil"/>
              <w:right w:val="nil"/>
            </w:tcBorders>
          </w:tcPr>
          <w:p w:rsidR="00EC6509" w:rsidRPr="009D658B" w:rsidRDefault="00EC6509" w:rsidP="0082296B">
            <w:pPr>
              <w:pStyle w:val="TableParagraph"/>
              <w:spacing w:before="60"/>
              <w:ind w:left="411"/>
              <w:rPr>
                <w:rFonts w:eastAsia="Arial" w:cs="Arial"/>
                <w:sz w:val="14"/>
                <w:szCs w:val="14"/>
              </w:rPr>
            </w:pPr>
            <w:r w:rsidRPr="009D658B">
              <w:rPr>
                <w:sz w:val="14"/>
              </w:rPr>
              <w:t>-962</w:t>
            </w:r>
          </w:p>
        </w:tc>
        <w:tc>
          <w:tcPr>
            <w:tcW w:w="802" w:type="dxa"/>
            <w:tcBorders>
              <w:top w:val="single" w:sz="8" w:space="0" w:color="808080"/>
              <w:left w:val="nil"/>
              <w:bottom w:val="nil"/>
              <w:right w:val="nil"/>
            </w:tcBorders>
          </w:tcPr>
          <w:p w:rsidR="00EC6509" w:rsidRPr="009D658B" w:rsidRDefault="00EC6509" w:rsidP="0082296B">
            <w:pPr>
              <w:pStyle w:val="TableParagraph"/>
              <w:spacing w:before="60"/>
              <w:ind w:left="297"/>
              <w:rPr>
                <w:rFonts w:eastAsia="Arial" w:cs="Arial"/>
                <w:sz w:val="14"/>
                <w:szCs w:val="14"/>
              </w:rPr>
            </w:pPr>
            <w:r w:rsidRPr="009D658B">
              <w:rPr>
                <w:sz w:val="14"/>
              </w:rPr>
              <w:t>-1 186</w:t>
            </w:r>
          </w:p>
        </w:tc>
        <w:tc>
          <w:tcPr>
            <w:tcW w:w="850" w:type="dxa"/>
            <w:tcBorders>
              <w:top w:val="single" w:sz="8" w:space="0" w:color="808080"/>
              <w:left w:val="nil"/>
              <w:bottom w:val="nil"/>
              <w:right w:val="single" w:sz="4" w:space="0" w:color="000000"/>
            </w:tcBorders>
            <w:shd w:val="clear" w:color="auto" w:fill="D9D9D9"/>
          </w:tcPr>
          <w:p w:rsidR="00EC6509" w:rsidRPr="009D658B" w:rsidRDefault="00EC6509" w:rsidP="0082296B">
            <w:pPr>
              <w:pStyle w:val="TableParagraph"/>
              <w:spacing w:before="60"/>
              <w:ind w:left="458"/>
              <w:rPr>
                <w:rFonts w:eastAsia="Arial" w:cs="Arial"/>
                <w:sz w:val="14"/>
                <w:szCs w:val="14"/>
              </w:rPr>
            </w:pPr>
            <w:r w:rsidRPr="009D658B">
              <w:rPr>
                <w:sz w:val="14"/>
              </w:rPr>
              <w:t>-904</w:t>
            </w:r>
          </w:p>
        </w:tc>
        <w:tc>
          <w:tcPr>
            <w:tcW w:w="850" w:type="dxa"/>
            <w:tcBorders>
              <w:top w:val="single" w:sz="8" w:space="0" w:color="808080"/>
              <w:left w:val="single" w:sz="4" w:space="0" w:color="000000"/>
              <w:bottom w:val="nil"/>
              <w:right w:val="nil"/>
            </w:tcBorders>
          </w:tcPr>
          <w:p w:rsidR="00EC6509" w:rsidRPr="009D658B" w:rsidRDefault="00EC6509" w:rsidP="0082296B">
            <w:pPr>
              <w:pStyle w:val="TableParagraph"/>
              <w:spacing w:before="60"/>
              <w:ind w:left="343"/>
              <w:rPr>
                <w:rFonts w:eastAsia="Arial" w:cs="Arial"/>
                <w:sz w:val="14"/>
                <w:szCs w:val="14"/>
              </w:rPr>
            </w:pPr>
            <w:r w:rsidRPr="009D658B">
              <w:rPr>
                <w:sz w:val="14"/>
              </w:rPr>
              <w:t>-2 066</w:t>
            </w:r>
          </w:p>
        </w:tc>
        <w:tc>
          <w:tcPr>
            <w:tcW w:w="850" w:type="dxa"/>
            <w:tcBorders>
              <w:top w:val="single" w:sz="8" w:space="0" w:color="808080"/>
              <w:left w:val="nil"/>
              <w:bottom w:val="nil"/>
              <w:right w:val="nil"/>
            </w:tcBorders>
            <w:shd w:val="clear" w:color="auto" w:fill="D9D9D9"/>
          </w:tcPr>
          <w:p w:rsidR="00EC6509" w:rsidRPr="009D658B" w:rsidRDefault="00EC6509" w:rsidP="0082296B">
            <w:pPr>
              <w:pStyle w:val="TableParagraph"/>
              <w:spacing w:before="60"/>
              <w:ind w:left="345"/>
              <w:rPr>
                <w:rFonts w:eastAsia="Arial" w:cs="Arial"/>
                <w:sz w:val="14"/>
                <w:szCs w:val="14"/>
              </w:rPr>
            </w:pPr>
            <w:r w:rsidRPr="009D658B">
              <w:rPr>
                <w:sz w:val="14"/>
              </w:rPr>
              <w:t>-2 090</w:t>
            </w:r>
          </w:p>
        </w:tc>
      </w:tr>
      <w:tr w:rsidR="00EC6509" w:rsidRPr="009D658B" w:rsidTr="007E3194">
        <w:trPr>
          <w:trHeight w:hRule="exact" w:val="251"/>
        </w:trPr>
        <w:tc>
          <w:tcPr>
            <w:tcW w:w="4410" w:type="dxa"/>
            <w:tcBorders>
              <w:top w:val="nil"/>
              <w:left w:val="nil"/>
              <w:bottom w:val="nil"/>
              <w:right w:val="single" w:sz="8" w:space="0" w:color="808080"/>
            </w:tcBorders>
          </w:tcPr>
          <w:p w:rsidR="00EC6509" w:rsidRPr="009D658B" w:rsidRDefault="00EC6509" w:rsidP="0082296B">
            <w:pPr>
              <w:pStyle w:val="TableParagraph"/>
              <w:spacing w:before="84"/>
              <w:ind w:left="122"/>
              <w:rPr>
                <w:rFonts w:eastAsia="Arial" w:cs="Arial"/>
                <w:sz w:val="14"/>
                <w:szCs w:val="14"/>
              </w:rPr>
            </w:pPr>
            <w:proofErr w:type="spellStart"/>
            <w:r w:rsidRPr="009D658B">
              <w:rPr>
                <w:sz w:val="14"/>
              </w:rPr>
              <w:t>Réductions</w:t>
            </w:r>
            <w:proofErr w:type="spellEnd"/>
            <w:r w:rsidRPr="009D658B">
              <w:rPr>
                <w:sz w:val="14"/>
              </w:rPr>
              <w:t xml:space="preserve"> de </w:t>
            </w:r>
            <w:proofErr w:type="spellStart"/>
            <w:r w:rsidRPr="009D658B">
              <w:rPr>
                <w:sz w:val="14"/>
              </w:rPr>
              <w:t>valeur</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before="24"/>
              <w:ind w:left="451"/>
              <w:rPr>
                <w:rFonts w:eastAsia="Arial" w:cs="Arial"/>
                <w:sz w:val="14"/>
                <w:szCs w:val="14"/>
              </w:rPr>
            </w:pPr>
            <w:r w:rsidRPr="009D658B">
              <w:rPr>
                <w:sz w:val="14"/>
              </w:rPr>
              <w:t>-149</w:t>
            </w:r>
          </w:p>
        </w:tc>
        <w:tc>
          <w:tcPr>
            <w:tcW w:w="851" w:type="dxa"/>
            <w:tcBorders>
              <w:top w:val="nil"/>
              <w:left w:val="nil"/>
              <w:bottom w:val="nil"/>
              <w:right w:val="nil"/>
            </w:tcBorders>
          </w:tcPr>
          <w:p w:rsidR="00EC6509" w:rsidRPr="009D658B" w:rsidRDefault="00EC6509" w:rsidP="0082296B">
            <w:pPr>
              <w:pStyle w:val="TableParagraph"/>
              <w:spacing w:before="24"/>
              <w:ind w:left="491"/>
              <w:rPr>
                <w:rFonts w:eastAsia="Arial" w:cs="Arial"/>
                <w:sz w:val="14"/>
                <w:szCs w:val="14"/>
              </w:rPr>
            </w:pPr>
            <w:r w:rsidRPr="009D658B">
              <w:rPr>
                <w:sz w:val="14"/>
              </w:rPr>
              <w:t>-49</w:t>
            </w:r>
          </w:p>
        </w:tc>
        <w:tc>
          <w:tcPr>
            <w:tcW w:w="851" w:type="dxa"/>
            <w:tcBorders>
              <w:top w:val="nil"/>
              <w:left w:val="nil"/>
              <w:bottom w:val="nil"/>
              <w:right w:val="nil"/>
            </w:tcBorders>
          </w:tcPr>
          <w:p w:rsidR="00EC6509" w:rsidRPr="009D658B" w:rsidRDefault="00EC6509" w:rsidP="0082296B">
            <w:pPr>
              <w:pStyle w:val="TableParagraph"/>
              <w:spacing w:before="24"/>
              <w:ind w:left="411"/>
              <w:rPr>
                <w:rFonts w:eastAsia="Arial" w:cs="Arial"/>
                <w:sz w:val="14"/>
                <w:szCs w:val="14"/>
              </w:rPr>
            </w:pPr>
            <w:r w:rsidRPr="009D658B">
              <w:rPr>
                <w:sz w:val="14"/>
              </w:rPr>
              <w:t>-472</w:t>
            </w:r>
          </w:p>
        </w:tc>
        <w:tc>
          <w:tcPr>
            <w:tcW w:w="802" w:type="dxa"/>
            <w:tcBorders>
              <w:top w:val="nil"/>
              <w:left w:val="nil"/>
              <w:bottom w:val="nil"/>
              <w:right w:val="nil"/>
            </w:tcBorders>
          </w:tcPr>
          <w:p w:rsidR="00EC6509" w:rsidRPr="009D658B" w:rsidRDefault="00EC6509" w:rsidP="0082296B">
            <w:pPr>
              <w:pStyle w:val="TableParagraph"/>
              <w:spacing w:before="24"/>
              <w:ind w:left="492"/>
              <w:rPr>
                <w:rFonts w:eastAsia="Arial" w:cs="Arial"/>
                <w:sz w:val="14"/>
                <w:szCs w:val="14"/>
              </w:rPr>
            </w:pPr>
            <w:r w:rsidRPr="009D658B">
              <w:rPr>
                <w:sz w:val="14"/>
              </w:rPr>
              <w:t>-28</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before="24"/>
              <w:ind w:left="537"/>
              <w:rPr>
                <w:rFonts w:eastAsia="Arial" w:cs="Arial"/>
                <w:sz w:val="14"/>
                <w:szCs w:val="14"/>
              </w:rPr>
            </w:pPr>
            <w:r w:rsidRPr="009D658B">
              <w:rPr>
                <w:sz w:val="14"/>
              </w:rPr>
              <w:t>-71</w:t>
            </w:r>
          </w:p>
        </w:tc>
        <w:tc>
          <w:tcPr>
            <w:tcW w:w="850" w:type="dxa"/>
            <w:tcBorders>
              <w:top w:val="nil"/>
              <w:left w:val="single" w:sz="4" w:space="0" w:color="000000"/>
              <w:bottom w:val="nil"/>
              <w:right w:val="nil"/>
            </w:tcBorders>
          </w:tcPr>
          <w:p w:rsidR="00EC6509" w:rsidRPr="009D658B" w:rsidRDefault="00EC6509" w:rsidP="0082296B">
            <w:pPr>
              <w:pStyle w:val="TableParagraph"/>
              <w:spacing w:before="24"/>
              <w:ind w:left="458"/>
              <w:rPr>
                <w:rFonts w:eastAsia="Arial" w:cs="Arial"/>
                <w:sz w:val="14"/>
                <w:szCs w:val="14"/>
              </w:rPr>
            </w:pPr>
            <w:r w:rsidRPr="009D658B">
              <w:rPr>
                <w:sz w:val="14"/>
              </w:rPr>
              <w:t>-226</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before="24"/>
              <w:ind w:left="540"/>
              <w:rPr>
                <w:rFonts w:eastAsia="Arial" w:cs="Arial"/>
                <w:sz w:val="14"/>
                <w:szCs w:val="14"/>
              </w:rPr>
            </w:pPr>
            <w:r w:rsidRPr="009D658B">
              <w:rPr>
                <w:sz w:val="14"/>
              </w:rPr>
              <w:t>-99</w:t>
            </w:r>
          </w:p>
        </w:tc>
      </w:tr>
      <w:tr w:rsidR="00EC6509" w:rsidRPr="009D658B" w:rsidTr="007E3194">
        <w:trPr>
          <w:trHeight w:hRule="exact" w:val="139"/>
        </w:trPr>
        <w:tc>
          <w:tcPr>
            <w:tcW w:w="4410" w:type="dxa"/>
            <w:tcBorders>
              <w:top w:val="nil"/>
              <w:left w:val="nil"/>
              <w:bottom w:val="nil"/>
              <w:right w:val="single" w:sz="8" w:space="0" w:color="808080"/>
            </w:tcBorders>
          </w:tcPr>
          <w:p w:rsidR="00EC6509" w:rsidRPr="009D658B" w:rsidRDefault="00EC6509" w:rsidP="0082296B">
            <w:pPr>
              <w:pStyle w:val="TableParagraph"/>
              <w:spacing w:line="132" w:lineRule="exact"/>
              <w:ind w:left="290"/>
              <w:rPr>
                <w:rFonts w:eastAsia="Arial" w:cs="Arial"/>
                <w:sz w:val="12"/>
                <w:szCs w:val="12"/>
              </w:rPr>
            </w:pPr>
            <w:proofErr w:type="spellStart"/>
            <w:proofErr w:type="gramStart"/>
            <w:r w:rsidRPr="009D658B">
              <w:rPr>
                <w:sz w:val="12"/>
              </w:rPr>
              <w:t>sur</w:t>
            </w:r>
            <w:proofErr w:type="spellEnd"/>
            <w:proofErr w:type="gramEnd"/>
            <w:r w:rsidRPr="009D658B">
              <w:rPr>
                <w:sz w:val="12"/>
              </w:rPr>
              <w:t xml:space="preserve"> </w:t>
            </w:r>
            <w:proofErr w:type="spellStart"/>
            <w:r w:rsidRPr="009D658B">
              <w:rPr>
                <w:sz w:val="12"/>
              </w:rPr>
              <w:t>prêts</w:t>
            </w:r>
            <w:proofErr w:type="spellEnd"/>
            <w:r w:rsidRPr="009D658B">
              <w:rPr>
                <w:sz w:val="12"/>
              </w:rPr>
              <w:t xml:space="preserve"> et </w:t>
            </w:r>
            <w:proofErr w:type="spellStart"/>
            <w:r w:rsidRPr="009D658B">
              <w:rPr>
                <w:sz w:val="12"/>
              </w:rPr>
              <w:t>créances</w:t>
            </w:r>
            <w:proofErr w:type="spellEnd"/>
          </w:p>
        </w:tc>
        <w:tc>
          <w:tcPr>
            <w:tcW w:w="900" w:type="dxa"/>
            <w:tcBorders>
              <w:top w:val="nil"/>
              <w:left w:val="single" w:sz="8" w:space="0" w:color="808080"/>
              <w:bottom w:val="nil"/>
              <w:right w:val="nil"/>
            </w:tcBorders>
          </w:tcPr>
          <w:p w:rsidR="00EC6509" w:rsidRPr="009D658B" w:rsidRDefault="00EC6509" w:rsidP="0082296B">
            <w:pPr>
              <w:pStyle w:val="TableParagraph"/>
              <w:spacing w:line="132" w:lineRule="exact"/>
              <w:ind w:left="492"/>
              <w:rPr>
                <w:rFonts w:eastAsia="Arial" w:cs="Arial"/>
                <w:sz w:val="12"/>
                <w:szCs w:val="12"/>
              </w:rPr>
            </w:pPr>
            <w:r w:rsidRPr="009D658B">
              <w:rPr>
                <w:sz w:val="12"/>
              </w:rPr>
              <w:t>-138</w:t>
            </w:r>
          </w:p>
        </w:tc>
        <w:tc>
          <w:tcPr>
            <w:tcW w:w="851" w:type="dxa"/>
            <w:tcBorders>
              <w:top w:val="nil"/>
              <w:left w:val="nil"/>
              <w:bottom w:val="nil"/>
              <w:right w:val="nil"/>
            </w:tcBorders>
          </w:tcPr>
          <w:p w:rsidR="00EC6509" w:rsidRPr="009D658B" w:rsidRDefault="00EC6509" w:rsidP="0082296B">
            <w:pPr>
              <w:pStyle w:val="TableParagraph"/>
              <w:spacing w:line="132" w:lineRule="exact"/>
              <w:ind w:left="520"/>
              <w:rPr>
                <w:rFonts w:eastAsia="Arial" w:cs="Arial"/>
                <w:sz w:val="12"/>
                <w:szCs w:val="12"/>
              </w:rPr>
            </w:pPr>
            <w:r w:rsidRPr="009D658B">
              <w:rPr>
                <w:sz w:val="12"/>
              </w:rPr>
              <w:t>-34</w:t>
            </w:r>
          </w:p>
        </w:tc>
        <w:tc>
          <w:tcPr>
            <w:tcW w:w="851" w:type="dxa"/>
            <w:tcBorders>
              <w:top w:val="nil"/>
              <w:left w:val="nil"/>
              <w:bottom w:val="nil"/>
              <w:right w:val="nil"/>
            </w:tcBorders>
          </w:tcPr>
          <w:p w:rsidR="00EC6509" w:rsidRPr="009D658B" w:rsidRDefault="00EC6509" w:rsidP="0082296B">
            <w:pPr>
              <w:pStyle w:val="TableParagraph"/>
              <w:spacing w:line="132" w:lineRule="exact"/>
              <w:ind w:left="519"/>
              <w:rPr>
                <w:rFonts w:eastAsia="Arial" w:cs="Arial"/>
                <w:sz w:val="12"/>
                <w:szCs w:val="12"/>
              </w:rPr>
            </w:pPr>
            <w:r w:rsidRPr="009D658B">
              <w:rPr>
                <w:sz w:val="12"/>
              </w:rPr>
              <w:t>-78</w:t>
            </w:r>
          </w:p>
        </w:tc>
        <w:tc>
          <w:tcPr>
            <w:tcW w:w="802" w:type="dxa"/>
            <w:tcBorders>
              <w:top w:val="nil"/>
              <w:left w:val="nil"/>
              <w:bottom w:val="nil"/>
              <w:right w:val="nil"/>
            </w:tcBorders>
          </w:tcPr>
          <w:p w:rsidR="00EC6509" w:rsidRPr="009D658B" w:rsidRDefault="00EC6509" w:rsidP="0082296B">
            <w:pPr>
              <w:pStyle w:val="TableParagraph"/>
              <w:spacing w:line="132" w:lineRule="exact"/>
              <w:ind w:right="104"/>
              <w:jc w:val="right"/>
              <w:rPr>
                <w:rFonts w:eastAsia="Arial" w:cs="Arial"/>
                <w:sz w:val="12"/>
                <w:szCs w:val="12"/>
              </w:rPr>
            </w:pPr>
            <w:r w:rsidRPr="009D658B">
              <w:rPr>
                <w:sz w:val="12"/>
              </w:rPr>
              <w:t>-4</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2" w:lineRule="exact"/>
              <w:ind w:right="101"/>
              <w:jc w:val="right"/>
              <w:rPr>
                <w:rFonts w:eastAsia="Arial" w:cs="Arial"/>
                <w:sz w:val="12"/>
                <w:szCs w:val="12"/>
              </w:rPr>
            </w:pPr>
            <w:r w:rsidRPr="009D658B">
              <w:rPr>
                <w:sz w:val="12"/>
              </w:rPr>
              <w:t>-50</w:t>
            </w:r>
          </w:p>
        </w:tc>
        <w:tc>
          <w:tcPr>
            <w:tcW w:w="850" w:type="dxa"/>
            <w:tcBorders>
              <w:top w:val="nil"/>
              <w:left w:val="single" w:sz="4" w:space="0" w:color="000000"/>
              <w:bottom w:val="nil"/>
              <w:right w:val="nil"/>
            </w:tcBorders>
          </w:tcPr>
          <w:p w:rsidR="00EC6509" w:rsidRPr="009D658B" w:rsidRDefault="00EC6509" w:rsidP="0082296B">
            <w:pPr>
              <w:pStyle w:val="TableParagraph"/>
              <w:spacing w:line="132" w:lineRule="exact"/>
              <w:ind w:left="499"/>
              <w:rPr>
                <w:rFonts w:eastAsia="Arial" w:cs="Arial"/>
                <w:sz w:val="12"/>
                <w:szCs w:val="12"/>
              </w:rPr>
            </w:pPr>
            <w:r w:rsidRPr="009D658B">
              <w:rPr>
                <w:sz w:val="12"/>
              </w:rPr>
              <w:t>-211</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2" w:lineRule="exact"/>
              <w:ind w:right="103"/>
              <w:jc w:val="right"/>
              <w:rPr>
                <w:rFonts w:eastAsia="Arial" w:cs="Arial"/>
                <w:sz w:val="12"/>
                <w:szCs w:val="12"/>
              </w:rPr>
            </w:pPr>
            <w:r w:rsidRPr="009D658B">
              <w:rPr>
                <w:sz w:val="12"/>
              </w:rPr>
              <w:t>-54</w:t>
            </w:r>
          </w:p>
        </w:tc>
      </w:tr>
      <w:tr w:rsidR="00EC6509" w:rsidRPr="009D658B" w:rsidTr="007E3194">
        <w:trPr>
          <w:trHeight w:hRule="exact" w:val="138"/>
        </w:trPr>
        <w:tc>
          <w:tcPr>
            <w:tcW w:w="4410" w:type="dxa"/>
            <w:tcBorders>
              <w:top w:val="nil"/>
              <w:left w:val="nil"/>
              <w:bottom w:val="nil"/>
              <w:right w:val="single" w:sz="8" w:space="0" w:color="808080"/>
            </w:tcBorders>
          </w:tcPr>
          <w:p w:rsidR="00EC6509" w:rsidRPr="009D658B" w:rsidRDefault="00EC6509" w:rsidP="0082296B">
            <w:pPr>
              <w:pStyle w:val="TableParagraph"/>
              <w:spacing w:line="132" w:lineRule="exact"/>
              <w:ind w:left="290"/>
              <w:rPr>
                <w:rFonts w:eastAsia="Arial" w:cs="Arial"/>
                <w:sz w:val="12"/>
                <w:szCs w:val="12"/>
                <w:lang w:val="fr-FR"/>
              </w:rPr>
            </w:pPr>
            <w:r w:rsidRPr="009D658B">
              <w:rPr>
                <w:sz w:val="12"/>
                <w:lang w:val="fr-FR"/>
              </w:rPr>
              <w:t>sur actifs disponibles à la vente</w:t>
            </w:r>
          </w:p>
        </w:tc>
        <w:tc>
          <w:tcPr>
            <w:tcW w:w="900" w:type="dxa"/>
            <w:tcBorders>
              <w:top w:val="nil"/>
              <w:left w:val="single" w:sz="8" w:space="0" w:color="808080"/>
              <w:bottom w:val="nil"/>
              <w:right w:val="nil"/>
            </w:tcBorders>
          </w:tcPr>
          <w:p w:rsidR="00EC6509" w:rsidRPr="009D658B" w:rsidRDefault="00EC6509" w:rsidP="0082296B">
            <w:pPr>
              <w:pStyle w:val="TableParagraph"/>
              <w:spacing w:line="132" w:lineRule="exact"/>
              <w:ind w:right="154"/>
              <w:jc w:val="right"/>
              <w:rPr>
                <w:rFonts w:eastAsia="Arial" w:cs="Arial"/>
                <w:sz w:val="12"/>
                <w:szCs w:val="12"/>
              </w:rPr>
            </w:pPr>
            <w:r w:rsidRPr="009D658B">
              <w:rPr>
                <w:sz w:val="12"/>
              </w:rPr>
              <w:t>-7</w:t>
            </w:r>
          </w:p>
        </w:tc>
        <w:tc>
          <w:tcPr>
            <w:tcW w:w="851" w:type="dxa"/>
            <w:tcBorders>
              <w:top w:val="nil"/>
              <w:left w:val="nil"/>
              <w:bottom w:val="nil"/>
              <w:right w:val="nil"/>
            </w:tcBorders>
          </w:tcPr>
          <w:p w:rsidR="00EC6509" w:rsidRPr="009D658B" w:rsidRDefault="00EC6509" w:rsidP="0082296B">
            <w:pPr>
              <w:pStyle w:val="TableParagraph"/>
              <w:spacing w:line="132" w:lineRule="exact"/>
              <w:ind w:left="520"/>
              <w:rPr>
                <w:rFonts w:eastAsia="Arial" w:cs="Arial"/>
                <w:sz w:val="12"/>
                <w:szCs w:val="12"/>
              </w:rPr>
            </w:pPr>
            <w:r w:rsidRPr="009D658B">
              <w:rPr>
                <w:sz w:val="12"/>
              </w:rPr>
              <w:t>-15</w:t>
            </w:r>
          </w:p>
        </w:tc>
        <w:tc>
          <w:tcPr>
            <w:tcW w:w="851" w:type="dxa"/>
            <w:tcBorders>
              <w:top w:val="nil"/>
              <w:left w:val="nil"/>
              <w:bottom w:val="nil"/>
              <w:right w:val="nil"/>
            </w:tcBorders>
          </w:tcPr>
          <w:p w:rsidR="00EC6509" w:rsidRPr="009D658B" w:rsidRDefault="00EC6509" w:rsidP="0082296B">
            <w:pPr>
              <w:pStyle w:val="TableParagraph"/>
              <w:spacing w:line="132" w:lineRule="exact"/>
              <w:ind w:left="519"/>
              <w:rPr>
                <w:rFonts w:eastAsia="Arial" w:cs="Arial"/>
                <w:sz w:val="12"/>
                <w:szCs w:val="12"/>
              </w:rPr>
            </w:pPr>
            <w:r w:rsidRPr="009D658B">
              <w:rPr>
                <w:sz w:val="12"/>
              </w:rPr>
              <w:t>-21</w:t>
            </w:r>
          </w:p>
        </w:tc>
        <w:tc>
          <w:tcPr>
            <w:tcW w:w="802" w:type="dxa"/>
            <w:tcBorders>
              <w:top w:val="nil"/>
              <w:left w:val="nil"/>
              <w:bottom w:val="nil"/>
              <w:right w:val="nil"/>
            </w:tcBorders>
          </w:tcPr>
          <w:p w:rsidR="00EC6509" w:rsidRPr="009D658B" w:rsidRDefault="00EC6509" w:rsidP="0082296B">
            <w:pPr>
              <w:pStyle w:val="TableParagraph"/>
              <w:spacing w:line="132" w:lineRule="exact"/>
              <w:ind w:left="521"/>
              <w:rPr>
                <w:rFonts w:eastAsia="Arial" w:cs="Arial"/>
                <w:sz w:val="12"/>
                <w:szCs w:val="12"/>
              </w:rPr>
            </w:pPr>
            <w:r w:rsidRPr="009D658B">
              <w:rPr>
                <w:sz w:val="12"/>
              </w:rPr>
              <w:t>-24</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2" w:lineRule="exact"/>
              <w:ind w:right="101"/>
              <w:jc w:val="right"/>
              <w:rPr>
                <w:rFonts w:eastAsia="Arial" w:cs="Arial"/>
                <w:sz w:val="12"/>
                <w:szCs w:val="12"/>
              </w:rPr>
            </w:pPr>
            <w:r w:rsidRPr="009D658B">
              <w:rPr>
                <w:sz w:val="12"/>
              </w:rPr>
              <w:t>-20</w:t>
            </w:r>
          </w:p>
        </w:tc>
        <w:tc>
          <w:tcPr>
            <w:tcW w:w="850" w:type="dxa"/>
            <w:tcBorders>
              <w:top w:val="nil"/>
              <w:left w:val="single" w:sz="4" w:space="0" w:color="000000"/>
              <w:bottom w:val="nil"/>
              <w:right w:val="nil"/>
            </w:tcBorders>
          </w:tcPr>
          <w:p w:rsidR="00EC6509" w:rsidRPr="009D658B" w:rsidRDefault="00EC6509" w:rsidP="0082296B">
            <w:pPr>
              <w:pStyle w:val="TableParagraph"/>
              <w:spacing w:line="132" w:lineRule="exact"/>
              <w:ind w:right="101"/>
              <w:jc w:val="right"/>
              <w:rPr>
                <w:rFonts w:eastAsia="Arial" w:cs="Arial"/>
                <w:sz w:val="12"/>
                <w:szCs w:val="12"/>
              </w:rPr>
            </w:pPr>
            <w:r w:rsidRPr="009D658B">
              <w:rPr>
                <w:sz w:val="12"/>
              </w:rPr>
              <w:t>-9</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2" w:lineRule="exact"/>
              <w:ind w:right="103"/>
              <w:jc w:val="right"/>
              <w:rPr>
                <w:rFonts w:eastAsia="Arial" w:cs="Arial"/>
                <w:sz w:val="12"/>
                <w:szCs w:val="12"/>
              </w:rPr>
            </w:pPr>
            <w:r w:rsidRPr="009D658B">
              <w:rPr>
                <w:sz w:val="12"/>
              </w:rPr>
              <w:t>-43</w:t>
            </w:r>
          </w:p>
        </w:tc>
      </w:tr>
      <w:tr w:rsidR="00EC6509" w:rsidRPr="009D658B" w:rsidTr="007E3194">
        <w:trPr>
          <w:trHeight w:hRule="exact" w:val="138"/>
        </w:trPr>
        <w:tc>
          <w:tcPr>
            <w:tcW w:w="4410" w:type="dxa"/>
            <w:tcBorders>
              <w:top w:val="nil"/>
              <w:left w:val="nil"/>
              <w:bottom w:val="nil"/>
              <w:right w:val="single" w:sz="8" w:space="0" w:color="808080"/>
            </w:tcBorders>
          </w:tcPr>
          <w:p w:rsidR="00EC6509" w:rsidRPr="009D658B" w:rsidRDefault="00EC6509" w:rsidP="0082296B">
            <w:pPr>
              <w:pStyle w:val="TableParagraph"/>
              <w:spacing w:line="131" w:lineRule="exact"/>
              <w:ind w:left="290"/>
              <w:rPr>
                <w:rFonts w:eastAsia="Arial" w:cs="Arial"/>
                <w:sz w:val="12"/>
                <w:szCs w:val="12"/>
              </w:rPr>
            </w:pPr>
            <w:proofErr w:type="spellStart"/>
            <w:proofErr w:type="gramStart"/>
            <w:r w:rsidRPr="009D658B">
              <w:rPr>
                <w:sz w:val="12"/>
              </w:rPr>
              <w:t>sur</w:t>
            </w:r>
            <w:proofErr w:type="spellEnd"/>
            <w:proofErr w:type="gramEnd"/>
            <w:r w:rsidRPr="009D658B">
              <w:rPr>
                <w:sz w:val="12"/>
              </w:rPr>
              <w:t xml:space="preserve"> goodwill</w:t>
            </w:r>
          </w:p>
        </w:tc>
        <w:tc>
          <w:tcPr>
            <w:tcW w:w="900" w:type="dxa"/>
            <w:tcBorders>
              <w:top w:val="nil"/>
              <w:left w:val="single" w:sz="8" w:space="0" w:color="808080"/>
              <w:bottom w:val="nil"/>
              <w:right w:val="nil"/>
            </w:tcBorders>
          </w:tcPr>
          <w:p w:rsidR="00EC6509" w:rsidRPr="009D658B" w:rsidRDefault="00EC6509" w:rsidP="0082296B">
            <w:pPr>
              <w:pStyle w:val="TableParagraph"/>
              <w:spacing w:line="131" w:lineRule="exact"/>
              <w:ind w:right="156"/>
              <w:jc w:val="right"/>
              <w:rPr>
                <w:rFonts w:eastAsia="Arial" w:cs="Arial"/>
                <w:sz w:val="12"/>
                <w:szCs w:val="12"/>
              </w:rPr>
            </w:pPr>
            <w:r w:rsidRPr="009D658B">
              <w:rPr>
                <w:sz w:val="12"/>
              </w:rPr>
              <w:t>0</w:t>
            </w:r>
          </w:p>
        </w:tc>
        <w:tc>
          <w:tcPr>
            <w:tcW w:w="851" w:type="dxa"/>
            <w:tcBorders>
              <w:top w:val="nil"/>
              <w:left w:val="nil"/>
              <w:bottom w:val="nil"/>
              <w:right w:val="nil"/>
            </w:tcBorders>
          </w:tcPr>
          <w:p w:rsidR="00EC6509" w:rsidRPr="009D658B" w:rsidRDefault="00EC6509" w:rsidP="0082296B">
            <w:pPr>
              <w:pStyle w:val="TableParagraph"/>
              <w:spacing w:line="131" w:lineRule="exact"/>
              <w:ind w:right="155"/>
              <w:jc w:val="right"/>
              <w:rPr>
                <w:rFonts w:eastAsia="Arial" w:cs="Arial"/>
                <w:sz w:val="12"/>
                <w:szCs w:val="12"/>
              </w:rPr>
            </w:pPr>
            <w:r w:rsidRPr="009D658B">
              <w:rPr>
                <w:sz w:val="12"/>
              </w:rPr>
              <w:t>0</w:t>
            </w:r>
          </w:p>
        </w:tc>
        <w:tc>
          <w:tcPr>
            <w:tcW w:w="851" w:type="dxa"/>
            <w:tcBorders>
              <w:top w:val="nil"/>
              <w:left w:val="nil"/>
              <w:bottom w:val="nil"/>
              <w:right w:val="nil"/>
            </w:tcBorders>
          </w:tcPr>
          <w:p w:rsidR="00EC6509" w:rsidRPr="009D658B" w:rsidRDefault="00EC6509" w:rsidP="0082296B">
            <w:pPr>
              <w:pStyle w:val="TableParagraph"/>
              <w:spacing w:line="131" w:lineRule="exact"/>
              <w:ind w:left="452"/>
              <w:rPr>
                <w:rFonts w:eastAsia="Arial" w:cs="Arial"/>
                <w:sz w:val="12"/>
                <w:szCs w:val="12"/>
              </w:rPr>
            </w:pPr>
            <w:r w:rsidRPr="009D658B">
              <w:rPr>
                <w:sz w:val="12"/>
              </w:rPr>
              <w:t>-344</w:t>
            </w:r>
          </w:p>
        </w:tc>
        <w:tc>
          <w:tcPr>
            <w:tcW w:w="802" w:type="dxa"/>
            <w:tcBorders>
              <w:top w:val="nil"/>
              <w:left w:val="nil"/>
              <w:bottom w:val="nil"/>
              <w:right w:val="nil"/>
            </w:tcBorders>
          </w:tcPr>
          <w:p w:rsidR="00EC6509" w:rsidRPr="009D658B" w:rsidRDefault="00EC6509" w:rsidP="0082296B">
            <w:pPr>
              <w:pStyle w:val="TableParagraph"/>
              <w:spacing w:line="131" w:lineRule="exact"/>
              <w:ind w:right="106"/>
              <w:jc w:val="right"/>
              <w:rPr>
                <w:rFonts w:eastAsia="Arial" w:cs="Arial"/>
                <w:sz w:val="12"/>
                <w:szCs w:val="12"/>
              </w:rPr>
            </w:pPr>
            <w:r w:rsidRPr="009D658B">
              <w:rPr>
                <w:sz w:val="12"/>
              </w:rPr>
              <w:t>0</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1" w:lineRule="exact"/>
              <w:ind w:right="104"/>
              <w:jc w:val="right"/>
              <w:rPr>
                <w:rFonts w:eastAsia="Arial" w:cs="Arial"/>
                <w:sz w:val="12"/>
                <w:szCs w:val="12"/>
              </w:rPr>
            </w:pPr>
            <w:r w:rsidRPr="009D658B">
              <w:rPr>
                <w:sz w:val="12"/>
              </w:rPr>
              <w:t>0</w:t>
            </w:r>
          </w:p>
        </w:tc>
        <w:tc>
          <w:tcPr>
            <w:tcW w:w="850" w:type="dxa"/>
            <w:tcBorders>
              <w:top w:val="nil"/>
              <w:left w:val="single" w:sz="4" w:space="0" w:color="000000"/>
              <w:bottom w:val="nil"/>
              <w:right w:val="nil"/>
            </w:tcBorders>
          </w:tcPr>
          <w:p w:rsidR="00EC6509" w:rsidRPr="009D658B" w:rsidRDefault="00EC6509" w:rsidP="0082296B">
            <w:pPr>
              <w:pStyle w:val="TableParagraph"/>
              <w:spacing w:line="131" w:lineRule="exact"/>
              <w:ind w:right="104"/>
              <w:jc w:val="right"/>
              <w:rPr>
                <w:rFonts w:eastAsia="Arial" w:cs="Arial"/>
                <w:sz w:val="12"/>
                <w:szCs w:val="12"/>
              </w:rPr>
            </w:pPr>
            <w:r w:rsidRPr="009D658B">
              <w:rPr>
                <w:sz w:val="12"/>
              </w:rPr>
              <w:t>0</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1" w:lineRule="exact"/>
              <w:ind w:right="106"/>
              <w:jc w:val="right"/>
              <w:rPr>
                <w:rFonts w:eastAsia="Arial" w:cs="Arial"/>
                <w:sz w:val="12"/>
                <w:szCs w:val="12"/>
              </w:rPr>
            </w:pPr>
            <w:r w:rsidRPr="009D658B">
              <w:rPr>
                <w:sz w:val="12"/>
              </w:rPr>
              <w:t>0</w:t>
            </w:r>
          </w:p>
        </w:tc>
      </w:tr>
      <w:tr w:rsidR="00EC6509" w:rsidRPr="009D658B" w:rsidTr="007E3194">
        <w:trPr>
          <w:trHeight w:hRule="exact" w:val="171"/>
        </w:trPr>
        <w:tc>
          <w:tcPr>
            <w:tcW w:w="4410" w:type="dxa"/>
            <w:tcBorders>
              <w:top w:val="nil"/>
              <w:left w:val="nil"/>
              <w:bottom w:val="nil"/>
              <w:right w:val="single" w:sz="8" w:space="0" w:color="808080"/>
            </w:tcBorders>
          </w:tcPr>
          <w:p w:rsidR="00EC6509" w:rsidRPr="009D658B" w:rsidRDefault="00EC6509" w:rsidP="0082296B">
            <w:pPr>
              <w:pStyle w:val="TableParagraph"/>
              <w:spacing w:line="132" w:lineRule="exact"/>
              <w:ind w:left="290"/>
              <w:rPr>
                <w:rFonts w:eastAsia="Arial" w:cs="Arial"/>
                <w:sz w:val="12"/>
                <w:szCs w:val="12"/>
              </w:rPr>
            </w:pPr>
            <w:proofErr w:type="spellStart"/>
            <w:proofErr w:type="gramStart"/>
            <w:r w:rsidRPr="009D658B">
              <w:rPr>
                <w:sz w:val="12"/>
              </w:rPr>
              <w:t>autres</w:t>
            </w:r>
            <w:proofErr w:type="spellEnd"/>
            <w:proofErr w:type="gramEnd"/>
          </w:p>
        </w:tc>
        <w:tc>
          <w:tcPr>
            <w:tcW w:w="900" w:type="dxa"/>
            <w:tcBorders>
              <w:top w:val="nil"/>
              <w:left w:val="single" w:sz="8" w:space="0" w:color="808080"/>
              <w:bottom w:val="nil"/>
              <w:right w:val="nil"/>
            </w:tcBorders>
          </w:tcPr>
          <w:p w:rsidR="00EC6509" w:rsidRPr="009D658B" w:rsidRDefault="00EC6509" w:rsidP="0082296B">
            <w:pPr>
              <w:pStyle w:val="TableParagraph"/>
              <w:spacing w:line="132" w:lineRule="exact"/>
              <w:ind w:right="154"/>
              <w:jc w:val="right"/>
              <w:rPr>
                <w:rFonts w:eastAsia="Arial" w:cs="Arial"/>
                <w:sz w:val="12"/>
                <w:szCs w:val="12"/>
              </w:rPr>
            </w:pPr>
            <w:r w:rsidRPr="009D658B">
              <w:rPr>
                <w:sz w:val="12"/>
              </w:rPr>
              <w:t>-5</w:t>
            </w:r>
          </w:p>
        </w:tc>
        <w:tc>
          <w:tcPr>
            <w:tcW w:w="851" w:type="dxa"/>
            <w:tcBorders>
              <w:top w:val="nil"/>
              <w:left w:val="nil"/>
              <w:bottom w:val="nil"/>
              <w:right w:val="nil"/>
            </w:tcBorders>
          </w:tcPr>
          <w:p w:rsidR="00EC6509" w:rsidRPr="009D658B" w:rsidRDefault="00EC6509" w:rsidP="0082296B">
            <w:pPr>
              <w:pStyle w:val="TableParagraph"/>
              <w:spacing w:line="132" w:lineRule="exact"/>
              <w:ind w:right="155"/>
              <w:jc w:val="right"/>
              <w:rPr>
                <w:rFonts w:eastAsia="Arial" w:cs="Arial"/>
                <w:sz w:val="12"/>
                <w:szCs w:val="12"/>
              </w:rPr>
            </w:pPr>
            <w:r w:rsidRPr="009D658B">
              <w:rPr>
                <w:sz w:val="12"/>
              </w:rPr>
              <w:t>0</w:t>
            </w:r>
          </w:p>
        </w:tc>
        <w:tc>
          <w:tcPr>
            <w:tcW w:w="851" w:type="dxa"/>
            <w:tcBorders>
              <w:top w:val="nil"/>
              <w:left w:val="nil"/>
              <w:bottom w:val="nil"/>
              <w:right w:val="nil"/>
            </w:tcBorders>
          </w:tcPr>
          <w:p w:rsidR="00EC6509" w:rsidRPr="009D658B" w:rsidRDefault="00EC6509" w:rsidP="0082296B">
            <w:pPr>
              <w:pStyle w:val="TableParagraph"/>
              <w:spacing w:line="132" w:lineRule="exact"/>
              <w:ind w:left="519"/>
              <w:rPr>
                <w:rFonts w:eastAsia="Arial" w:cs="Arial"/>
                <w:sz w:val="12"/>
                <w:szCs w:val="12"/>
              </w:rPr>
            </w:pPr>
            <w:r w:rsidRPr="009D658B">
              <w:rPr>
                <w:sz w:val="12"/>
              </w:rPr>
              <w:t>-29</w:t>
            </w:r>
          </w:p>
        </w:tc>
        <w:tc>
          <w:tcPr>
            <w:tcW w:w="802" w:type="dxa"/>
            <w:tcBorders>
              <w:top w:val="nil"/>
              <w:left w:val="nil"/>
              <w:bottom w:val="nil"/>
              <w:right w:val="nil"/>
            </w:tcBorders>
          </w:tcPr>
          <w:p w:rsidR="00EC6509" w:rsidRPr="009D658B" w:rsidRDefault="00EC6509" w:rsidP="0082296B">
            <w:pPr>
              <w:pStyle w:val="TableParagraph"/>
              <w:spacing w:line="132" w:lineRule="exact"/>
              <w:ind w:right="104"/>
              <w:jc w:val="right"/>
              <w:rPr>
                <w:rFonts w:eastAsia="Arial" w:cs="Arial"/>
                <w:sz w:val="12"/>
                <w:szCs w:val="12"/>
              </w:rPr>
            </w:pPr>
            <w:r w:rsidRPr="009D658B">
              <w:rPr>
                <w:sz w:val="12"/>
              </w:rPr>
              <w:t>-1</w:t>
            </w:r>
          </w:p>
        </w:tc>
        <w:tc>
          <w:tcPr>
            <w:tcW w:w="850" w:type="dxa"/>
            <w:tcBorders>
              <w:top w:val="nil"/>
              <w:left w:val="nil"/>
              <w:bottom w:val="nil"/>
              <w:right w:val="single" w:sz="4" w:space="0" w:color="000000"/>
            </w:tcBorders>
            <w:shd w:val="clear" w:color="auto" w:fill="D9D9D9"/>
          </w:tcPr>
          <w:p w:rsidR="00EC6509" w:rsidRPr="009D658B" w:rsidRDefault="00EC6509" w:rsidP="0082296B">
            <w:pPr>
              <w:pStyle w:val="TableParagraph"/>
              <w:spacing w:line="132" w:lineRule="exact"/>
              <w:ind w:right="101"/>
              <w:jc w:val="right"/>
              <w:rPr>
                <w:rFonts w:eastAsia="Arial" w:cs="Arial"/>
                <w:sz w:val="12"/>
                <w:szCs w:val="12"/>
              </w:rPr>
            </w:pPr>
            <w:r w:rsidRPr="009D658B">
              <w:rPr>
                <w:sz w:val="12"/>
              </w:rPr>
              <w:t>-1</w:t>
            </w:r>
          </w:p>
        </w:tc>
        <w:tc>
          <w:tcPr>
            <w:tcW w:w="850" w:type="dxa"/>
            <w:tcBorders>
              <w:top w:val="nil"/>
              <w:left w:val="single" w:sz="4" w:space="0" w:color="000000"/>
              <w:bottom w:val="nil"/>
              <w:right w:val="nil"/>
            </w:tcBorders>
          </w:tcPr>
          <w:p w:rsidR="00EC6509" w:rsidRPr="009D658B" w:rsidRDefault="00EC6509" w:rsidP="0082296B">
            <w:pPr>
              <w:pStyle w:val="TableParagraph"/>
              <w:spacing w:line="132" w:lineRule="exact"/>
              <w:ind w:right="101"/>
              <w:jc w:val="right"/>
              <w:rPr>
                <w:rFonts w:eastAsia="Arial" w:cs="Arial"/>
                <w:sz w:val="12"/>
                <w:szCs w:val="12"/>
              </w:rPr>
            </w:pPr>
            <w:r w:rsidRPr="009D658B">
              <w:rPr>
                <w:sz w:val="12"/>
              </w:rPr>
              <w:t>-6</w:t>
            </w:r>
          </w:p>
        </w:tc>
        <w:tc>
          <w:tcPr>
            <w:tcW w:w="850" w:type="dxa"/>
            <w:tcBorders>
              <w:top w:val="nil"/>
              <w:left w:val="nil"/>
              <w:bottom w:val="nil"/>
              <w:right w:val="nil"/>
            </w:tcBorders>
            <w:shd w:val="clear" w:color="auto" w:fill="D9D9D9"/>
          </w:tcPr>
          <w:p w:rsidR="00EC6509" w:rsidRPr="009D658B" w:rsidRDefault="00EC6509" w:rsidP="0082296B">
            <w:pPr>
              <w:pStyle w:val="TableParagraph"/>
              <w:spacing w:line="132" w:lineRule="exact"/>
              <w:ind w:right="104"/>
              <w:jc w:val="right"/>
              <w:rPr>
                <w:rFonts w:eastAsia="Arial" w:cs="Arial"/>
                <w:sz w:val="12"/>
                <w:szCs w:val="12"/>
              </w:rPr>
            </w:pPr>
            <w:r w:rsidRPr="009D658B">
              <w:rPr>
                <w:sz w:val="12"/>
              </w:rPr>
              <w:t>-2</w:t>
            </w:r>
          </w:p>
        </w:tc>
      </w:tr>
      <w:tr w:rsidR="00EC6509" w:rsidRPr="009D658B" w:rsidTr="007E3194">
        <w:trPr>
          <w:trHeight w:hRule="exact" w:val="257"/>
        </w:trPr>
        <w:tc>
          <w:tcPr>
            <w:tcW w:w="4410" w:type="dxa"/>
            <w:tcBorders>
              <w:top w:val="nil"/>
              <w:left w:val="nil"/>
              <w:bottom w:val="single" w:sz="8" w:space="0" w:color="808080"/>
              <w:right w:val="single" w:sz="8" w:space="0" w:color="808080"/>
            </w:tcBorders>
          </w:tcPr>
          <w:p w:rsidR="00EC6509" w:rsidRPr="009D658B" w:rsidRDefault="00EC6509" w:rsidP="0082296B">
            <w:pPr>
              <w:pStyle w:val="TableParagraph"/>
              <w:spacing w:before="83"/>
              <w:ind w:left="122"/>
              <w:rPr>
                <w:rFonts w:eastAsia="Arial" w:cs="Arial"/>
                <w:sz w:val="14"/>
                <w:szCs w:val="14"/>
                <w:lang w:val="fr-FR"/>
              </w:rPr>
            </w:pPr>
            <w:r w:rsidRPr="009D658B">
              <w:rPr>
                <w:sz w:val="14"/>
                <w:lang w:val="fr-FR"/>
              </w:rPr>
              <w:t>Quote-part dans le résultat des entreprises associées et joint-ventures</w:t>
            </w:r>
          </w:p>
        </w:tc>
        <w:tc>
          <w:tcPr>
            <w:tcW w:w="900" w:type="dxa"/>
            <w:tcBorders>
              <w:top w:val="nil"/>
              <w:left w:val="single" w:sz="8" w:space="0" w:color="808080"/>
              <w:bottom w:val="single" w:sz="8" w:space="0" w:color="808080"/>
              <w:right w:val="nil"/>
            </w:tcBorders>
          </w:tcPr>
          <w:p w:rsidR="00EC6509" w:rsidRPr="009D658B" w:rsidRDefault="00EC6509" w:rsidP="0082296B">
            <w:pPr>
              <w:pStyle w:val="TableParagraph"/>
              <w:spacing w:before="23"/>
              <w:ind w:right="155"/>
              <w:jc w:val="right"/>
              <w:rPr>
                <w:rFonts w:eastAsia="Arial" w:cs="Arial"/>
                <w:sz w:val="14"/>
                <w:szCs w:val="14"/>
              </w:rPr>
            </w:pPr>
            <w:r w:rsidRPr="009D658B">
              <w:rPr>
                <w:sz w:val="14"/>
              </w:rPr>
              <w:t>8</w:t>
            </w:r>
          </w:p>
        </w:tc>
        <w:tc>
          <w:tcPr>
            <w:tcW w:w="851" w:type="dxa"/>
            <w:tcBorders>
              <w:top w:val="nil"/>
              <w:left w:val="nil"/>
              <w:bottom w:val="single" w:sz="8" w:space="0" w:color="808080"/>
              <w:right w:val="nil"/>
            </w:tcBorders>
          </w:tcPr>
          <w:p w:rsidR="00EC6509" w:rsidRPr="009D658B" w:rsidRDefault="00EC6509" w:rsidP="0082296B">
            <w:pPr>
              <w:pStyle w:val="TableParagraph"/>
              <w:spacing w:before="23"/>
              <w:ind w:right="154"/>
              <w:jc w:val="right"/>
              <w:rPr>
                <w:rFonts w:eastAsia="Arial" w:cs="Arial"/>
                <w:sz w:val="14"/>
                <w:szCs w:val="14"/>
              </w:rPr>
            </w:pPr>
            <w:r w:rsidRPr="009D658B">
              <w:rPr>
                <w:sz w:val="14"/>
              </w:rPr>
              <w:t>6</w:t>
            </w:r>
          </w:p>
        </w:tc>
        <w:tc>
          <w:tcPr>
            <w:tcW w:w="851" w:type="dxa"/>
            <w:tcBorders>
              <w:top w:val="nil"/>
              <w:left w:val="nil"/>
              <w:bottom w:val="single" w:sz="8" w:space="0" w:color="808080"/>
              <w:right w:val="nil"/>
            </w:tcBorders>
          </w:tcPr>
          <w:p w:rsidR="00EC6509" w:rsidRPr="009D658B" w:rsidRDefault="00EC6509" w:rsidP="0082296B">
            <w:pPr>
              <w:pStyle w:val="TableParagraph"/>
              <w:spacing w:before="23"/>
              <w:ind w:right="156"/>
              <w:jc w:val="right"/>
              <w:rPr>
                <w:rFonts w:eastAsia="Arial" w:cs="Arial"/>
                <w:sz w:val="14"/>
                <w:szCs w:val="14"/>
              </w:rPr>
            </w:pPr>
            <w:r w:rsidRPr="009D658B">
              <w:rPr>
                <w:sz w:val="14"/>
              </w:rPr>
              <w:t>5</w:t>
            </w:r>
          </w:p>
        </w:tc>
        <w:tc>
          <w:tcPr>
            <w:tcW w:w="802" w:type="dxa"/>
            <w:tcBorders>
              <w:top w:val="nil"/>
              <w:left w:val="nil"/>
              <w:bottom w:val="single" w:sz="8" w:space="0" w:color="808080"/>
              <w:right w:val="nil"/>
            </w:tcBorders>
          </w:tcPr>
          <w:p w:rsidR="00EC6509" w:rsidRPr="009D658B" w:rsidRDefault="00EC6509" w:rsidP="0082296B">
            <w:pPr>
              <w:pStyle w:val="TableParagraph"/>
              <w:spacing w:before="23"/>
              <w:ind w:right="105"/>
              <w:jc w:val="right"/>
              <w:rPr>
                <w:rFonts w:eastAsia="Arial" w:cs="Arial"/>
                <w:sz w:val="14"/>
                <w:szCs w:val="14"/>
              </w:rPr>
            </w:pPr>
            <w:r w:rsidRPr="009D658B">
              <w:rPr>
                <w:sz w:val="14"/>
              </w:rPr>
              <w:t>7</w:t>
            </w:r>
          </w:p>
        </w:tc>
        <w:tc>
          <w:tcPr>
            <w:tcW w:w="850" w:type="dxa"/>
            <w:tcBorders>
              <w:top w:val="nil"/>
              <w:left w:val="nil"/>
              <w:bottom w:val="single" w:sz="8" w:space="0" w:color="808080"/>
              <w:right w:val="single" w:sz="4" w:space="0" w:color="000000"/>
            </w:tcBorders>
            <w:shd w:val="clear" w:color="auto" w:fill="D9D9D9"/>
          </w:tcPr>
          <w:p w:rsidR="00EC6509" w:rsidRPr="009D658B" w:rsidRDefault="00EC6509" w:rsidP="0082296B">
            <w:pPr>
              <w:pStyle w:val="TableParagraph"/>
              <w:spacing w:before="23"/>
              <w:ind w:right="103"/>
              <w:jc w:val="right"/>
              <w:rPr>
                <w:rFonts w:eastAsia="Arial" w:cs="Arial"/>
                <w:sz w:val="14"/>
                <w:szCs w:val="14"/>
              </w:rPr>
            </w:pPr>
            <w:r w:rsidRPr="009D658B">
              <w:rPr>
                <w:sz w:val="14"/>
              </w:rPr>
              <w:t>6</w:t>
            </w:r>
          </w:p>
        </w:tc>
        <w:tc>
          <w:tcPr>
            <w:tcW w:w="850" w:type="dxa"/>
            <w:tcBorders>
              <w:top w:val="nil"/>
              <w:left w:val="single" w:sz="4" w:space="0" w:color="000000"/>
              <w:bottom w:val="single" w:sz="8" w:space="0" w:color="808080"/>
              <w:right w:val="nil"/>
            </w:tcBorders>
          </w:tcPr>
          <w:p w:rsidR="00EC6509" w:rsidRPr="009D658B" w:rsidRDefault="00EC6509" w:rsidP="0082296B">
            <w:pPr>
              <w:pStyle w:val="TableParagraph"/>
              <w:spacing w:before="23"/>
              <w:ind w:right="106"/>
              <w:jc w:val="right"/>
              <w:rPr>
                <w:rFonts w:eastAsia="Arial" w:cs="Arial"/>
                <w:sz w:val="14"/>
                <w:szCs w:val="14"/>
              </w:rPr>
            </w:pPr>
            <w:r w:rsidRPr="009D658B">
              <w:rPr>
                <w:sz w:val="14"/>
              </w:rPr>
              <w:t>14</w:t>
            </w:r>
          </w:p>
        </w:tc>
        <w:tc>
          <w:tcPr>
            <w:tcW w:w="850" w:type="dxa"/>
            <w:tcBorders>
              <w:top w:val="nil"/>
              <w:left w:val="nil"/>
              <w:bottom w:val="single" w:sz="8" w:space="0" w:color="808080"/>
              <w:right w:val="nil"/>
            </w:tcBorders>
            <w:shd w:val="clear" w:color="auto" w:fill="D9D9D9"/>
          </w:tcPr>
          <w:p w:rsidR="00EC6509" w:rsidRPr="009D658B" w:rsidRDefault="00EC6509" w:rsidP="0082296B">
            <w:pPr>
              <w:pStyle w:val="TableParagraph"/>
              <w:spacing w:before="23"/>
              <w:ind w:right="108"/>
              <w:jc w:val="right"/>
              <w:rPr>
                <w:rFonts w:eastAsia="Arial" w:cs="Arial"/>
                <w:sz w:val="14"/>
                <w:szCs w:val="14"/>
              </w:rPr>
            </w:pPr>
            <w:r w:rsidRPr="009D658B">
              <w:rPr>
                <w:sz w:val="14"/>
              </w:rPr>
              <w:t>13</w:t>
            </w:r>
          </w:p>
        </w:tc>
      </w:tr>
      <w:tr w:rsidR="00EC6509" w:rsidRPr="009D658B" w:rsidTr="007E3194">
        <w:trPr>
          <w:trHeight w:hRule="exact" w:val="302"/>
        </w:trPr>
        <w:tc>
          <w:tcPr>
            <w:tcW w:w="4410" w:type="dxa"/>
            <w:tcBorders>
              <w:top w:val="single" w:sz="8" w:space="0" w:color="808080"/>
              <w:left w:val="nil"/>
              <w:bottom w:val="single" w:sz="8" w:space="0" w:color="808080"/>
              <w:right w:val="single" w:sz="8" w:space="0" w:color="808080"/>
            </w:tcBorders>
          </w:tcPr>
          <w:p w:rsidR="00EC6509" w:rsidRPr="009D658B" w:rsidRDefault="00EC6509" w:rsidP="0082296B">
            <w:pPr>
              <w:pStyle w:val="TableParagraph"/>
              <w:spacing w:before="120"/>
              <w:ind w:left="122"/>
              <w:rPr>
                <w:rFonts w:eastAsia="Arial" w:cs="Arial"/>
                <w:sz w:val="14"/>
                <w:szCs w:val="14"/>
              </w:rPr>
            </w:pPr>
            <w:proofErr w:type="spellStart"/>
            <w:r w:rsidRPr="009D658B">
              <w:rPr>
                <w:sz w:val="14"/>
              </w:rPr>
              <w:t>Résultat</w:t>
            </w:r>
            <w:proofErr w:type="spellEnd"/>
            <w:r w:rsidRPr="009D658B">
              <w:rPr>
                <w:sz w:val="14"/>
              </w:rPr>
              <w:t xml:space="preserve"> </w:t>
            </w:r>
            <w:proofErr w:type="spellStart"/>
            <w:r w:rsidRPr="009D658B">
              <w:rPr>
                <w:sz w:val="14"/>
              </w:rPr>
              <w:t>avant</w:t>
            </w:r>
            <w:proofErr w:type="spellEnd"/>
            <w:r w:rsidRPr="009D658B">
              <w:rPr>
                <w:sz w:val="14"/>
              </w:rPr>
              <w:t xml:space="preserve"> </w:t>
            </w:r>
            <w:proofErr w:type="spellStart"/>
            <w:r w:rsidRPr="009D658B">
              <w:rPr>
                <w:sz w:val="14"/>
              </w:rPr>
              <w:t>impôts</w:t>
            </w:r>
            <w:proofErr w:type="spellEnd"/>
          </w:p>
        </w:tc>
        <w:tc>
          <w:tcPr>
            <w:tcW w:w="900" w:type="dxa"/>
            <w:tcBorders>
              <w:top w:val="single" w:sz="8" w:space="0" w:color="808080"/>
              <w:left w:val="single" w:sz="8" w:space="0" w:color="808080"/>
              <w:bottom w:val="single" w:sz="8" w:space="0" w:color="808080"/>
              <w:right w:val="nil"/>
            </w:tcBorders>
          </w:tcPr>
          <w:p w:rsidR="00EC6509" w:rsidRPr="009D658B" w:rsidRDefault="00EC6509" w:rsidP="0082296B">
            <w:pPr>
              <w:pStyle w:val="TableParagraph"/>
              <w:spacing w:before="60"/>
              <w:ind w:left="499"/>
              <w:rPr>
                <w:rFonts w:eastAsia="Arial" w:cs="Arial"/>
                <w:sz w:val="14"/>
                <w:szCs w:val="14"/>
              </w:rPr>
            </w:pPr>
            <w:r w:rsidRPr="009D658B">
              <w:rPr>
                <w:sz w:val="14"/>
              </w:rPr>
              <w:t>930</w:t>
            </w:r>
          </w:p>
        </w:tc>
        <w:tc>
          <w:tcPr>
            <w:tcW w:w="851"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460"/>
              <w:rPr>
                <w:rFonts w:eastAsia="Arial" w:cs="Arial"/>
                <w:sz w:val="14"/>
                <w:szCs w:val="14"/>
              </w:rPr>
            </w:pPr>
            <w:r w:rsidRPr="009D658B">
              <w:rPr>
                <w:sz w:val="14"/>
              </w:rPr>
              <w:t>831</w:t>
            </w:r>
          </w:p>
        </w:tc>
        <w:tc>
          <w:tcPr>
            <w:tcW w:w="851"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459"/>
              <w:rPr>
                <w:rFonts w:eastAsia="Arial" w:cs="Arial"/>
                <w:sz w:val="14"/>
                <w:szCs w:val="14"/>
              </w:rPr>
            </w:pPr>
            <w:r w:rsidRPr="009D658B">
              <w:rPr>
                <w:sz w:val="14"/>
              </w:rPr>
              <w:t>114</w:t>
            </w:r>
          </w:p>
        </w:tc>
        <w:tc>
          <w:tcPr>
            <w:tcW w:w="802"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461"/>
              <w:rPr>
                <w:rFonts w:eastAsia="Arial" w:cs="Arial"/>
                <w:sz w:val="14"/>
                <w:szCs w:val="14"/>
              </w:rPr>
            </w:pPr>
            <w:r w:rsidRPr="009D658B">
              <w:rPr>
                <w:sz w:val="14"/>
              </w:rPr>
              <w:t>489</w:t>
            </w:r>
          </w:p>
        </w:tc>
        <w:tc>
          <w:tcPr>
            <w:tcW w:w="850" w:type="dxa"/>
            <w:tcBorders>
              <w:top w:val="single" w:sz="8" w:space="0" w:color="808080"/>
              <w:left w:val="nil"/>
              <w:bottom w:val="single" w:sz="8" w:space="0" w:color="808080"/>
              <w:right w:val="single" w:sz="4" w:space="0" w:color="000000"/>
            </w:tcBorders>
            <w:shd w:val="clear" w:color="auto" w:fill="D9D9D9"/>
          </w:tcPr>
          <w:p w:rsidR="00EC6509" w:rsidRPr="009D658B" w:rsidRDefault="00EC6509" w:rsidP="0082296B">
            <w:pPr>
              <w:pStyle w:val="TableParagraph"/>
              <w:spacing w:before="60"/>
              <w:ind w:left="506"/>
              <w:rPr>
                <w:rFonts w:eastAsia="Arial" w:cs="Arial"/>
                <w:sz w:val="14"/>
                <w:szCs w:val="14"/>
              </w:rPr>
            </w:pPr>
            <w:r w:rsidRPr="009D658B">
              <w:rPr>
                <w:sz w:val="14"/>
              </w:rPr>
              <w:t>916</w:t>
            </w:r>
          </w:p>
        </w:tc>
        <w:tc>
          <w:tcPr>
            <w:tcW w:w="850" w:type="dxa"/>
            <w:tcBorders>
              <w:top w:val="single" w:sz="8" w:space="0" w:color="808080"/>
              <w:left w:val="single" w:sz="4" w:space="0" w:color="000000"/>
              <w:bottom w:val="single" w:sz="8" w:space="0" w:color="808080"/>
              <w:right w:val="nil"/>
            </w:tcBorders>
          </w:tcPr>
          <w:p w:rsidR="00EC6509" w:rsidRPr="009D658B" w:rsidRDefault="00EC6509" w:rsidP="0082296B">
            <w:pPr>
              <w:pStyle w:val="TableParagraph"/>
              <w:spacing w:before="60"/>
              <w:ind w:left="388"/>
              <w:rPr>
                <w:rFonts w:eastAsia="Arial" w:cs="Arial"/>
                <w:sz w:val="14"/>
                <w:szCs w:val="14"/>
              </w:rPr>
            </w:pPr>
            <w:r w:rsidRPr="009D658B">
              <w:rPr>
                <w:sz w:val="14"/>
              </w:rPr>
              <w:t>1 589</w:t>
            </w:r>
          </w:p>
        </w:tc>
        <w:tc>
          <w:tcPr>
            <w:tcW w:w="850" w:type="dxa"/>
            <w:tcBorders>
              <w:top w:val="single" w:sz="8" w:space="0" w:color="808080"/>
              <w:left w:val="nil"/>
              <w:bottom w:val="single" w:sz="8" w:space="0" w:color="808080"/>
              <w:right w:val="nil"/>
            </w:tcBorders>
            <w:shd w:val="clear" w:color="auto" w:fill="D9D9D9"/>
          </w:tcPr>
          <w:p w:rsidR="00EC6509" w:rsidRPr="009D658B" w:rsidRDefault="00EC6509" w:rsidP="0082296B">
            <w:pPr>
              <w:pStyle w:val="TableParagraph"/>
              <w:spacing w:before="60"/>
              <w:ind w:left="391"/>
              <w:rPr>
                <w:rFonts w:eastAsia="Arial" w:cs="Arial"/>
                <w:sz w:val="14"/>
                <w:szCs w:val="14"/>
              </w:rPr>
            </w:pPr>
            <w:r w:rsidRPr="009D658B">
              <w:rPr>
                <w:sz w:val="14"/>
              </w:rPr>
              <w:t>1 405</w:t>
            </w:r>
          </w:p>
        </w:tc>
      </w:tr>
      <w:tr w:rsidR="00EC6509" w:rsidRPr="009D658B" w:rsidTr="007E3194">
        <w:trPr>
          <w:trHeight w:hRule="exact" w:val="331"/>
        </w:trPr>
        <w:tc>
          <w:tcPr>
            <w:tcW w:w="4410" w:type="dxa"/>
            <w:tcBorders>
              <w:top w:val="single" w:sz="8" w:space="0" w:color="808080"/>
              <w:left w:val="nil"/>
              <w:bottom w:val="nil"/>
              <w:right w:val="single" w:sz="8" w:space="0" w:color="808080"/>
            </w:tcBorders>
          </w:tcPr>
          <w:p w:rsidR="00EC6509" w:rsidRPr="009D658B" w:rsidRDefault="00EC6509" w:rsidP="0082296B">
            <w:pPr>
              <w:pStyle w:val="TableParagraph"/>
              <w:spacing w:before="120"/>
              <w:ind w:left="122"/>
              <w:rPr>
                <w:rFonts w:eastAsia="Arial" w:cs="Arial"/>
                <w:sz w:val="14"/>
                <w:szCs w:val="14"/>
              </w:rPr>
            </w:pPr>
            <w:proofErr w:type="spellStart"/>
            <w:r w:rsidRPr="009D658B">
              <w:rPr>
                <w:sz w:val="14"/>
              </w:rPr>
              <w:t>Impôts</w:t>
            </w:r>
            <w:proofErr w:type="spellEnd"/>
          </w:p>
        </w:tc>
        <w:tc>
          <w:tcPr>
            <w:tcW w:w="900" w:type="dxa"/>
            <w:tcBorders>
              <w:top w:val="single" w:sz="8" w:space="0" w:color="808080"/>
              <w:left w:val="single" w:sz="8" w:space="0" w:color="808080"/>
              <w:bottom w:val="nil"/>
              <w:right w:val="nil"/>
            </w:tcBorders>
          </w:tcPr>
          <w:p w:rsidR="00EC6509" w:rsidRPr="009D658B" w:rsidRDefault="00EC6509" w:rsidP="0082296B">
            <w:pPr>
              <w:pStyle w:val="TableParagraph"/>
              <w:spacing w:before="60"/>
              <w:ind w:left="451"/>
              <w:rPr>
                <w:rFonts w:eastAsia="Arial" w:cs="Arial"/>
                <w:sz w:val="14"/>
                <w:szCs w:val="14"/>
              </w:rPr>
            </w:pPr>
            <w:r w:rsidRPr="009D658B">
              <w:rPr>
                <w:sz w:val="14"/>
              </w:rPr>
              <w:t>-264</w:t>
            </w:r>
          </w:p>
        </w:tc>
        <w:tc>
          <w:tcPr>
            <w:tcW w:w="851" w:type="dxa"/>
            <w:tcBorders>
              <w:top w:val="single" w:sz="8" w:space="0" w:color="808080"/>
              <w:left w:val="nil"/>
              <w:bottom w:val="nil"/>
              <w:right w:val="nil"/>
            </w:tcBorders>
          </w:tcPr>
          <w:p w:rsidR="00EC6509" w:rsidRPr="009D658B" w:rsidRDefault="00EC6509" w:rsidP="0082296B">
            <w:pPr>
              <w:pStyle w:val="TableParagraph"/>
              <w:spacing w:before="60"/>
              <w:ind w:left="412"/>
              <w:rPr>
                <w:rFonts w:eastAsia="Arial" w:cs="Arial"/>
                <w:sz w:val="14"/>
                <w:szCs w:val="14"/>
              </w:rPr>
            </w:pPr>
            <w:r w:rsidRPr="009D658B">
              <w:rPr>
                <w:sz w:val="14"/>
              </w:rPr>
              <w:t>-231</w:t>
            </w:r>
          </w:p>
        </w:tc>
        <w:tc>
          <w:tcPr>
            <w:tcW w:w="851" w:type="dxa"/>
            <w:tcBorders>
              <w:top w:val="single" w:sz="8" w:space="0" w:color="808080"/>
              <w:left w:val="nil"/>
              <w:bottom w:val="nil"/>
              <w:right w:val="nil"/>
            </w:tcBorders>
          </w:tcPr>
          <w:p w:rsidR="00EC6509" w:rsidRPr="009D658B" w:rsidRDefault="00EC6509" w:rsidP="0082296B">
            <w:pPr>
              <w:pStyle w:val="TableParagraph"/>
              <w:spacing w:before="60"/>
              <w:ind w:left="459"/>
              <w:rPr>
                <w:rFonts w:eastAsia="Arial" w:cs="Arial"/>
                <w:sz w:val="14"/>
                <w:szCs w:val="14"/>
              </w:rPr>
            </w:pPr>
            <w:r w:rsidRPr="009D658B">
              <w:rPr>
                <w:sz w:val="14"/>
              </w:rPr>
              <w:t>749</w:t>
            </w:r>
          </w:p>
        </w:tc>
        <w:tc>
          <w:tcPr>
            <w:tcW w:w="802" w:type="dxa"/>
            <w:tcBorders>
              <w:top w:val="single" w:sz="8" w:space="0" w:color="808080"/>
              <w:left w:val="nil"/>
              <w:bottom w:val="nil"/>
              <w:right w:val="nil"/>
            </w:tcBorders>
          </w:tcPr>
          <w:p w:rsidR="00EC6509" w:rsidRPr="009D658B" w:rsidRDefault="00EC6509" w:rsidP="0082296B">
            <w:pPr>
              <w:pStyle w:val="TableParagraph"/>
              <w:spacing w:before="60"/>
              <w:ind w:left="492"/>
              <w:rPr>
                <w:rFonts w:eastAsia="Arial" w:cs="Arial"/>
                <w:sz w:val="14"/>
                <w:szCs w:val="14"/>
              </w:rPr>
            </w:pPr>
            <w:r w:rsidRPr="009D658B">
              <w:rPr>
                <w:sz w:val="14"/>
              </w:rPr>
              <w:t>-97</w:t>
            </w:r>
          </w:p>
        </w:tc>
        <w:tc>
          <w:tcPr>
            <w:tcW w:w="850" w:type="dxa"/>
            <w:tcBorders>
              <w:top w:val="single" w:sz="8" w:space="0" w:color="808080"/>
              <w:left w:val="nil"/>
              <w:bottom w:val="nil"/>
              <w:right w:val="single" w:sz="4" w:space="0" w:color="000000"/>
            </w:tcBorders>
            <w:shd w:val="clear" w:color="auto" w:fill="D9D9D9"/>
          </w:tcPr>
          <w:p w:rsidR="00EC6509" w:rsidRPr="009D658B" w:rsidRDefault="00EC6509" w:rsidP="0082296B">
            <w:pPr>
              <w:pStyle w:val="TableParagraph"/>
              <w:spacing w:before="60"/>
              <w:ind w:left="458"/>
              <w:rPr>
                <w:rFonts w:eastAsia="Arial" w:cs="Arial"/>
                <w:sz w:val="14"/>
                <w:szCs w:val="14"/>
              </w:rPr>
            </w:pPr>
            <w:r w:rsidRPr="009D658B">
              <w:rPr>
                <w:sz w:val="14"/>
              </w:rPr>
              <w:t>-194</w:t>
            </w:r>
          </w:p>
        </w:tc>
        <w:tc>
          <w:tcPr>
            <w:tcW w:w="850" w:type="dxa"/>
            <w:tcBorders>
              <w:top w:val="single" w:sz="8" w:space="0" w:color="808080"/>
              <w:left w:val="single" w:sz="4" w:space="0" w:color="000000"/>
              <w:bottom w:val="nil"/>
              <w:right w:val="nil"/>
            </w:tcBorders>
          </w:tcPr>
          <w:p w:rsidR="00EC6509" w:rsidRPr="009D658B" w:rsidRDefault="00EC6509" w:rsidP="0082296B">
            <w:pPr>
              <w:pStyle w:val="TableParagraph"/>
              <w:spacing w:before="60"/>
              <w:ind w:left="458"/>
              <w:rPr>
                <w:rFonts w:eastAsia="Arial" w:cs="Arial"/>
                <w:sz w:val="14"/>
                <w:szCs w:val="14"/>
              </w:rPr>
            </w:pPr>
            <w:r w:rsidRPr="009D658B">
              <w:rPr>
                <w:sz w:val="14"/>
              </w:rPr>
              <w:t>-413</w:t>
            </w:r>
          </w:p>
        </w:tc>
        <w:tc>
          <w:tcPr>
            <w:tcW w:w="850" w:type="dxa"/>
            <w:tcBorders>
              <w:top w:val="single" w:sz="8" w:space="0" w:color="808080"/>
              <w:left w:val="nil"/>
              <w:bottom w:val="nil"/>
              <w:right w:val="nil"/>
            </w:tcBorders>
            <w:shd w:val="clear" w:color="auto" w:fill="D9D9D9"/>
          </w:tcPr>
          <w:p w:rsidR="00EC6509" w:rsidRPr="009D658B" w:rsidRDefault="00EC6509" w:rsidP="0082296B">
            <w:pPr>
              <w:pStyle w:val="TableParagraph"/>
              <w:spacing w:before="60"/>
              <w:ind w:left="460"/>
              <w:rPr>
                <w:rFonts w:eastAsia="Arial" w:cs="Arial"/>
                <w:sz w:val="14"/>
                <w:szCs w:val="14"/>
              </w:rPr>
            </w:pPr>
            <w:r w:rsidRPr="009D658B">
              <w:rPr>
                <w:sz w:val="14"/>
              </w:rPr>
              <w:t>-292</w:t>
            </w:r>
          </w:p>
        </w:tc>
      </w:tr>
      <w:tr w:rsidR="00EC6509" w:rsidRPr="009D658B" w:rsidTr="007E3194">
        <w:trPr>
          <w:trHeight w:hRule="exact" w:val="257"/>
        </w:trPr>
        <w:tc>
          <w:tcPr>
            <w:tcW w:w="4410" w:type="dxa"/>
            <w:tcBorders>
              <w:top w:val="nil"/>
              <w:left w:val="nil"/>
              <w:bottom w:val="single" w:sz="8" w:space="0" w:color="808080"/>
              <w:right w:val="single" w:sz="8" w:space="0" w:color="808080"/>
            </w:tcBorders>
          </w:tcPr>
          <w:p w:rsidR="00EC6509" w:rsidRPr="009D658B" w:rsidRDefault="00EC6509" w:rsidP="0082296B">
            <w:pPr>
              <w:pStyle w:val="TableParagraph"/>
              <w:spacing w:before="84"/>
              <w:ind w:left="122"/>
              <w:rPr>
                <w:rFonts w:eastAsia="Arial" w:cs="Arial"/>
                <w:sz w:val="14"/>
                <w:szCs w:val="14"/>
                <w:lang w:val="fr-FR"/>
              </w:rPr>
            </w:pPr>
            <w:r w:rsidRPr="009D658B">
              <w:rPr>
                <w:sz w:val="14"/>
                <w:lang w:val="fr-FR"/>
              </w:rPr>
              <w:t>Résultat net après impôts des activités abandonnées</w:t>
            </w:r>
          </w:p>
        </w:tc>
        <w:tc>
          <w:tcPr>
            <w:tcW w:w="900" w:type="dxa"/>
            <w:tcBorders>
              <w:top w:val="nil"/>
              <w:left w:val="single" w:sz="8" w:space="0" w:color="808080"/>
              <w:bottom w:val="single" w:sz="8" w:space="0" w:color="808080"/>
              <w:right w:val="nil"/>
            </w:tcBorders>
          </w:tcPr>
          <w:p w:rsidR="00EC6509" w:rsidRPr="009D658B" w:rsidRDefault="00EC6509" w:rsidP="0082296B">
            <w:pPr>
              <w:pStyle w:val="TableParagraph"/>
              <w:spacing w:before="24"/>
              <w:ind w:right="155"/>
              <w:jc w:val="right"/>
              <w:rPr>
                <w:rFonts w:eastAsia="Arial" w:cs="Arial"/>
                <w:sz w:val="14"/>
                <w:szCs w:val="14"/>
              </w:rPr>
            </w:pPr>
            <w:r w:rsidRPr="009D658B">
              <w:rPr>
                <w:sz w:val="14"/>
              </w:rPr>
              <w:t>0</w:t>
            </w:r>
          </w:p>
        </w:tc>
        <w:tc>
          <w:tcPr>
            <w:tcW w:w="851" w:type="dxa"/>
            <w:tcBorders>
              <w:top w:val="nil"/>
              <w:left w:val="nil"/>
              <w:bottom w:val="single" w:sz="8" w:space="0" w:color="808080"/>
              <w:right w:val="nil"/>
            </w:tcBorders>
          </w:tcPr>
          <w:p w:rsidR="00EC6509" w:rsidRPr="009D658B" w:rsidRDefault="00EC6509" w:rsidP="0082296B">
            <w:pPr>
              <w:pStyle w:val="TableParagraph"/>
              <w:spacing w:before="24"/>
              <w:ind w:right="154"/>
              <w:jc w:val="right"/>
              <w:rPr>
                <w:rFonts w:eastAsia="Arial" w:cs="Arial"/>
                <w:sz w:val="14"/>
                <w:szCs w:val="14"/>
              </w:rPr>
            </w:pPr>
            <w:r w:rsidRPr="009D658B">
              <w:rPr>
                <w:sz w:val="14"/>
              </w:rPr>
              <w:t>0</w:t>
            </w:r>
          </w:p>
        </w:tc>
        <w:tc>
          <w:tcPr>
            <w:tcW w:w="851" w:type="dxa"/>
            <w:tcBorders>
              <w:top w:val="nil"/>
              <w:left w:val="nil"/>
              <w:bottom w:val="single" w:sz="8" w:space="0" w:color="808080"/>
              <w:right w:val="nil"/>
            </w:tcBorders>
          </w:tcPr>
          <w:p w:rsidR="00EC6509" w:rsidRPr="009D658B" w:rsidRDefault="00EC6509" w:rsidP="0082296B">
            <w:pPr>
              <w:pStyle w:val="TableParagraph"/>
              <w:spacing w:before="24"/>
              <w:ind w:right="156"/>
              <w:jc w:val="right"/>
              <w:rPr>
                <w:rFonts w:eastAsia="Arial" w:cs="Arial"/>
                <w:sz w:val="14"/>
                <w:szCs w:val="14"/>
              </w:rPr>
            </w:pPr>
            <w:r w:rsidRPr="009D658B">
              <w:rPr>
                <w:sz w:val="14"/>
              </w:rPr>
              <w:t>0</w:t>
            </w:r>
          </w:p>
        </w:tc>
        <w:tc>
          <w:tcPr>
            <w:tcW w:w="802" w:type="dxa"/>
            <w:tcBorders>
              <w:top w:val="nil"/>
              <w:left w:val="nil"/>
              <w:bottom w:val="single" w:sz="8" w:space="0" w:color="808080"/>
              <w:right w:val="nil"/>
            </w:tcBorders>
          </w:tcPr>
          <w:p w:rsidR="00EC6509" w:rsidRPr="009D658B" w:rsidRDefault="00EC6509" w:rsidP="0082296B">
            <w:pPr>
              <w:pStyle w:val="TableParagraph"/>
              <w:spacing w:before="24"/>
              <w:ind w:right="105"/>
              <w:jc w:val="right"/>
              <w:rPr>
                <w:rFonts w:eastAsia="Arial" w:cs="Arial"/>
                <w:sz w:val="14"/>
                <w:szCs w:val="14"/>
              </w:rPr>
            </w:pPr>
            <w:r w:rsidRPr="009D658B">
              <w:rPr>
                <w:sz w:val="14"/>
              </w:rPr>
              <w:t>0</w:t>
            </w:r>
          </w:p>
        </w:tc>
        <w:tc>
          <w:tcPr>
            <w:tcW w:w="850" w:type="dxa"/>
            <w:tcBorders>
              <w:top w:val="nil"/>
              <w:left w:val="nil"/>
              <w:bottom w:val="single" w:sz="8" w:space="0" w:color="808080"/>
              <w:right w:val="single" w:sz="4" w:space="0" w:color="000000"/>
            </w:tcBorders>
            <w:shd w:val="clear" w:color="auto" w:fill="D9D9D9"/>
          </w:tcPr>
          <w:p w:rsidR="00EC6509" w:rsidRPr="009D658B" w:rsidRDefault="00EC6509" w:rsidP="0082296B">
            <w:pPr>
              <w:pStyle w:val="TableParagraph"/>
              <w:spacing w:before="24"/>
              <w:ind w:right="103"/>
              <w:jc w:val="right"/>
              <w:rPr>
                <w:rFonts w:eastAsia="Arial" w:cs="Arial"/>
                <w:sz w:val="14"/>
                <w:szCs w:val="14"/>
              </w:rPr>
            </w:pPr>
            <w:r w:rsidRPr="009D658B">
              <w:rPr>
                <w:sz w:val="14"/>
              </w:rPr>
              <w:t>0</w:t>
            </w:r>
          </w:p>
        </w:tc>
        <w:tc>
          <w:tcPr>
            <w:tcW w:w="850" w:type="dxa"/>
            <w:tcBorders>
              <w:top w:val="nil"/>
              <w:left w:val="single" w:sz="4" w:space="0" w:color="000000"/>
              <w:bottom w:val="single" w:sz="8" w:space="0" w:color="808080"/>
              <w:right w:val="nil"/>
            </w:tcBorders>
          </w:tcPr>
          <w:p w:rsidR="00EC6509" w:rsidRPr="009D658B" w:rsidRDefault="00EC6509" w:rsidP="0082296B">
            <w:pPr>
              <w:pStyle w:val="TableParagraph"/>
              <w:spacing w:before="24"/>
              <w:ind w:right="103"/>
              <w:jc w:val="right"/>
              <w:rPr>
                <w:rFonts w:eastAsia="Arial" w:cs="Arial"/>
                <w:sz w:val="14"/>
                <w:szCs w:val="14"/>
              </w:rPr>
            </w:pPr>
            <w:r w:rsidRPr="009D658B">
              <w:rPr>
                <w:sz w:val="14"/>
              </w:rPr>
              <w:t>0</w:t>
            </w:r>
          </w:p>
        </w:tc>
        <w:tc>
          <w:tcPr>
            <w:tcW w:w="850" w:type="dxa"/>
            <w:tcBorders>
              <w:top w:val="nil"/>
              <w:left w:val="nil"/>
              <w:bottom w:val="single" w:sz="8" w:space="0" w:color="808080"/>
              <w:right w:val="nil"/>
            </w:tcBorders>
            <w:shd w:val="clear" w:color="auto" w:fill="D9D9D9"/>
          </w:tcPr>
          <w:p w:rsidR="00EC6509" w:rsidRPr="009D658B" w:rsidRDefault="00EC6509" w:rsidP="0082296B">
            <w:pPr>
              <w:pStyle w:val="TableParagraph"/>
              <w:spacing w:before="24"/>
              <w:ind w:right="105"/>
              <w:jc w:val="right"/>
              <w:rPr>
                <w:rFonts w:eastAsia="Arial" w:cs="Arial"/>
                <w:sz w:val="14"/>
                <w:szCs w:val="14"/>
              </w:rPr>
            </w:pPr>
            <w:r w:rsidRPr="009D658B">
              <w:rPr>
                <w:sz w:val="14"/>
              </w:rPr>
              <w:t>0</w:t>
            </w:r>
          </w:p>
        </w:tc>
      </w:tr>
      <w:tr w:rsidR="00EC6509" w:rsidRPr="009D658B" w:rsidTr="007E3194">
        <w:trPr>
          <w:trHeight w:hRule="exact" w:val="305"/>
        </w:trPr>
        <w:tc>
          <w:tcPr>
            <w:tcW w:w="4410" w:type="dxa"/>
            <w:tcBorders>
              <w:top w:val="single" w:sz="8" w:space="0" w:color="808080"/>
              <w:left w:val="nil"/>
              <w:bottom w:val="single" w:sz="8" w:space="0" w:color="808080"/>
              <w:right w:val="single" w:sz="8" w:space="0" w:color="808080"/>
            </w:tcBorders>
          </w:tcPr>
          <w:p w:rsidR="00EC6509" w:rsidRPr="009D658B" w:rsidRDefault="00EC6509" w:rsidP="0082296B">
            <w:pPr>
              <w:pStyle w:val="TableParagraph"/>
              <w:spacing w:before="120"/>
              <w:ind w:left="122"/>
              <w:rPr>
                <w:rFonts w:eastAsia="Arial" w:cs="Arial"/>
                <w:sz w:val="14"/>
                <w:szCs w:val="14"/>
              </w:rPr>
            </w:pPr>
            <w:proofErr w:type="spellStart"/>
            <w:r w:rsidRPr="009D658B">
              <w:rPr>
                <w:sz w:val="14"/>
              </w:rPr>
              <w:t>Résultat</w:t>
            </w:r>
            <w:proofErr w:type="spellEnd"/>
            <w:r w:rsidRPr="009D658B">
              <w:rPr>
                <w:sz w:val="14"/>
              </w:rPr>
              <w:t xml:space="preserve"> après </w:t>
            </w:r>
            <w:proofErr w:type="spellStart"/>
            <w:r w:rsidRPr="009D658B">
              <w:rPr>
                <w:sz w:val="14"/>
              </w:rPr>
              <w:t>impôts</w:t>
            </w:r>
            <w:proofErr w:type="spellEnd"/>
          </w:p>
        </w:tc>
        <w:tc>
          <w:tcPr>
            <w:tcW w:w="900" w:type="dxa"/>
            <w:tcBorders>
              <w:top w:val="single" w:sz="8" w:space="0" w:color="808080"/>
              <w:left w:val="single" w:sz="8" w:space="0" w:color="808080"/>
              <w:bottom w:val="single" w:sz="8" w:space="0" w:color="808080"/>
              <w:right w:val="nil"/>
            </w:tcBorders>
          </w:tcPr>
          <w:p w:rsidR="00EC6509" w:rsidRPr="009D658B" w:rsidRDefault="00EC6509" w:rsidP="0082296B">
            <w:pPr>
              <w:pStyle w:val="TableParagraph"/>
              <w:spacing w:before="60"/>
              <w:ind w:left="499"/>
              <w:rPr>
                <w:rFonts w:eastAsia="Arial" w:cs="Arial"/>
                <w:sz w:val="14"/>
                <w:szCs w:val="14"/>
              </w:rPr>
            </w:pPr>
            <w:r w:rsidRPr="009D658B">
              <w:rPr>
                <w:sz w:val="14"/>
              </w:rPr>
              <w:t>666</w:t>
            </w:r>
          </w:p>
        </w:tc>
        <w:tc>
          <w:tcPr>
            <w:tcW w:w="851"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460"/>
              <w:rPr>
                <w:rFonts w:eastAsia="Arial" w:cs="Arial"/>
                <w:sz w:val="14"/>
                <w:szCs w:val="14"/>
              </w:rPr>
            </w:pPr>
            <w:r w:rsidRPr="009D658B">
              <w:rPr>
                <w:sz w:val="14"/>
              </w:rPr>
              <w:t>600</w:t>
            </w:r>
          </w:p>
        </w:tc>
        <w:tc>
          <w:tcPr>
            <w:tcW w:w="851"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459"/>
              <w:rPr>
                <w:rFonts w:eastAsia="Arial" w:cs="Arial"/>
                <w:sz w:val="14"/>
                <w:szCs w:val="14"/>
              </w:rPr>
            </w:pPr>
            <w:r w:rsidRPr="009D658B">
              <w:rPr>
                <w:sz w:val="14"/>
              </w:rPr>
              <w:t>863</w:t>
            </w:r>
          </w:p>
        </w:tc>
        <w:tc>
          <w:tcPr>
            <w:tcW w:w="802" w:type="dxa"/>
            <w:tcBorders>
              <w:top w:val="single" w:sz="8" w:space="0" w:color="808080"/>
              <w:left w:val="nil"/>
              <w:bottom w:val="single" w:sz="8" w:space="0" w:color="808080"/>
              <w:right w:val="nil"/>
            </w:tcBorders>
          </w:tcPr>
          <w:p w:rsidR="00EC6509" w:rsidRPr="009D658B" w:rsidRDefault="00EC6509" w:rsidP="0082296B">
            <w:pPr>
              <w:pStyle w:val="TableParagraph"/>
              <w:spacing w:before="60"/>
              <w:ind w:left="461"/>
              <w:rPr>
                <w:rFonts w:eastAsia="Arial" w:cs="Arial"/>
                <w:sz w:val="14"/>
                <w:szCs w:val="14"/>
              </w:rPr>
            </w:pPr>
            <w:r w:rsidRPr="009D658B">
              <w:rPr>
                <w:sz w:val="14"/>
              </w:rPr>
              <w:t>392</w:t>
            </w:r>
          </w:p>
        </w:tc>
        <w:tc>
          <w:tcPr>
            <w:tcW w:w="850" w:type="dxa"/>
            <w:tcBorders>
              <w:top w:val="single" w:sz="8" w:space="0" w:color="808080"/>
              <w:left w:val="nil"/>
              <w:bottom w:val="single" w:sz="8" w:space="0" w:color="808080"/>
              <w:right w:val="single" w:sz="4" w:space="0" w:color="000000"/>
            </w:tcBorders>
            <w:shd w:val="clear" w:color="auto" w:fill="D9D9D9"/>
          </w:tcPr>
          <w:p w:rsidR="00EC6509" w:rsidRPr="009D658B" w:rsidRDefault="00EC6509" w:rsidP="0082296B">
            <w:pPr>
              <w:pStyle w:val="TableParagraph"/>
              <w:spacing w:before="60"/>
              <w:ind w:left="506"/>
              <w:rPr>
                <w:rFonts w:eastAsia="Arial" w:cs="Arial"/>
                <w:sz w:val="14"/>
                <w:szCs w:val="14"/>
              </w:rPr>
            </w:pPr>
            <w:r w:rsidRPr="009D658B">
              <w:rPr>
                <w:sz w:val="14"/>
              </w:rPr>
              <w:t>721</w:t>
            </w:r>
          </w:p>
        </w:tc>
        <w:tc>
          <w:tcPr>
            <w:tcW w:w="850" w:type="dxa"/>
            <w:tcBorders>
              <w:top w:val="single" w:sz="8" w:space="0" w:color="808080"/>
              <w:left w:val="single" w:sz="4" w:space="0" w:color="000000"/>
              <w:bottom w:val="single" w:sz="8" w:space="0" w:color="808080"/>
              <w:right w:val="nil"/>
            </w:tcBorders>
          </w:tcPr>
          <w:p w:rsidR="00EC6509" w:rsidRPr="009D658B" w:rsidRDefault="00EC6509" w:rsidP="0082296B">
            <w:pPr>
              <w:pStyle w:val="TableParagraph"/>
              <w:spacing w:before="60"/>
              <w:ind w:left="388"/>
              <w:rPr>
                <w:rFonts w:eastAsia="Arial" w:cs="Arial"/>
                <w:sz w:val="14"/>
                <w:szCs w:val="14"/>
              </w:rPr>
            </w:pPr>
            <w:r w:rsidRPr="009D658B">
              <w:rPr>
                <w:sz w:val="14"/>
              </w:rPr>
              <w:t>1 176</w:t>
            </w:r>
          </w:p>
        </w:tc>
        <w:tc>
          <w:tcPr>
            <w:tcW w:w="850" w:type="dxa"/>
            <w:tcBorders>
              <w:top w:val="single" w:sz="8" w:space="0" w:color="808080"/>
              <w:left w:val="nil"/>
              <w:bottom w:val="single" w:sz="8" w:space="0" w:color="808080"/>
              <w:right w:val="nil"/>
            </w:tcBorders>
            <w:shd w:val="clear" w:color="auto" w:fill="D9D9D9"/>
          </w:tcPr>
          <w:p w:rsidR="00EC6509" w:rsidRPr="009D658B" w:rsidRDefault="00EC6509" w:rsidP="0082296B">
            <w:pPr>
              <w:pStyle w:val="TableParagraph"/>
              <w:spacing w:before="60"/>
              <w:ind w:left="391"/>
              <w:rPr>
                <w:rFonts w:eastAsia="Arial" w:cs="Arial"/>
                <w:sz w:val="14"/>
                <w:szCs w:val="14"/>
              </w:rPr>
            </w:pPr>
            <w:r w:rsidRPr="009D658B">
              <w:rPr>
                <w:sz w:val="14"/>
              </w:rPr>
              <w:t>1 113</w:t>
            </w:r>
          </w:p>
        </w:tc>
      </w:tr>
      <w:tr w:rsidR="00EC6509" w:rsidRPr="009D658B" w:rsidTr="007E3194">
        <w:trPr>
          <w:trHeight w:hRule="exact" w:val="242"/>
        </w:trPr>
        <w:tc>
          <w:tcPr>
            <w:tcW w:w="4410" w:type="dxa"/>
            <w:tcBorders>
              <w:top w:val="single" w:sz="8" w:space="0" w:color="808080"/>
              <w:left w:val="nil"/>
              <w:bottom w:val="nil"/>
              <w:right w:val="single" w:sz="8" w:space="0" w:color="808080"/>
            </w:tcBorders>
          </w:tcPr>
          <w:p w:rsidR="00EC6509" w:rsidRPr="009D658B" w:rsidRDefault="00EC6509" w:rsidP="0082296B">
            <w:pPr>
              <w:pStyle w:val="TableParagraph"/>
              <w:spacing w:before="32"/>
              <w:ind w:left="355"/>
              <w:rPr>
                <w:rFonts w:eastAsia="Arial" w:cs="Arial"/>
                <w:sz w:val="14"/>
                <w:szCs w:val="14"/>
                <w:lang w:val="fr-FR"/>
              </w:rPr>
            </w:pPr>
            <w:r w:rsidRPr="009D658B">
              <w:rPr>
                <w:sz w:val="14"/>
                <w:lang w:val="fr-FR"/>
              </w:rPr>
              <w:t>attribuable à des participations minoritaires</w:t>
            </w:r>
          </w:p>
        </w:tc>
        <w:tc>
          <w:tcPr>
            <w:tcW w:w="900" w:type="dxa"/>
            <w:tcBorders>
              <w:top w:val="single" w:sz="8" w:space="0" w:color="808080"/>
              <w:left w:val="single" w:sz="8" w:space="0" w:color="808080"/>
              <w:bottom w:val="nil"/>
              <w:right w:val="nil"/>
            </w:tcBorders>
          </w:tcPr>
          <w:p w:rsidR="00EC6509" w:rsidRPr="009D658B" w:rsidRDefault="00EC6509" w:rsidP="0082296B">
            <w:pPr>
              <w:pStyle w:val="TableParagraph"/>
              <w:spacing w:before="32"/>
              <w:ind w:right="155"/>
              <w:jc w:val="right"/>
              <w:rPr>
                <w:rFonts w:eastAsia="Arial" w:cs="Arial"/>
                <w:sz w:val="14"/>
                <w:szCs w:val="14"/>
              </w:rPr>
            </w:pPr>
            <w:r w:rsidRPr="009D658B">
              <w:rPr>
                <w:sz w:val="14"/>
              </w:rPr>
              <w:t>0</w:t>
            </w:r>
          </w:p>
        </w:tc>
        <w:tc>
          <w:tcPr>
            <w:tcW w:w="851" w:type="dxa"/>
            <w:tcBorders>
              <w:top w:val="single" w:sz="8" w:space="0" w:color="808080"/>
              <w:left w:val="nil"/>
              <w:bottom w:val="nil"/>
              <w:right w:val="nil"/>
            </w:tcBorders>
          </w:tcPr>
          <w:p w:rsidR="00EC6509" w:rsidRPr="009D658B" w:rsidRDefault="00EC6509" w:rsidP="0082296B">
            <w:pPr>
              <w:pStyle w:val="TableParagraph"/>
              <w:spacing w:before="32"/>
              <w:ind w:right="154"/>
              <w:jc w:val="right"/>
              <w:rPr>
                <w:rFonts w:eastAsia="Arial" w:cs="Arial"/>
                <w:sz w:val="14"/>
                <w:szCs w:val="14"/>
              </w:rPr>
            </w:pPr>
            <w:r w:rsidRPr="009D658B">
              <w:rPr>
                <w:sz w:val="14"/>
              </w:rPr>
              <w:t>0</w:t>
            </w:r>
          </w:p>
        </w:tc>
        <w:tc>
          <w:tcPr>
            <w:tcW w:w="851" w:type="dxa"/>
            <w:tcBorders>
              <w:top w:val="single" w:sz="8" w:space="0" w:color="808080"/>
              <w:left w:val="nil"/>
              <w:bottom w:val="nil"/>
              <w:right w:val="nil"/>
            </w:tcBorders>
          </w:tcPr>
          <w:p w:rsidR="00EC6509" w:rsidRPr="009D658B" w:rsidRDefault="00EC6509" w:rsidP="0082296B">
            <w:pPr>
              <w:pStyle w:val="TableParagraph"/>
              <w:spacing w:before="32"/>
              <w:ind w:right="156"/>
              <w:jc w:val="right"/>
              <w:rPr>
                <w:rFonts w:eastAsia="Arial" w:cs="Arial"/>
                <w:sz w:val="14"/>
                <w:szCs w:val="14"/>
              </w:rPr>
            </w:pPr>
            <w:r w:rsidRPr="009D658B">
              <w:rPr>
                <w:sz w:val="14"/>
              </w:rPr>
              <w:t>0</w:t>
            </w:r>
          </w:p>
        </w:tc>
        <w:tc>
          <w:tcPr>
            <w:tcW w:w="802" w:type="dxa"/>
            <w:tcBorders>
              <w:top w:val="single" w:sz="8" w:space="0" w:color="808080"/>
              <w:left w:val="nil"/>
              <w:bottom w:val="nil"/>
              <w:right w:val="nil"/>
            </w:tcBorders>
          </w:tcPr>
          <w:p w:rsidR="00EC6509" w:rsidRPr="009D658B" w:rsidRDefault="00EC6509" w:rsidP="0082296B">
            <w:pPr>
              <w:pStyle w:val="TableParagraph"/>
              <w:spacing w:before="32"/>
              <w:ind w:right="105"/>
              <w:jc w:val="right"/>
              <w:rPr>
                <w:rFonts w:eastAsia="Arial" w:cs="Arial"/>
                <w:sz w:val="14"/>
                <w:szCs w:val="14"/>
              </w:rPr>
            </w:pPr>
            <w:r w:rsidRPr="009D658B">
              <w:rPr>
                <w:sz w:val="14"/>
              </w:rPr>
              <w:t>0</w:t>
            </w:r>
          </w:p>
        </w:tc>
        <w:tc>
          <w:tcPr>
            <w:tcW w:w="850" w:type="dxa"/>
            <w:tcBorders>
              <w:top w:val="single" w:sz="8" w:space="0" w:color="808080"/>
              <w:left w:val="nil"/>
              <w:bottom w:val="nil"/>
              <w:right w:val="single" w:sz="4" w:space="0" w:color="000000"/>
            </w:tcBorders>
            <w:shd w:val="clear" w:color="auto" w:fill="D9D9D9"/>
          </w:tcPr>
          <w:p w:rsidR="00EC6509" w:rsidRPr="009D658B" w:rsidRDefault="00EC6509" w:rsidP="0082296B">
            <w:pPr>
              <w:pStyle w:val="TableParagraph"/>
              <w:spacing w:before="32"/>
              <w:ind w:right="103"/>
              <w:jc w:val="right"/>
              <w:rPr>
                <w:rFonts w:eastAsia="Arial" w:cs="Arial"/>
                <w:sz w:val="14"/>
                <w:szCs w:val="14"/>
              </w:rPr>
            </w:pPr>
            <w:r w:rsidRPr="009D658B">
              <w:rPr>
                <w:sz w:val="14"/>
              </w:rPr>
              <w:t>0</w:t>
            </w:r>
          </w:p>
        </w:tc>
        <w:tc>
          <w:tcPr>
            <w:tcW w:w="850" w:type="dxa"/>
            <w:tcBorders>
              <w:top w:val="single" w:sz="8" w:space="0" w:color="808080"/>
              <w:left w:val="single" w:sz="4" w:space="0" w:color="000000"/>
              <w:bottom w:val="nil"/>
              <w:right w:val="nil"/>
            </w:tcBorders>
          </w:tcPr>
          <w:p w:rsidR="00EC6509" w:rsidRPr="009D658B" w:rsidRDefault="00EC6509" w:rsidP="0082296B">
            <w:pPr>
              <w:pStyle w:val="TableParagraph"/>
              <w:spacing w:before="32"/>
              <w:ind w:right="103"/>
              <w:jc w:val="right"/>
              <w:rPr>
                <w:rFonts w:eastAsia="Arial" w:cs="Arial"/>
                <w:sz w:val="14"/>
                <w:szCs w:val="14"/>
              </w:rPr>
            </w:pPr>
            <w:r w:rsidRPr="009D658B">
              <w:rPr>
                <w:sz w:val="14"/>
              </w:rPr>
              <w:t>0</w:t>
            </w:r>
          </w:p>
        </w:tc>
        <w:tc>
          <w:tcPr>
            <w:tcW w:w="850" w:type="dxa"/>
            <w:tcBorders>
              <w:top w:val="single" w:sz="8" w:space="0" w:color="808080"/>
              <w:left w:val="nil"/>
              <w:bottom w:val="nil"/>
              <w:right w:val="nil"/>
            </w:tcBorders>
            <w:shd w:val="clear" w:color="auto" w:fill="D9D9D9"/>
          </w:tcPr>
          <w:p w:rsidR="00EC6509" w:rsidRPr="009D658B" w:rsidRDefault="00EC6509" w:rsidP="0082296B">
            <w:pPr>
              <w:pStyle w:val="TableParagraph"/>
              <w:spacing w:before="32"/>
              <w:ind w:right="105"/>
              <w:jc w:val="right"/>
              <w:rPr>
                <w:rFonts w:eastAsia="Arial" w:cs="Arial"/>
                <w:sz w:val="14"/>
                <w:szCs w:val="14"/>
              </w:rPr>
            </w:pPr>
            <w:r w:rsidRPr="009D658B">
              <w:rPr>
                <w:sz w:val="14"/>
              </w:rPr>
              <w:t>0</w:t>
            </w:r>
          </w:p>
        </w:tc>
      </w:tr>
      <w:tr w:rsidR="00EC6509" w:rsidRPr="009D658B" w:rsidTr="007E3194">
        <w:trPr>
          <w:trHeight w:hRule="exact" w:val="233"/>
        </w:trPr>
        <w:tc>
          <w:tcPr>
            <w:tcW w:w="4410" w:type="dxa"/>
            <w:tcBorders>
              <w:top w:val="nil"/>
              <w:left w:val="nil"/>
              <w:bottom w:val="single" w:sz="8" w:space="0" w:color="808080"/>
              <w:right w:val="single" w:sz="8" w:space="0" w:color="808080"/>
            </w:tcBorders>
          </w:tcPr>
          <w:p w:rsidR="00EC6509" w:rsidRPr="009D658B" w:rsidRDefault="00EC6509" w:rsidP="0082296B">
            <w:pPr>
              <w:pStyle w:val="TableParagraph"/>
              <w:spacing w:before="24"/>
              <w:ind w:left="314"/>
              <w:rPr>
                <w:rFonts w:eastAsia="Arial" w:cs="Arial"/>
                <w:sz w:val="14"/>
                <w:szCs w:val="14"/>
                <w:lang w:val="fr-FR"/>
              </w:rPr>
            </w:pPr>
            <w:r w:rsidRPr="009D658B">
              <w:rPr>
                <w:b/>
                <w:sz w:val="14"/>
                <w:lang w:val="fr-FR"/>
              </w:rPr>
              <w:t>attribuable aux actionnaires de la société mère</w:t>
            </w:r>
          </w:p>
        </w:tc>
        <w:tc>
          <w:tcPr>
            <w:tcW w:w="900" w:type="dxa"/>
            <w:tcBorders>
              <w:top w:val="nil"/>
              <w:left w:val="single" w:sz="8" w:space="0" w:color="808080"/>
              <w:bottom w:val="single" w:sz="8" w:space="0" w:color="808080"/>
              <w:right w:val="nil"/>
            </w:tcBorders>
          </w:tcPr>
          <w:p w:rsidR="00EC6509" w:rsidRPr="009D658B" w:rsidRDefault="00EC6509" w:rsidP="0082296B">
            <w:pPr>
              <w:pStyle w:val="TableParagraph"/>
              <w:spacing w:before="24"/>
              <w:ind w:left="499"/>
              <w:rPr>
                <w:rFonts w:eastAsia="Arial" w:cs="Arial"/>
                <w:sz w:val="14"/>
                <w:szCs w:val="14"/>
              </w:rPr>
            </w:pPr>
            <w:r w:rsidRPr="009D658B">
              <w:rPr>
                <w:b/>
                <w:sz w:val="14"/>
              </w:rPr>
              <w:t>666</w:t>
            </w:r>
          </w:p>
        </w:tc>
        <w:tc>
          <w:tcPr>
            <w:tcW w:w="851" w:type="dxa"/>
            <w:tcBorders>
              <w:top w:val="nil"/>
              <w:left w:val="nil"/>
              <w:bottom w:val="single" w:sz="8" w:space="0" w:color="808080"/>
              <w:right w:val="nil"/>
            </w:tcBorders>
          </w:tcPr>
          <w:p w:rsidR="00EC6509" w:rsidRPr="009D658B" w:rsidRDefault="00EC6509" w:rsidP="0082296B">
            <w:pPr>
              <w:pStyle w:val="TableParagraph"/>
              <w:spacing w:before="24"/>
              <w:ind w:left="460"/>
              <w:rPr>
                <w:rFonts w:eastAsia="Arial" w:cs="Arial"/>
                <w:sz w:val="14"/>
                <w:szCs w:val="14"/>
              </w:rPr>
            </w:pPr>
            <w:r w:rsidRPr="009D658B">
              <w:rPr>
                <w:b/>
                <w:sz w:val="14"/>
              </w:rPr>
              <w:t>600</w:t>
            </w:r>
          </w:p>
        </w:tc>
        <w:tc>
          <w:tcPr>
            <w:tcW w:w="851" w:type="dxa"/>
            <w:tcBorders>
              <w:top w:val="nil"/>
              <w:left w:val="nil"/>
              <w:bottom w:val="single" w:sz="8" w:space="0" w:color="808080"/>
              <w:right w:val="nil"/>
            </w:tcBorders>
          </w:tcPr>
          <w:p w:rsidR="00EC6509" w:rsidRPr="009D658B" w:rsidRDefault="00EC6509" w:rsidP="0082296B">
            <w:pPr>
              <w:pStyle w:val="TableParagraph"/>
              <w:spacing w:before="24"/>
              <w:ind w:left="459"/>
              <w:rPr>
                <w:rFonts w:eastAsia="Arial" w:cs="Arial"/>
                <w:sz w:val="14"/>
                <w:szCs w:val="14"/>
              </w:rPr>
            </w:pPr>
            <w:r w:rsidRPr="009D658B">
              <w:rPr>
                <w:b/>
                <w:sz w:val="14"/>
              </w:rPr>
              <w:t>862</w:t>
            </w:r>
          </w:p>
        </w:tc>
        <w:tc>
          <w:tcPr>
            <w:tcW w:w="802" w:type="dxa"/>
            <w:tcBorders>
              <w:top w:val="nil"/>
              <w:left w:val="nil"/>
              <w:bottom w:val="single" w:sz="8" w:space="0" w:color="808080"/>
              <w:right w:val="nil"/>
            </w:tcBorders>
          </w:tcPr>
          <w:p w:rsidR="00EC6509" w:rsidRPr="009D658B" w:rsidRDefault="00EC6509" w:rsidP="0082296B">
            <w:pPr>
              <w:pStyle w:val="TableParagraph"/>
              <w:spacing w:before="24"/>
              <w:ind w:left="461"/>
              <w:rPr>
                <w:rFonts w:eastAsia="Arial" w:cs="Arial"/>
                <w:sz w:val="14"/>
                <w:szCs w:val="14"/>
              </w:rPr>
            </w:pPr>
            <w:r w:rsidRPr="009D658B">
              <w:rPr>
                <w:b/>
                <w:sz w:val="14"/>
              </w:rPr>
              <w:t>392</w:t>
            </w:r>
          </w:p>
        </w:tc>
        <w:tc>
          <w:tcPr>
            <w:tcW w:w="850" w:type="dxa"/>
            <w:tcBorders>
              <w:top w:val="nil"/>
              <w:left w:val="nil"/>
              <w:bottom w:val="single" w:sz="8" w:space="0" w:color="808080"/>
              <w:right w:val="single" w:sz="4" w:space="0" w:color="000000"/>
            </w:tcBorders>
            <w:shd w:val="clear" w:color="auto" w:fill="D9D9D9"/>
          </w:tcPr>
          <w:p w:rsidR="00EC6509" w:rsidRPr="009D658B" w:rsidRDefault="00EC6509" w:rsidP="0082296B">
            <w:pPr>
              <w:pStyle w:val="TableParagraph"/>
              <w:spacing w:before="24"/>
              <w:ind w:left="506"/>
              <w:rPr>
                <w:rFonts w:eastAsia="Arial" w:cs="Arial"/>
                <w:sz w:val="14"/>
                <w:szCs w:val="14"/>
              </w:rPr>
            </w:pPr>
            <w:r w:rsidRPr="009D658B">
              <w:rPr>
                <w:b/>
                <w:sz w:val="14"/>
              </w:rPr>
              <w:t>721</w:t>
            </w:r>
          </w:p>
        </w:tc>
        <w:tc>
          <w:tcPr>
            <w:tcW w:w="850" w:type="dxa"/>
            <w:tcBorders>
              <w:top w:val="nil"/>
              <w:left w:val="single" w:sz="4" w:space="0" w:color="000000"/>
              <w:bottom w:val="single" w:sz="8" w:space="0" w:color="808080"/>
              <w:right w:val="nil"/>
            </w:tcBorders>
          </w:tcPr>
          <w:p w:rsidR="00EC6509" w:rsidRPr="009D658B" w:rsidRDefault="00EC6509" w:rsidP="0082296B">
            <w:pPr>
              <w:pStyle w:val="TableParagraph"/>
              <w:spacing w:before="24"/>
              <w:ind w:left="388"/>
              <w:rPr>
                <w:rFonts w:eastAsia="Arial" w:cs="Arial"/>
                <w:sz w:val="14"/>
                <w:szCs w:val="14"/>
              </w:rPr>
            </w:pPr>
            <w:r w:rsidRPr="009D658B">
              <w:rPr>
                <w:b/>
                <w:sz w:val="14"/>
              </w:rPr>
              <w:t>1 176</w:t>
            </w:r>
          </w:p>
        </w:tc>
        <w:tc>
          <w:tcPr>
            <w:tcW w:w="850" w:type="dxa"/>
            <w:tcBorders>
              <w:top w:val="nil"/>
              <w:left w:val="nil"/>
              <w:bottom w:val="single" w:sz="8" w:space="0" w:color="808080"/>
              <w:right w:val="nil"/>
            </w:tcBorders>
            <w:shd w:val="clear" w:color="auto" w:fill="D9D9D9"/>
          </w:tcPr>
          <w:p w:rsidR="00EC6509" w:rsidRPr="009D658B" w:rsidRDefault="00EC6509" w:rsidP="0082296B">
            <w:pPr>
              <w:pStyle w:val="TableParagraph"/>
              <w:spacing w:before="24"/>
              <w:ind w:left="391"/>
              <w:rPr>
                <w:rFonts w:eastAsia="Arial" w:cs="Arial"/>
                <w:sz w:val="14"/>
                <w:szCs w:val="14"/>
              </w:rPr>
            </w:pPr>
            <w:r w:rsidRPr="009D658B">
              <w:rPr>
                <w:b/>
                <w:sz w:val="14"/>
              </w:rPr>
              <w:t>1 113</w:t>
            </w:r>
          </w:p>
        </w:tc>
      </w:tr>
      <w:tr w:rsidR="00EC6509" w:rsidRPr="009D658B" w:rsidTr="007E3194">
        <w:trPr>
          <w:trHeight w:hRule="exact" w:val="186"/>
        </w:trPr>
        <w:tc>
          <w:tcPr>
            <w:tcW w:w="4410" w:type="dxa"/>
            <w:tcBorders>
              <w:top w:val="single" w:sz="8" w:space="0" w:color="808080"/>
              <w:left w:val="nil"/>
              <w:bottom w:val="nil"/>
              <w:right w:val="single" w:sz="8" w:space="0" w:color="808080"/>
            </w:tcBorders>
          </w:tcPr>
          <w:p w:rsidR="00EC6509" w:rsidRPr="009D658B" w:rsidRDefault="00EC6509" w:rsidP="0082296B">
            <w:pPr>
              <w:pStyle w:val="TableParagraph"/>
              <w:spacing w:before="3"/>
              <w:ind w:left="122"/>
              <w:rPr>
                <w:rFonts w:eastAsia="Arial" w:cs="Arial"/>
                <w:sz w:val="14"/>
                <w:szCs w:val="14"/>
                <w:lang w:val="fr-FR"/>
              </w:rPr>
            </w:pPr>
            <w:r w:rsidRPr="009D658B">
              <w:rPr>
                <w:sz w:val="14"/>
                <w:lang w:val="fr-FR"/>
              </w:rPr>
              <w:t>Bénéfice de base par action (EUR)*</w:t>
            </w:r>
          </w:p>
        </w:tc>
        <w:tc>
          <w:tcPr>
            <w:tcW w:w="900" w:type="dxa"/>
            <w:tcBorders>
              <w:top w:val="single" w:sz="8" w:space="0" w:color="808080"/>
              <w:left w:val="single" w:sz="8" w:space="0" w:color="808080"/>
              <w:bottom w:val="nil"/>
              <w:right w:val="nil"/>
            </w:tcBorders>
          </w:tcPr>
          <w:p w:rsidR="00EC6509" w:rsidRPr="009D658B" w:rsidRDefault="00EC6509" w:rsidP="0082296B">
            <w:pPr>
              <w:pStyle w:val="TableParagraph"/>
              <w:spacing w:before="3"/>
              <w:ind w:left="458"/>
              <w:rPr>
                <w:rFonts w:eastAsia="Arial" w:cs="Arial"/>
                <w:sz w:val="14"/>
                <w:szCs w:val="14"/>
              </w:rPr>
            </w:pPr>
            <w:r w:rsidRPr="009D658B">
              <w:rPr>
                <w:sz w:val="14"/>
              </w:rPr>
              <w:t>1.56</w:t>
            </w:r>
          </w:p>
        </w:tc>
        <w:tc>
          <w:tcPr>
            <w:tcW w:w="851" w:type="dxa"/>
            <w:tcBorders>
              <w:top w:val="single" w:sz="8" w:space="0" w:color="808080"/>
              <w:left w:val="nil"/>
              <w:bottom w:val="nil"/>
              <w:right w:val="nil"/>
            </w:tcBorders>
          </w:tcPr>
          <w:p w:rsidR="00EC6509" w:rsidRPr="009D658B" w:rsidRDefault="00EC6509" w:rsidP="0082296B">
            <w:pPr>
              <w:pStyle w:val="TableParagraph"/>
              <w:spacing w:before="3"/>
              <w:ind w:left="419"/>
              <w:rPr>
                <w:rFonts w:eastAsia="Arial" w:cs="Arial"/>
                <w:sz w:val="14"/>
                <w:szCs w:val="14"/>
              </w:rPr>
            </w:pPr>
            <w:r w:rsidRPr="009D658B">
              <w:rPr>
                <w:sz w:val="14"/>
              </w:rPr>
              <w:t>1.41</w:t>
            </w:r>
          </w:p>
        </w:tc>
        <w:tc>
          <w:tcPr>
            <w:tcW w:w="851" w:type="dxa"/>
            <w:tcBorders>
              <w:top w:val="single" w:sz="8" w:space="0" w:color="808080"/>
              <w:left w:val="nil"/>
              <w:bottom w:val="nil"/>
              <w:right w:val="nil"/>
            </w:tcBorders>
          </w:tcPr>
          <w:p w:rsidR="00EC6509" w:rsidRPr="009D658B" w:rsidRDefault="00EC6509" w:rsidP="0082296B">
            <w:pPr>
              <w:pStyle w:val="TableParagraph"/>
              <w:spacing w:before="3"/>
              <w:ind w:left="373"/>
              <w:rPr>
                <w:rFonts w:eastAsia="Arial" w:cs="Arial"/>
                <w:sz w:val="14"/>
                <w:szCs w:val="14"/>
              </w:rPr>
            </w:pPr>
            <w:r w:rsidRPr="009D658B">
              <w:rPr>
                <w:sz w:val="14"/>
              </w:rPr>
              <w:t>-0.36</w:t>
            </w:r>
          </w:p>
        </w:tc>
        <w:tc>
          <w:tcPr>
            <w:tcW w:w="802" w:type="dxa"/>
            <w:tcBorders>
              <w:top w:val="single" w:sz="8" w:space="0" w:color="808080"/>
              <w:left w:val="nil"/>
              <w:bottom w:val="nil"/>
              <w:right w:val="nil"/>
            </w:tcBorders>
          </w:tcPr>
          <w:p w:rsidR="00EC6509" w:rsidRPr="009D658B" w:rsidRDefault="00EC6509" w:rsidP="0082296B">
            <w:pPr>
              <w:pStyle w:val="TableParagraph"/>
              <w:spacing w:before="3"/>
              <w:ind w:left="420"/>
              <w:rPr>
                <w:rFonts w:eastAsia="Arial" w:cs="Arial"/>
                <w:sz w:val="14"/>
                <w:szCs w:val="14"/>
              </w:rPr>
            </w:pPr>
            <w:r w:rsidRPr="009D658B">
              <w:rPr>
                <w:sz w:val="14"/>
              </w:rPr>
              <w:t>0.91</w:t>
            </w:r>
          </w:p>
        </w:tc>
        <w:tc>
          <w:tcPr>
            <w:tcW w:w="850" w:type="dxa"/>
            <w:tcBorders>
              <w:top w:val="single" w:sz="8" w:space="0" w:color="808080"/>
              <w:left w:val="nil"/>
              <w:bottom w:val="nil"/>
              <w:right w:val="single" w:sz="4" w:space="0" w:color="000000"/>
            </w:tcBorders>
            <w:shd w:val="clear" w:color="auto" w:fill="D9D9D9"/>
          </w:tcPr>
          <w:p w:rsidR="00EC6509" w:rsidRPr="009D658B" w:rsidRDefault="00EC6509" w:rsidP="0082296B">
            <w:pPr>
              <w:pStyle w:val="TableParagraph"/>
              <w:spacing w:before="3"/>
              <w:ind w:left="465"/>
              <w:rPr>
                <w:rFonts w:eastAsia="Arial" w:cs="Arial"/>
                <w:sz w:val="14"/>
                <w:szCs w:val="14"/>
              </w:rPr>
            </w:pPr>
            <w:r w:rsidRPr="009D658B">
              <w:rPr>
                <w:sz w:val="14"/>
              </w:rPr>
              <w:t>1.69</w:t>
            </w:r>
          </w:p>
        </w:tc>
        <w:tc>
          <w:tcPr>
            <w:tcW w:w="850" w:type="dxa"/>
            <w:tcBorders>
              <w:top w:val="single" w:sz="8" w:space="0" w:color="808080"/>
              <w:left w:val="single" w:sz="4" w:space="0" w:color="000000"/>
              <w:bottom w:val="nil"/>
              <w:right w:val="nil"/>
            </w:tcBorders>
          </w:tcPr>
          <w:p w:rsidR="00EC6509" w:rsidRPr="009D658B" w:rsidRDefault="00EC6509" w:rsidP="0082296B">
            <w:pPr>
              <w:pStyle w:val="TableParagraph"/>
              <w:spacing w:before="3"/>
              <w:ind w:left="465"/>
              <w:rPr>
                <w:rFonts w:eastAsia="Arial" w:cs="Arial"/>
                <w:sz w:val="14"/>
                <w:szCs w:val="14"/>
              </w:rPr>
            </w:pPr>
            <w:r w:rsidRPr="009D658B">
              <w:rPr>
                <w:sz w:val="14"/>
              </w:rPr>
              <w:t>2.75</w:t>
            </w:r>
          </w:p>
        </w:tc>
        <w:tc>
          <w:tcPr>
            <w:tcW w:w="850" w:type="dxa"/>
            <w:tcBorders>
              <w:top w:val="single" w:sz="8" w:space="0" w:color="808080"/>
              <w:left w:val="nil"/>
              <w:bottom w:val="nil"/>
              <w:right w:val="nil"/>
            </w:tcBorders>
            <w:shd w:val="clear" w:color="auto" w:fill="D9D9D9"/>
          </w:tcPr>
          <w:p w:rsidR="00EC6509" w:rsidRPr="009D658B" w:rsidRDefault="00EC6509" w:rsidP="0082296B">
            <w:pPr>
              <w:pStyle w:val="TableParagraph"/>
              <w:spacing w:before="3"/>
              <w:ind w:left="467"/>
              <w:rPr>
                <w:rFonts w:eastAsia="Arial" w:cs="Arial"/>
                <w:sz w:val="14"/>
                <w:szCs w:val="14"/>
              </w:rPr>
            </w:pPr>
            <w:r w:rsidRPr="009D658B">
              <w:rPr>
                <w:sz w:val="14"/>
              </w:rPr>
              <w:t>2.60</w:t>
            </w:r>
          </w:p>
        </w:tc>
      </w:tr>
      <w:tr w:rsidR="00EC6509" w:rsidRPr="009D658B" w:rsidTr="007E3194">
        <w:trPr>
          <w:trHeight w:hRule="exact" w:val="174"/>
        </w:trPr>
        <w:tc>
          <w:tcPr>
            <w:tcW w:w="4410" w:type="dxa"/>
            <w:tcBorders>
              <w:top w:val="nil"/>
              <w:left w:val="nil"/>
              <w:bottom w:val="single" w:sz="8" w:space="0" w:color="808080"/>
              <w:right w:val="single" w:sz="8" w:space="0" w:color="808080"/>
            </w:tcBorders>
          </w:tcPr>
          <w:p w:rsidR="00EC6509" w:rsidRPr="009D658B" w:rsidRDefault="00EC6509" w:rsidP="0082296B">
            <w:pPr>
              <w:pStyle w:val="TableParagraph"/>
              <w:spacing w:line="158" w:lineRule="exact"/>
              <w:ind w:left="122"/>
              <w:rPr>
                <w:rFonts w:eastAsia="Arial" w:cs="Arial"/>
                <w:sz w:val="14"/>
                <w:szCs w:val="14"/>
                <w:lang w:val="fr-FR"/>
              </w:rPr>
            </w:pPr>
            <w:r w:rsidRPr="009D658B">
              <w:rPr>
                <w:sz w:val="14"/>
                <w:lang w:val="fr-FR"/>
              </w:rPr>
              <w:t>Bénéfice dilué par action (EUR)*</w:t>
            </w:r>
          </w:p>
        </w:tc>
        <w:tc>
          <w:tcPr>
            <w:tcW w:w="900" w:type="dxa"/>
            <w:tcBorders>
              <w:top w:val="nil"/>
              <w:left w:val="single" w:sz="8" w:space="0" w:color="808080"/>
              <w:bottom w:val="single" w:sz="8" w:space="0" w:color="808080"/>
              <w:right w:val="nil"/>
            </w:tcBorders>
          </w:tcPr>
          <w:p w:rsidR="00EC6509" w:rsidRPr="009D658B" w:rsidRDefault="00EC6509" w:rsidP="0082296B">
            <w:pPr>
              <w:pStyle w:val="TableParagraph"/>
              <w:spacing w:line="158" w:lineRule="exact"/>
              <w:ind w:left="458"/>
              <w:rPr>
                <w:rFonts w:eastAsia="Arial" w:cs="Arial"/>
                <w:sz w:val="14"/>
                <w:szCs w:val="14"/>
              </w:rPr>
            </w:pPr>
            <w:r w:rsidRPr="009D658B">
              <w:rPr>
                <w:sz w:val="14"/>
              </w:rPr>
              <w:t>1.56</w:t>
            </w:r>
          </w:p>
        </w:tc>
        <w:tc>
          <w:tcPr>
            <w:tcW w:w="851" w:type="dxa"/>
            <w:tcBorders>
              <w:top w:val="nil"/>
              <w:left w:val="nil"/>
              <w:bottom w:val="single" w:sz="8" w:space="0" w:color="808080"/>
              <w:right w:val="nil"/>
            </w:tcBorders>
          </w:tcPr>
          <w:p w:rsidR="00EC6509" w:rsidRPr="009D658B" w:rsidRDefault="00EC6509" w:rsidP="0082296B">
            <w:pPr>
              <w:pStyle w:val="TableParagraph"/>
              <w:spacing w:line="158" w:lineRule="exact"/>
              <w:ind w:left="419"/>
              <w:rPr>
                <w:rFonts w:eastAsia="Arial" w:cs="Arial"/>
                <w:sz w:val="14"/>
                <w:szCs w:val="14"/>
              </w:rPr>
            </w:pPr>
            <w:r w:rsidRPr="009D658B">
              <w:rPr>
                <w:sz w:val="14"/>
              </w:rPr>
              <w:t>1.41</w:t>
            </w:r>
          </w:p>
        </w:tc>
        <w:tc>
          <w:tcPr>
            <w:tcW w:w="851" w:type="dxa"/>
            <w:tcBorders>
              <w:top w:val="nil"/>
              <w:left w:val="nil"/>
              <w:bottom w:val="single" w:sz="8" w:space="0" w:color="808080"/>
              <w:right w:val="nil"/>
            </w:tcBorders>
          </w:tcPr>
          <w:p w:rsidR="00EC6509" w:rsidRPr="009D658B" w:rsidRDefault="00EC6509" w:rsidP="0082296B">
            <w:pPr>
              <w:pStyle w:val="TableParagraph"/>
              <w:spacing w:line="158" w:lineRule="exact"/>
              <w:ind w:left="373"/>
              <w:rPr>
                <w:rFonts w:eastAsia="Arial" w:cs="Arial"/>
                <w:sz w:val="14"/>
                <w:szCs w:val="14"/>
              </w:rPr>
            </w:pPr>
            <w:r w:rsidRPr="009D658B">
              <w:rPr>
                <w:sz w:val="14"/>
              </w:rPr>
              <w:t>-0.36</w:t>
            </w:r>
          </w:p>
        </w:tc>
        <w:tc>
          <w:tcPr>
            <w:tcW w:w="802" w:type="dxa"/>
            <w:tcBorders>
              <w:top w:val="nil"/>
              <w:left w:val="nil"/>
              <w:bottom w:val="single" w:sz="8" w:space="0" w:color="808080"/>
              <w:right w:val="nil"/>
            </w:tcBorders>
          </w:tcPr>
          <w:p w:rsidR="00EC6509" w:rsidRPr="009D658B" w:rsidRDefault="00EC6509" w:rsidP="0082296B">
            <w:pPr>
              <w:pStyle w:val="TableParagraph"/>
              <w:spacing w:line="158" w:lineRule="exact"/>
              <w:ind w:left="420"/>
              <w:rPr>
                <w:rFonts w:eastAsia="Arial" w:cs="Arial"/>
                <w:sz w:val="14"/>
                <w:szCs w:val="14"/>
              </w:rPr>
            </w:pPr>
            <w:r w:rsidRPr="009D658B">
              <w:rPr>
                <w:sz w:val="14"/>
              </w:rPr>
              <w:t>0.91</w:t>
            </w:r>
          </w:p>
        </w:tc>
        <w:tc>
          <w:tcPr>
            <w:tcW w:w="850" w:type="dxa"/>
            <w:tcBorders>
              <w:top w:val="nil"/>
              <w:left w:val="nil"/>
              <w:bottom w:val="single" w:sz="8" w:space="0" w:color="808080"/>
              <w:right w:val="single" w:sz="4" w:space="0" w:color="000000"/>
            </w:tcBorders>
            <w:shd w:val="clear" w:color="auto" w:fill="D9D9D9"/>
          </w:tcPr>
          <w:p w:rsidR="00EC6509" w:rsidRPr="009D658B" w:rsidRDefault="00EC6509" w:rsidP="0082296B">
            <w:pPr>
              <w:pStyle w:val="TableParagraph"/>
              <w:spacing w:line="158" w:lineRule="exact"/>
              <w:ind w:left="465"/>
              <w:rPr>
                <w:rFonts w:eastAsia="Arial" w:cs="Arial"/>
                <w:sz w:val="14"/>
                <w:szCs w:val="14"/>
              </w:rPr>
            </w:pPr>
            <w:r w:rsidRPr="009D658B">
              <w:rPr>
                <w:sz w:val="14"/>
              </w:rPr>
              <w:t>1.69</w:t>
            </w:r>
          </w:p>
        </w:tc>
        <w:tc>
          <w:tcPr>
            <w:tcW w:w="850" w:type="dxa"/>
            <w:tcBorders>
              <w:top w:val="nil"/>
              <w:left w:val="single" w:sz="4" w:space="0" w:color="000000"/>
              <w:bottom w:val="single" w:sz="8" w:space="0" w:color="808080"/>
              <w:right w:val="nil"/>
            </w:tcBorders>
          </w:tcPr>
          <w:p w:rsidR="00EC6509" w:rsidRPr="009D658B" w:rsidRDefault="00EC6509" w:rsidP="0082296B">
            <w:pPr>
              <w:pStyle w:val="TableParagraph"/>
              <w:spacing w:line="158" w:lineRule="exact"/>
              <w:ind w:left="465"/>
              <w:rPr>
                <w:rFonts w:eastAsia="Arial" w:cs="Arial"/>
                <w:sz w:val="14"/>
                <w:szCs w:val="14"/>
              </w:rPr>
            </w:pPr>
            <w:r w:rsidRPr="009D658B">
              <w:rPr>
                <w:sz w:val="14"/>
              </w:rPr>
              <w:t>2.75</w:t>
            </w:r>
          </w:p>
        </w:tc>
        <w:tc>
          <w:tcPr>
            <w:tcW w:w="850" w:type="dxa"/>
            <w:tcBorders>
              <w:top w:val="nil"/>
              <w:left w:val="nil"/>
              <w:bottom w:val="single" w:sz="8" w:space="0" w:color="808080"/>
              <w:right w:val="nil"/>
            </w:tcBorders>
            <w:shd w:val="clear" w:color="auto" w:fill="D9D9D9"/>
          </w:tcPr>
          <w:p w:rsidR="00EC6509" w:rsidRPr="009D658B" w:rsidRDefault="00EC6509" w:rsidP="0082296B">
            <w:pPr>
              <w:pStyle w:val="TableParagraph"/>
              <w:spacing w:line="158" w:lineRule="exact"/>
              <w:ind w:left="467"/>
              <w:rPr>
                <w:rFonts w:eastAsia="Arial" w:cs="Arial"/>
                <w:sz w:val="14"/>
                <w:szCs w:val="14"/>
              </w:rPr>
            </w:pPr>
            <w:r w:rsidRPr="009D658B">
              <w:rPr>
                <w:sz w:val="14"/>
              </w:rPr>
              <w:t>2.60</w:t>
            </w:r>
          </w:p>
        </w:tc>
      </w:tr>
    </w:tbl>
    <w:p w:rsidR="00EC6509" w:rsidRDefault="00EC6509" w:rsidP="007E3194">
      <w:pPr>
        <w:spacing w:before="1" w:line="136" w:lineRule="exact"/>
        <w:ind w:left="853" w:right="405"/>
        <w:rPr>
          <w:rFonts w:eastAsia="Arial" w:cs="Arial"/>
          <w:sz w:val="12"/>
          <w:szCs w:val="12"/>
          <w:lang w:val="fr-FR"/>
        </w:rPr>
      </w:pPr>
      <w:r w:rsidRPr="009D658B">
        <w:rPr>
          <w:sz w:val="12"/>
          <w:lang w:val="fr-FR"/>
        </w:rPr>
        <w:t>* Remarque : en cas de paiement d’un coupon sur les titres de capital de base vendus au gouvernement régional flamand et les instruments additionnels Tier-1 inclus dans les capitaux propres, il sera déduit du numérateur (</w:t>
      </w:r>
      <w:r w:rsidRPr="009D658B">
        <w:rPr>
          <w:i/>
          <w:sz w:val="12"/>
          <w:lang w:val="fr-FR"/>
        </w:rPr>
        <w:t>au prorata</w:t>
      </w:r>
      <w:r w:rsidRPr="009D658B">
        <w:rPr>
          <w:sz w:val="12"/>
          <w:lang w:val="fr-FR"/>
        </w:rPr>
        <w:t>). En cas de paiement d’une pénalité sur les titres de capital de base, elle sera déduite de la même manière.</w:t>
      </w:r>
    </w:p>
    <w:p w:rsidR="00EC6509" w:rsidRPr="009D658B" w:rsidRDefault="00EC6509" w:rsidP="007E3194">
      <w:pPr>
        <w:spacing w:before="3"/>
        <w:ind w:left="720"/>
        <w:rPr>
          <w:rFonts w:eastAsia="Arial" w:cs="Arial"/>
          <w:sz w:val="12"/>
          <w:szCs w:val="12"/>
          <w:lang w:val="fr-FR"/>
        </w:rPr>
      </w:pPr>
    </w:p>
    <w:tbl>
      <w:tblPr>
        <w:tblStyle w:val="TableNormal1"/>
        <w:tblW w:w="10348" w:type="dxa"/>
        <w:tblInd w:w="853" w:type="dxa"/>
        <w:tblLayout w:type="fixed"/>
        <w:tblLook w:val="01E0" w:firstRow="1" w:lastRow="1" w:firstColumn="1" w:lastColumn="1" w:noHBand="0" w:noVBand="0"/>
      </w:tblPr>
      <w:tblGrid>
        <w:gridCol w:w="4395"/>
        <w:gridCol w:w="1877"/>
        <w:gridCol w:w="1043"/>
        <w:gridCol w:w="976"/>
        <w:gridCol w:w="953"/>
        <w:gridCol w:w="1104"/>
      </w:tblGrid>
      <w:tr w:rsidR="00EC6509" w:rsidRPr="009D658B" w:rsidTr="007E3194">
        <w:trPr>
          <w:trHeight w:hRule="exact" w:val="377"/>
        </w:trPr>
        <w:tc>
          <w:tcPr>
            <w:tcW w:w="4395" w:type="dxa"/>
            <w:tcBorders>
              <w:top w:val="nil"/>
              <w:left w:val="nil"/>
              <w:bottom w:val="single" w:sz="8" w:space="0" w:color="808080"/>
              <w:right w:val="nil"/>
            </w:tcBorders>
          </w:tcPr>
          <w:p w:rsidR="00EC6509" w:rsidRPr="009D658B" w:rsidRDefault="00EC6509" w:rsidP="0082296B">
            <w:pPr>
              <w:pStyle w:val="TableParagraph"/>
              <w:spacing w:before="41"/>
              <w:ind w:left="107" w:right="1659"/>
              <w:rPr>
                <w:rFonts w:eastAsia="Arial" w:cs="Arial"/>
                <w:sz w:val="14"/>
                <w:szCs w:val="14"/>
                <w:lang w:val="fr-FR"/>
              </w:rPr>
            </w:pPr>
            <w:r w:rsidRPr="009D658B">
              <w:rPr>
                <w:b/>
                <w:color w:val="00AFEF"/>
                <w:sz w:val="14"/>
                <w:lang w:val="fr-FR"/>
              </w:rPr>
              <w:t>Chiffres clés du bilan consolidé, Groupe KBC (en millions EUR)</w:t>
            </w:r>
          </w:p>
        </w:tc>
        <w:tc>
          <w:tcPr>
            <w:tcW w:w="1877" w:type="dxa"/>
            <w:tcBorders>
              <w:top w:val="nil"/>
              <w:left w:val="nil"/>
              <w:bottom w:val="single" w:sz="8" w:space="0" w:color="808080"/>
              <w:right w:val="nil"/>
            </w:tcBorders>
          </w:tcPr>
          <w:p w:rsidR="00EC6509" w:rsidRPr="009D658B" w:rsidRDefault="00EC6509" w:rsidP="0082296B">
            <w:pPr>
              <w:pStyle w:val="TableParagraph"/>
              <w:spacing w:before="120"/>
              <w:ind w:left="965"/>
              <w:rPr>
                <w:rFonts w:eastAsia="Arial" w:cs="Arial"/>
                <w:sz w:val="14"/>
                <w:szCs w:val="14"/>
              </w:rPr>
            </w:pPr>
            <w:r w:rsidRPr="009D658B">
              <w:rPr>
                <w:b/>
                <w:color w:val="00AFEF"/>
                <w:sz w:val="14"/>
              </w:rPr>
              <w:t>30-06-2015</w:t>
            </w:r>
          </w:p>
        </w:tc>
        <w:tc>
          <w:tcPr>
            <w:tcW w:w="1043" w:type="dxa"/>
            <w:tcBorders>
              <w:top w:val="nil"/>
              <w:left w:val="nil"/>
              <w:bottom w:val="single" w:sz="8" w:space="0" w:color="808080"/>
              <w:right w:val="nil"/>
            </w:tcBorders>
          </w:tcPr>
          <w:p w:rsidR="00EC6509" w:rsidRPr="009D658B" w:rsidRDefault="00EC6509" w:rsidP="0082296B">
            <w:pPr>
              <w:pStyle w:val="TableParagraph"/>
              <w:spacing w:before="120"/>
              <w:ind w:left="198"/>
              <w:rPr>
                <w:rFonts w:eastAsia="Arial" w:cs="Arial"/>
                <w:sz w:val="14"/>
                <w:szCs w:val="14"/>
              </w:rPr>
            </w:pPr>
            <w:r w:rsidRPr="009D658B">
              <w:rPr>
                <w:b/>
                <w:color w:val="00AFEF"/>
                <w:sz w:val="14"/>
              </w:rPr>
              <w:t>30-09-2015</w:t>
            </w:r>
          </w:p>
        </w:tc>
        <w:tc>
          <w:tcPr>
            <w:tcW w:w="976" w:type="dxa"/>
            <w:tcBorders>
              <w:top w:val="nil"/>
              <w:left w:val="nil"/>
              <w:bottom w:val="single" w:sz="8" w:space="0" w:color="808080"/>
              <w:right w:val="nil"/>
            </w:tcBorders>
          </w:tcPr>
          <w:p w:rsidR="00EC6509" w:rsidRPr="009D658B" w:rsidRDefault="00EC6509" w:rsidP="0082296B">
            <w:pPr>
              <w:pStyle w:val="TableParagraph"/>
              <w:spacing w:before="120"/>
              <w:ind w:left="130"/>
              <w:rPr>
                <w:rFonts w:eastAsia="Arial" w:cs="Arial"/>
                <w:sz w:val="14"/>
                <w:szCs w:val="14"/>
              </w:rPr>
            </w:pPr>
            <w:r w:rsidRPr="009D658B">
              <w:rPr>
                <w:b/>
                <w:color w:val="00AFEF"/>
                <w:sz w:val="14"/>
              </w:rPr>
              <w:t>31-12-2015</w:t>
            </w:r>
          </w:p>
        </w:tc>
        <w:tc>
          <w:tcPr>
            <w:tcW w:w="953" w:type="dxa"/>
            <w:tcBorders>
              <w:top w:val="nil"/>
              <w:left w:val="nil"/>
              <w:bottom w:val="single" w:sz="8" w:space="0" w:color="808080"/>
              <w:right w:val="nil"/>
            </w:tcBorders>
          </w:tcPr>
          <w:p w:rsidR="00EC6509" w:rsidRPr="009D658B" w:rsidRDefault="00EC6509" w:rsidP="0082296B">
            <w:pPr>
              <w:pStyle w:val="TableParagraph"/>
              <w:spacing w:before="120"/>
              <w:ind w:left="129"/>
              <w:rPr>
                <w:rFonts w:eastAsia="Arial" w:cs="Arial"/>
                <w:sz w:val="14"/>
                <w:szCs w:val="14"/>
              </w:rPr>
            </w:pPr>
            <w:r w:rsidRPr="009D658B">
              <w:rPr>
                <w:b/>
                <w:color w:val="00AFEF"/>
                <w:sz w:val="14"/>
              </w:rPr>
              <w:t>31-03-2016</w:t>
            </w:r>
          </w:p>
        </w:tc>
        <w:tc>
          <w:tcPr>
            <w:tcW w:w="1104" w:type="dxa"/>
            <w:tcBorders>
              <w:top w:val="nil"/>
              <w:left w:val="nil"/>
              <w:bottom w:val="single" w:sz="8" w:space="0" w:color="808080"/>
              <w:right w:val="nil"/>
            </w:tcBorders>
          </w:tcPr>
          <w:p w:rsidR="00EC6509" w:rsidRPr="009D658B" w:rsidRDefault="00EC6509" w:rsidP="0082296B">
            <w:pPr>
              <w:pStyle w:val="TableParagraph"/>
              <w:spacing w:before="120"/>
              <w:ind w:left="280"/>
              <w:rPr>
                <w:rFonts w:eastAsia="Arial" w:cs="Arial"/>
                <w:sz w:val="14"/>
                <w:szCs w:val="14"/>
              </w:rPr>
            </w:pPr>
            <w:r w:rsidRPr="009D658B">
              <w:rPr>
                <w:b/>
                <w:color w:val="00AFEF"/>
                <w:sz w:val="14"/>
              </w:rPr>
              <w:t>30-06-2016</w:t>
            </w:r>
          </w:p>
        </w:tc>
      </w:tr>
      <w:tr w:rsidR="00EC6509" w:rsidRPr="009D658B" w:rsidTr="007E3194">
        <w:trPr>
          <w:trHeight w:hRule="exact" w:val="214"/>
        </w:trPr>
        <w:tc>
          <w:tcPr>
            <w:tcW w:w="4395" w:type="dxa"/>
            <w:tcBorders>
              <w:top w:val="single" w:sz="8" w:space="0" w:color="808080"/>
              <w:left w:val="nil"/>
              <w:bottom w:val="nil"/>
              <w:right w:val="single" w:sz="8" w:space="0" w:color="808080"/>
            </w:tcBorders>
          </w:tcPr>
          <w:p w:rsidR="00EC6509" w:rsidRPr="009D658B" w:rsidRDefault="00EC6509" w:rsidP="0082296B">
            <w:pPr>
              <w:pStyle w:val="TableParagraph"/>
              <w:spacing w:before="17"/>
              <w:ind w:left="107"/>
              <w:rPr>
                <w:rFonts w:eastAsia="Arial" w:cs="Arial"/>
                <w:sz w:val="14"/>
                <w:szCs w:val="14"/>
              </w:rPr>
            </w:pPr>
            <w:proofErr w:type="spellStart"/>
            <w:r w:rsidRPr="009D658B">
              <w:rPr>
                <w:sz w:val="14"/>
              </w:rPr>
              <w:t>Actifs</w:t>
            </w:r>
            <w:proofErr w:type="spellEnd"/>
            <w:r w:rsidRPr="009D658B">
              <w:rPr>
                <w:sz w:val="14"/>
              </w:rPr>
              <w:t xml:space="preserve"> </w:t>
            </w:r>
            <w:proofErr w:type="spellStart"/>
            <w:r w:rsidRPr="009D658B">
              <w:rPr>
                <w:sz w:val="14"/>
              </w:rPr>
              <w:t>totaux</w:t>
            </w:r>
            <w:proofErr w:type="spellEnd"/>
          </w:p>
        </w:tc>
        <w:tc>
          <w:tcPr>
            <w:tcW w:w="1877" w:type="dxa"/>
            <w:tcBorders>
              <w:top w:val="single" w:sz="8" w:space="0" w:color="808080"/>
              <w:left w:val="single" w:sz="8" w:space="0" w:color="808080"/>
              <w:bottom w:val="nil"/>
              <w:right w:val="nil"/>
            </w:tcBorders>
          </w:tcPr>
          <w:p w:rsidR="00EC6509" w:rsidRPr="009D658B" w:rsidRDefault="00EC6509" w:rsidP="0082296B">
            <w:pPr>
              <w:pStyle w:val="TableParagraph"/>
              <w:spacing w:before="17"/>
              <w:ind w:left="1164"/>
              <w:rPr>
                <w:rFonts w:eastAsia="Arial" w:cs="Arial"/>
                <w:sz w:val="14"/>
                <w:szCs w:val="14"/>
              </w:rPr>
            </w:pPr>
            <w:r w:rsidRPr="009D658B">
              <w:rPr>
                <w:sz w:val="14"/>
              </w:rPr>
              <w:t>256 654</w:t>
            </w:r>
          </w:p>
        </w:tc>
        <w:tc>
          <w:tcPr>
            <w:tcW w:w="1043" w:type="dxa"/>
            <w:tcBorders>
              <w:top w:val="single" w:sz="8" w:space="0" w:color="808080"/>
              <w:left w:val="nil"/>
              <w:bottom w:val="nil"/>
              <w:right w:val="nil"/>
            </w:tcBorders>
          </w:tcPr>
          <w:p w:rsidR="00EC6509" w:rsidRPr="009D658B" w:rsidRDefault="00EC6509" w:rsidP="0082296B">
            <w:pPr>
              <w:pStyle w:val="TableParagraph"/>
              <w:spacing w:before="17"/>
              <w:ind w:left="407"/>
              <w:rPr>
                <w:rFonts w:eastAsia="Arial" w:cs="Arial"/>
                <w:sz w:val="14"/>
                <w:szCs w:val="14"/>
              </w:rPr>
            </w:pPr>
            <w:r w:rsidRPr="009D658B">
              <w:rPr>
                <w:sz w:val="14"/>
              </w:rPr>
              <w:t>257 632</w:t>
            </w:r>
          </w:p>
        </w:tc>
        <w:tc>
          <w:tcPr>
            <w:tcW w:w="976" w:type="dxa"/>
            <w:tcBorders>
              <w:top w:val="single" w:sz="8" w:space="0" w:color="808080"/>
              <w:left w:val="nil"/>
              <w:bottom w:val="nil"/>
              <w:right w:val="nil"/>
            </w:tcBorders>
          </w:tcPr>
          <w:p w:rsidR="00EC6509" w:rsidRPr="009D658B" w:rsidRDefault="00EC6509" w:rsidP="0082296B">
            <w:pPr>
              <w:pStyle w:val="TableParagraph"/>
              <w:spacing w:before="17"/>
              <w:ind w:left="339"/>
              <w:rPr>
                <w:rFonts w:eastAsia="Arial" w:cs="Arial"/>
                <w:sz w:val="14"/>
                <w:szCs w:val="14"/>
              </w:rPr>
            </w:pPr>
            <w:r w:rsidRPr="009D658B">
              <w:rPr>
                <w:sz w:val="14"/>
              </w:rPr>
              <w:t>252 356</w:t>
            </w:r>
          </w:p>
        </w:tc>
        <w:tc>
          <w:tcPr>
            <w:tcW w:w="953" w:type="dxa"/>
            <w:tcBorders>
              <w:top w:val="single" w:sz="8" w:space="0" w:color="808080"/>
              <w:left w:val="nil"/>
              <w:bottom w:val="nil"/>
              <w:right w:val="nil"/>
            </w:tcBorders>
          </w:tcPr>
          <w:p w:rsidR="00EC6509" w:rsidRPr="009D658B" w:rsidRDefault="00EC6509" w:rsidP="0082296B">
            <w:pPr>
              <w:pStyle w:val="TableParagraph"/>
              <w:spacing w:before="17"/>
              <w:ind w:left="338"/>
              <w:rPr>
                <w:rFonts w:eastAsia="Arial" w:cs="Arial"/>
                <w:sz w:val="14"/>
                <w:szCs w:val="14"/>
              </w:rPr>
            </w:pPr>
            <w:r w:rsidRPr="009D658B">
              <w:rPr>
                <w:sz w:val="14"/>
              </w:rPr>
              <w:t>261 551</w:t>
            </w:r>
          </w:p>
        </w:tc>
        <w:tc>
          <w:tcPr>
            <w:tcW w:w="1104" w:type="dxa"/>
            <w:tcBorders>
              <w:top w:val="single" w:sz="8" w:space="0" w:color="808080"/>
              <w:left w:val="nil"/>
              <w:bottom w:val="nil"/>
              <w:right w:val="nil"/>
            </w:tcBorders>
            <w:shd w:val="clear" w:color="auto" w:fill="D9D9D9"/>
          </w:tcPr>
          <w:p w:rsidR="00EC6509" w:rsidRPr="009D658B" w:rsidRDefault="00EC6509" w:rsidP="0082296B">
            <w:pPr>
              <w:pStyle w:val="TableParagraph"/>
              <w:spacing w:before="17"/>
              <w:ind w:left="489"/>
              <w:rPr>
                <w:rFonts w:eastAsia="Arial" w:cs="Arial"/>
                <w:sz w:val="14"/>
                <w:szCs w:val="14"/>
              </w:rPr>
            </w:pPr>
            <w:r w:rsidRPr="009D658B">
              <w:rPr>
                <w:sz w:val="14"/>
              </w:rPr>
              <w:t>265 681</w:t>
            </w:r>
          </w:p>
        </w:tc>
      </w:tr>
      <w:tr w:rsidR="00EC6509" w:rsidRPr="009D658B" w:rsidTr="007E3194">
        <w:trPr>
          <w:trHeight w:hRule="exact" w:val="198"/>
        </w:trPr>
        <w:tc>
          <w:tcPr>
            <w:tcW w:w="4395" w:type="dxa"/>
            <w:tcBorders>
              <w:top w:val="nil"/>
              <w:left w:val="nil"/>
              <w:bottom w:val="nil"/>
              <w:right w:val="single" w:sz="8" w:space="0" w:color="808080"/>
            </w:tcBorders>
          </w:tcPr>
          <w:p w:rsidR="00EC6509" w:rsidRPr="009D658B" w:rsidRDefault="00EC6509" w:rsidP="0082296B">
            <w:pPr>
              <w:pStyle w:val="TableParagraph"/>
              <w:spacing w:before="10"/>
              <w:ind w:left="107"/>
              <w:rPr>
                <w:rFonts w:eastAsia="Arial" w:cs="Arial"/>
                <w:sz w:val="14"/>
                <w:szCs w:val="14"/>
                <w:lang w:val="fr-FR"/>
              </w:rPr>
            </w:pPr>
            <w:r w:rsidRPr="009D658B">
              <w:rPr>
                <w:sz w:val="14"/>
                <w:lang w:val="fr-FR"/>
              </w:rPr>
              <w:t>Prêts et avances à la clientèle</w:t>
            </w:r>
          </w:p>
        </w:tc>
        <w:tc>
          <w:tcPr>
            <w:tcW w:w="1877" w:type="dxa"/>
            <w:tcBorders>
              <w:top w:val="nil"/>
              <w:left w:val="single" w:sz="8" w:space="0" w:color="808080"/>
              <w:bottom w:val="nil"/>
              <w:right w:val="nil"/>
            </w:tcBorders>
          </w:tcPr>
          <w:p w:rsidR="00EC6509" w:rsidRPr="009D658B" w:rsidRDefault="00EC6509" w:rsidP="0082296B">
            <w:pPr>
              <w:pStyle w:val="TableParagraph"/>
              <w:spacing w:before="10"/>
              <w:ind w:left="1164"/>
              <w:rPr>
                <w:rFonts w:eastAsia="Arial" w:cs="Arial"/>
                <w:sz w:val="14"/>
                <w:szCs w:val="14"/>
              </w:rPr>
            </w:pPr>
            <w:r w:rsidRPr="009D658B">
              <w:rPr>
                <w:sz w:val="14"/>
              </w:rPr>
              <w:t>126 093</w:t>
            </w:r>
          </w:p>
        </w:tc>
        <w:tc>
          <w:tcPr>
            <w:tcW w:w="1043" w:type="dxa"/>
            <w:tcBorders>
              <w:top w:val="nil"/>
              <w:left w:val="nil"/>
              <w:bottom w:val="nil"/>
              <w:right w:val="nil"/>
            </w:tcBorders>
          </w:tcPr>
          <w:p w:rsidR="00EC6509" w:rsidRPr="009D658B" w:rsidRDefault="00EC6509" w:rsidP="0082296B">
            <w:pPr>
              <w:pStyle w:val="TableParagraph"/>
              <w:spacing w:before="10"/>
              <w:ind w:left="407"/>
              <w:rPr>
                <w:rFonts w:eastAsia="Arial" w:cs="Arial"/>
                <w:sz w:val="14"/>
                <w:szCs w:val="14"/>
              </w:rPr>
            </w:pPr>
            <w:r w:rsidRPr="009D658B">
              <w:rPr>
                <w:sz w:val="14"/>
              </w:rPr>
              <w:t>126 971</w:t>
            </w:r>
          </w:p>
        </w:tc>
        <w:tc>
          <w:tcPr>
            <w:tcW w:w="976" w:type="dxa"/>
            <w:tcBorders>
              <w:top w:val="nil"/>
              <w:left w:val="nil"/>
              <w:bottom w:val="nil"/>
              <w:right w:val="nil"/>
            </w:tcBorders>
          </w:tcPr>
          <w:p w:rsidR="00EC6509" w:rsidRPr="009D658B" w:rsidRDefault="00EC6509" w:rsidP="0082296B">
            <w:pPr>
              <w:pStyle w:val="TableParagraph"/>
              <w:spacing w:before="10"/>
              <w:ind w:left="339"/>
              <w:rPr>
                <w:rFonts w:eastAsia="Arial" w:cs="Arial"/>
                <w:sz w:val="14"/>
                <w:szCs w:val="14"/>
              </w:rPr>
            </w:pPr>
            <w:r w:rsidRPr="009D658B">
              <w:rPr>
                <w:sz w:val="14"/>
              </w:rPr>
              <w:t>128 223</w:t>
            </w:r>
          </w:p>
        </w:tc>
        <w:tc>
          <w:tcPr>
            <w:tcW w:w="953" w:type="dxa"/>
            <w:tcBorders>
              <w:top w:val="nil"/>
              <w:left w:val="nil"/>
              <w:bottom w:val="nil"/>
              <w:right w:val="nil"/>
            </w:tcBorders>
          </w:tcPr>
          <w:p w:rsidR="00EC6509" w:rsidRPr="009D658B" w:rsidRDefault="00EC6509" w:rsidP="0082296B">
            <w:pPr>
              <w:pStyle w:val="TableParagraph"/>
              <w:spacing w:before="10"/>
              <w:ind w:left="338"/>
              <w:rPr>
                <w:rFonts w:eastAsia="Arial" w:cs="Arial"/>
                <w:sz w:val="14"/>
                <w:szCs w:val="14"/>
              </w:rPr>
            </w:pPr>
            <w:r w:rsidRPr="009D658B">
              <w:rPr>
                <w:sz w:val="14"/>
              </w:rPr>
              <w:t>129 703</w:t>
            </w:r>
          </w:p>
        </w:tc>
        <w:tc>
          <w:tcPr>
            <w:tcW w:w="1104" w:type="dxa"/>
            <w:tcBorders>
              <w:top w:val="nil"/>
              <w:left w:val="nil"/>
              <w:bottom w:val="nil"/>
              <w:right w:val="nil"/>
            </w:tcBorders>
            <w:shd w:val="clear" w:color="auto" w:fill="D9D9D9"/>
          </w:tcPr>
          <w:p w:rsidR="00EC6509" w:rsidRPr="009D658B" w:rsidRDefault="00EC6509" w:rsidP="0082296B">
            <w:pPr>
              <w:pStyle w:val="TableParagraph"/>
              <w:spacing w:before="10"/>
              <w:ind w:left="489"/>
              <w:rPr>
                <w:rFonts w:eastAsia="Arial" w:cs="Arial"/>
                <w:sz w:val="14"/>
                <w:szCs w:val="14"/>
              </w:rPr>
            </w:pPr>
            <w:r w:rsidRPr="009D658B">
              <w:rPr>
                <w:sz w:val="14"/>
              </w:rPr>
              <w:t>131 383</w:t>
            </w:r>
          </w:p>
        </w:tc>
      </w:tr>
      <w:tr w:rsidR="00EC6509" w:rsidRPr="009D658B" w:rsidTr="007E3194">
        <w:trPr>
          <w:trHeight w:hRule="exact" w:val="198"/>
        </w:trPr>
        <w:tc>
          <w:tcPr>
            <w:tcW w:w="4395" w:type="dxa"/>
            <w:tcBorders>
              <w:top w:val="nil"/>
              <w:left w:val="nil"/>
              <w:bottom w:val="nil"/>
              <w:right w:val="single" w:sz="8" w:space="0" w:color="808080"/>
            </w:tcBorders>
          </w:tcPr>
          <w:p w:rsidR="00EC6509" w:rsidRPr="009D658B" w:rsidRDefault="00EC6509" w:rsidP="0082296B">
            <w:pPr>
              <w:pStyle w:val="TableParagraph"/>
              <w:spacing w:before="11"/>
              <w:ind w:left="107"/>
              <w:rPr>
                <w:rFonts w:eastAsia="Arial" w:cs="Arial"/>
                <w:sz w:val="14"/>
                <w:szCs w:val="14"/>
                <w:lang w:val="fr-FR"/>
              </w:rPr>
            </w:pPr>
            <w:r w:rsidRPr="009D658B">
              <w:rPr>
                <w:sz w:val="14"/>
                <w:lang w:val="fr-FR"/>
              </w:rPr>
              <w:t>Titres (actions et titres de créance)</w:t>
            </w:r>
          </w:p>
        </w:tc>
        <w:tc>
          <w:tcPr>
            <w:tcW w:w="1877" w:type="dxa"/>
            <w:tcBorders>
              <w:top w:val="nil"/>
              <w:left w:val="single" w:sz="8" w:space="0" w:color="808080"/>
              <w:bottom w:val="nil"/>
              <w:right w:val="nil"/>
            </w:tcBorders>
          </w:tcPr>
          <w:p w:rsidR="00EC6509" w:rsidRPr="009D658B" w:rsidRDefault="00EC6509" w:rsidP="0082296B">
            <w:pPr>
              <w:pStyle w:val="TableParagraph"/>
              <w:spacing w:before="11"/>
              <w:ind w:left="1243"/>
              <w:rPr>
                <w:rFonts w:eastAsia="Arial" w:cs="Arial"/>
                <w:sz w:val="14"/>
                <w:szCs w:val="14"/>
              </w:rPr>
            </w:pPr>
            <w:r w:rsidRPr="009D658B">
              <w:rPr>
                <w:sz w:val="14"/>
              </w:rPr>
              <w:t>70 755</w:t>
            </w:r>
          </w:p>
        </w:tc>
        <w:tc>
          <w:tcPr>
            <w:tcW w:w="1043" w:type="dxa"/>
            <w:tcBorders>
              <w:top w:val="nil"/>
              <w:left w:val="nil"/>
              <w:bottom w:val="nil"/>
              <w:right w:val="nil"/>
            </w:tcBorders>
          </w:tcPr>
          <w:p w:rsidR="00EC6509" w:rsidRPr="009D658B" w:rsidRDefault="00EC6509" w:rsidP="0082296B">
            <w:pPr>
              <w:pStyle w:val="TableParagraph"/>
              <w:spacing w:before="11"/>
              <w:ind w:left="486"/>
              <w:rPr>
                <w:rFonts w:eastAsia="Arial" w:cs="Arial"/>
                <w:sz w:val="14"/>
                <w:szCs w:val="14"/>
              </w:rPr>
            </w:pPr>
            <w:r w:rsidRPr="009D658B">
              <w:rPr>
                <w:sz w:val="14"/>
              </w:rPr>
              <w:t>71 115</w:t>
            </w:r>
          </w:p>
        </w:tc>
        <w:tc>
          <w:tcPr>
            <w:tcW w:w="976" w:type="dxa"/>
            <w:tcBorders>
              <w:top w:val="nil"/>
              <w:left w:val="nil"/>
              <w:bottom w:val="nil"/>
              <w:right w:val="nil"/>
            </w:tcBorders>
          </w:tcPr>
          <w:p w:rsidR="00EC6509" w:rsidRPr="009D658B" w:rsidRDefault="00EC6509" w:rsidP="0082296B">
            <w:pPr>
              <w:pStyle w:val="TableParagraph"/>
              <w:spacing w:before="11"/>
              <w:ind w:left="418"/>
              <w:rPr>
                <w:rFonts w:eastAsia="Arial" w:cs="Arial"/>
                <w:sz w:val="14"/>
                <w:szCs w:val="14"/>
              </w:rPr>
            </w:pPr>
            <w:r w:rsidRPr="009D658B">
              <w:rPr>
                <w:sz w:val="14"/>
              </w:rPr>
              <w:t>72 623</w:t>
            </w:r>
          </w:p>
        </w:tc>
        <w:tc>
          <w:tcPr>
            <w:tcW w:w="953" w:type="dxa"/>
            <w:tcBorders>
              <w:top w:val="nil"/>
              <w:left w:val="nil"/>
              <w:bottom w:val="nil"/>
              <w:right w:val="nil"/>
            </w:tcBorders>
          </w:tcPr>
          <w:p w:rsidR="00EC6509" w:rsidRPr="009D658B" w:rsidRDefault="00EC6509" w:rsidP="0082296B">
            <w:pPr>
              <w:pStyle w:val="TableParagraph"/>
              <w:spacing w:before="11"/>
              <w:ind w:left="417"/>
              <w:rPr>
                <w:rFonts w:eastAsia="Arial" w:cs="Arial"/>
                <w:sz w:val="14"/>
                <w:szCs w:val="14"/>
              </w:rPr>
            </w:pPr>
            <w:r w:rsidRPr="009D658B">
              <w:rPr>
                <w:sz w:val="14"/>
              </w:rPr>
              <w:t>72 860</w:t>
            </w:r>
          </w:p>
        </w:tc>
        <w:tc>
          <w:tcPr>
            <w:tcW w:w="1104" w:type="dxa"/>
            <w:tcBorders>
              <w:top w:val="nil"/>
              <w:left w:val="nil"/>
              <w:bottom w:val="nil"/>
              <w:right w:val="nil"/>
            </w:tcBorders>
            <w:shd w:val="clear" w:color="auto" w:fill="D9D9D9"/>
          </w:tcPr>
          <w:p w:rsidR="00EC6509" w:rsidRPr="009D658B" w:rsidRDefault="00EC6509" w:rsidP="0082296B">
            <w:pPr>
              <w:pStyle w:val="TableParagraph"/>
              <w:spacing w:before="11"/>
              <w:ind w:left="568"/>
              <w:rPr>
                <w:rFonts w:eastAsia="Arial" w:cs="Arial"/>
                <w:sz w:val="14"/>
                <w:szCs w:val="14"/>
              </w:rPr>
            </w:pPr>
            <w:r w:rsidRPr="009D658B">
              <w:rPr>
                <w:sz w:val="14"/>
              </w:rPr>
              <w:t>73 494</w:t>
            </w:r>
          </w:p>
        </w:tc>
      </w:tr>
      <w:tr w:rsidR="00EC6509" w:rsidRPr="009D658B" w:rsidTr="007E3194">
        <w:trPr>
          <w:trHeight w:hRule="exact" w:val="198"/>
        </w:trPr>
        <w:tc>
          <w:tcPr>
            <w:tcW w:w="4395" w:type="dxa"/>
            <w:tcBorders>
              <w:top w:val="nil"/>
              <w:left w:val="nil"/>
              <w:bottom w:val="nil"/>
              <w:right w:val="single" w:sz="8" w:space="0" w:color="808080"/>
            </w:tcBorders>
          </w:tcPr>
          <w:p w:rsidR="00EC6509" w:rsidRPr="009D658B" w:rsidRDefault="00EC6509" w:rsidP="0082296B">
            <w:pPr>
              <w:pStyle w:val="TableParagraph"/>
              <w:spacing w:before="10"/>
              <w:ind w:left="107"/>
              <w:rPr>
                <w:rFonts w:eastAsia="Arial" w:cs="Arial"/>
                <w:sz w:val="14"/>
                <w:szCs w:val="14"/>
                <w:lang w:val="fr-FR"/>
              </w:rPr>
            </w:pPr>
            <w:r w:rsidRPr="009D658B">
              <w:rPr>
                <w:sz w:val="14"/>
                <w:lang w:val="fr-FR"/>
              </w:rPr>
              <w:t>Dépôts de la clientèle et certificats de dette</w:t>
            </w:r>
          </w:p>
        </w:tc>
        <w:tc>
          <w:tcPr>
            <w:tcW w:w="1877" w:type="dxa"/>
            <w:tcBorders>
              <w:top w:val="nil"/>
              <w:left w:val="single" w:sz="8" w:space="0" w:color="808080"/>
              <w:bottom w:val="nil"/>
              <w:right w:val="nil"/>
            </w:tcBorders>
          </w:tcPr>
          <w:p w:rsidR="00EC6509" w:rsidRPr="009D658B" w:rsidRDefault="00EC6509" w:rsidP="0082296B">
            <w:pPr>
              <w:pStyle w:val="TableParagraph"/>
              <w:spacing w:before="10"/>
              <w:ind w:left="1164"/>
              <w:rPr>
                <w:rFonts w:eastAsia="Arial" w:cs="Arial"/>
                <w:sz w:val="14"/>
                <w:szCs w:val="14"/>
              </w:rPr>
            </w:pPr>
            <w:r w:rsidRPr="009D658B">
              <w:rPr>
                <w:sz w:val="14"/>
              </w:rPr>
              <w:t>170 159</w:t>
            </w:r>
          </w:p>
        </w:tc>
        <w:tc>
          <w:tcPr>
            <w:tcW w:w="1043" w:type="dxa"/>
            <w:tcBorders>
              <w:top w:val="nil"/>
              <w:left w:val="nil"/>
              <w:bottom w:val="nil"/>
              <w:right w:val="nil"/>
            </w:tcBorders>
          </w:tcPr>
          <w:p w:rsidR="00EC6509" w:rsidRPr="009D658B" w:rsidRDefault="00EC6509" w:rsidP="0082296B">
            <w:pPr>
              <w:pStyle w:val="TableParagraph"/>
              <w:spacing w:before="10"/>
              <w:ind w:left="407"/>
              <w:rPr>
                <w:rFonts w:eastAsia="Arial" w:cs="Arial"/>
                <w:sz w:val="14"/>
                <w:szCs w:val="14"/>
              </w:rPr>
            </w:pPr>
            <w:r w:rsidRPr="009D658B">
              <w:rPr>
                <w:sz w:val="14"/>
              </w:rPr>
              <w:t>171 412</w:t>
            </w:r>
          </w:p>
        </w:tc>
        <w:tc>
          <w:tcPr>
            <w:tcW w:w="976" w:type="dxa"/>
            <w:tcBorders>
              <w:top w:val="nil"/>
              <w:left w:val="nil"/>
              <w:bottom w:val="nil"/>
              <w:right w:val="nil"/>
            </w:tcBorders>
          </w:tcPr>
          <w:p w:rsidR="00EC6509" w:rsidRPr="009D658B" w:rsidRDefault="00EC6509" w:rsidP="0082296B">
            <w:pPr>
              <w:pStyle w:val="TableParagraph"/>
              <w:spacing w:before="10"/>
              <w:ind w:left="339"/>
              <w:rPr>
                <w:rFonts w:eastAsia="Arial" w:cs="Arial"/>
                <w:sz w:val="14"/>
                <w:szCs w:val="14"/>
              </w:rPr>
            </w:pPr>
            <w:r w:rsidRPr="009D658B">
              <w:rPr>
                <w:sz w:val="14"/>
              </w:rPr>
              <w:t>170 109</w:t>
            </w:r>
          </w:p>
        </w:tc>
        <w:tc>
          <w:tcPr>
            <w:tcW w:w="953" w:type="dxa"/>
            <w:tcBorders>
              <w:top w:val="nil"/>
              <w:left w:val="nil"/>
              <w:bottom w:val="nil"/>
              <w:right w:val="nil"/>
            </w:tcBorders>
          </w:tcPr>
          <w:p w:rsidR="00EC6509" w:rsidRPr="009D658B" w:rsidRDefault="00EC6509" w:rsidP="0082296B">
            <w:pPr>
              <w:pStyle w:val="TableParagraph"/>
              <w:spacing w:before="10"/>
              <w:ind w:left="338"/>
              <w:rPr>
                <w:rFonts w:eastAsia="Arial" w:cs="Arial"/>
                <w:sz w:val="14"/>
                <w:szCs w:val="14"/>
              </w:rPr>
            </w:pPr>
            <w:r w:rsidRPr="009D658B">
              <w:rPr>
                <w:sz w:val="14"/>
              </w:rPr>
              <w:t>173 646</w:t>
            </w:r>
          </w:p>
        </w:tc>
        <w:tc>
          <w:tcPr>
            <w:tcW w:w="1104" w:type="dxa"/>
            <w:tcBorders>
              <w:top w:val="nil"/>
              <w:left w:val="nil"/>
              <w:bottom w:val="nil"/>
              <w:right w:val="nil"/>
            </w:tcBorders>
            <w:shd w:val="clear" w:color="auto" w:fill="D9D9D9"/>
          </w:tcPr>
          <w:p w:rsidR="00EC6509" w:rsidRPr="009D658B" w:rsidRDefault="00EC6509" w:rsidP="0082296B">
            <w:pPr>
              <w:pStyle w:val="TableParagraph"/>
              <w:spacing w:before="10"/>
              <w:ind w:left="489"/>
              <w:rPr>
                <w:rFonts w:eastAsia="Arial" w:cs="Arial"/>
                <w:sz w:val="14"/>
                <w:szCs w:val="14"/>
              </w:rPr>
            </w:pPr>
            <w:r w:rsidRPr="009D658B">
              <w:rPr>
                <w:sz w:val="14"/>
              </w:rPr>
              <w:t>175 870</w:t>
            </w:r>
          </w:p>
        </w:tc>
      </w:tr>
      <w:tr w:rsidR="00EC6509" w:rsidRPr="009D658B" w:rsidTr="007E3194">
        <w:trPr>
          <w:trHeight w:hRule="exact" w:val="198"/>
        </w:trPr>
        <w:tc>
          <w:tcPr>
            <w:tcW w:w="4395" w:type="dxa"/>
            <w:tcBorders>
              <w:top w:val="nil"/>
              <w:left w:val="nil"/>
              <w:bottom w:val="nil"/>
              <w:right w:val="single" w:sz="8" w:space="0" w:color="808080"/>
            </w:tcBorders>
          </w:tcPr>
          <w:p w:rsidR="00EC6509" w:rsidRPr="009D658B" w:rsidRDefault="00EC6509" w:rsidP="0082296B">
            <w:pPr>
              <w:pStyle w:val="TableParagraph"/>
              <w:spacing w:before="11"/>
              <w:ind w:left="107"/>
              <w:rPr>
                <w:rFonts w:eastAsia="Arial" w:cs="Arial"/>
                <w:sz w:val="14"/>
                <w:szCs w:val="14"/>
              </w:rPr>
            </w:pPr>
            <w:r w:rsidRPr="009D658B">
              <w:rPr>
                <w:sz w:val="14"/>
              </w:rPr>
              <w:t xml:space="preserve">Provisions techniques </w:t>
            </w:r>
            <w:proofErr w:type="spellStart"/>
            <w:r w:rsidRPr="009D658B">
              <w:rPr>
                <w:sz w:val="14"/>
              </w:rPr>
              <w:t>avant</w:t>
            </w:r>
            <w:proofErr w:type="spellEnd"/>
            <w:r w:rsidRPr="009D658B">
              <w:rPr>
                <w:sz w:val="14"/>
              </w:rPr>
              <w:t xml:space="preserve"> </w:t>
            </w:r>
            <w:proofErr w:type="spellStart"/>
            <w:r w:rsidRPr="009D658B">
              <w:rPr>
                <w:sz w:val="14"/>
              </w:rPr>
              <w:t>réassurance</w:t>
            </w:r>
            <w:proofErr w:type="spellEnd"/>
          </w:p>
        </w:tc>
        <w:tc>
          <w:tcPr>
            <w:tcW w:w="1877" w:type="dxa"/>
            <w:tcBorders>
              <w:top w:val="nil"/>
              <w:left w:val="single" w:sz="8" w:space="0" w:color="808080"/>
              <w:bottom w:val="nil"/>
              <w:right w:val="nil"/>
            </w:tcBorders>
          </w:tcPr>
          <w:p w:rsidR="00EC6509" w:rsidRPr="009D658B" w:rsidRDefault="00EC6509" w:rsidP="0082296B">
            <w:pPr>
              <w:pStyle w:val="TableParagraph"/>
              <w:spacing w:before="11"/>
              <w:ind w:left="1243"/>
              <w:rPr>
                <w:rFonts w:eastAsia="Arial" w:cs="Arial"/>
                <w:sz w:val="14"/>
                <w:szCs w:val="14"/>
              </w:rPr>
            </w:pPr>
            <w:r w:rsidRPr="009D658B">
              <w:rPr>
                <w:sz w:val="14"/>
              </w:rPr>
              <w:t>19 198</w:t>
            </w:r>
          </w:p>
        </w:tc>
        <w:tc>
          <w:tcPr>
            <w:tcW w:w="1043" w:type="dxa"/>
            <w:tcBorders>
              <w:top w:val="nil"/>
              <w:left w:val="nil"/>
              <w:bottom w:val="nil"/>
              <w:right w:val="nil"/>
            </w:tcBorders>
          </w:tcPr>
          <w:p w:rsidR="00EC6509" w:rsidRPr="009D658B" w:rsidRDefault="00EC6509" w:rsidP="0082296B">
            <w:pPr>
              <w:pStyle w:val="TableParagraph"/>
              <w:spacing w:before="11"/>
              <w:ind w:left="486"/>
              <w:rPr>
                <w:rFonts w:eastAsia="Arial" w:cs="Arial"/>
                <w:sz w:val="14"/>
                <w:szCs w:val="14"/>
              </w:rPr>
            </w:pPr>
            <w:r w:rsidRPr="009D658B">
              <w:rPr>
                <w:sz w:val="14"/>
              </w:rPr>
              <w:t>19 365</w:t>
            </w:r>
          </w:p>
        </w:tc>
        <w:tc>
          <w:tcPr>
            <w:tcW w:w="976" w:type="dxa"/>
            <w:tcBorders>
              <w:top w:val="nil"/>
              <w:left w:val="nil"/>
              <w:bottom w:val="nil"/>
              <w:right w:val="nil"/>
            </w:tcBorders>
          </w:tcPr>
          <w:p w:rsidR="00EC6509" w:rsidRPr="009D658B" w:rsidRDefault="00EC6509" w:rsidP="0082296B">
            <w:pPr>
              <w:pStyle w:val="TableParagraph"/>
              <w:spacing w:before="11"/>
              <w:ind w:left="418"/>
              <w:rPr>
                <w:rFonts w:eastAsia="Arial" w:cs="Arial"/>
                <w:sz w:val="14"/>
                <w:szCs w:val="14"/>
              </w:rPr>
            </w:pPr>
            <w:r w:rsidRPr="009D658B">
              <w:rPr>
                <w:sz w:val="14"/>
              </w:rPr>
              <w:t>19 532</w:t>
            </w:r>
          </w:p>
        </w:tc>
        <w:tc>
          <w:tcPr>
            <w:tcW w:w="953" w:type="dxa"/>
            <w:tcBorders>
              <w:top w:val="nil"/>
              <w:left w:val="nil"/>
              <w:bottom w:val="nil"/>
              <w:right w:val="nil"/>
            </w:tcBorders>
          </w:tcPr>
          <w:p w:rsidR="00EC6509" w:rsidRPr="009D658B" w:rsidRDefault="00EC6509" w:rsidP="0082296B">
            <w:pPr>
              <w:pStyle w:val="TableParagraph"/>
              <w:spacing w:before="11"/>
              <w:ind w:left="417"/>
              <w:rPr>
                <w:rFonts w:eastAsia="Arial" w:cs="Arial"/>
                <w:sz w:val="14"/>
                <w:szCs w:val="14"/>
              </w:rPr>
            </w:pPr>
            <w:r w:rsidRPr="009D658B">
              <w:rPr>
                <w:sz w:val="14"/>
              </w:rPr>
              <w:t>19 619</w:t>
            </w:r>
          </w:p>
        </w:tc>
        <w:tc>
          <w:tcPr>
            <w:tcW w:w="1104" w:type="dxa"/>
            <w:tcBorders>
              <w:top w:val="nil"/>
              <w:left w:val="nil"/>
              <w:bottom w:val="nil"/>
              <w:right w:val="nil"/>
            </w:tcBorders>
            <w:shd w:val="clear" w:color="auto" w:fill="D9D9D9"/>
          </w:tcPr>
          <w:p w:rsidR="00EC6509" w:rsidRPr="009D658B" w:rsidRDefault="00EC6509" w:rsidP="0082296B">
            <w:pPr>
              <w:pStyle w:val="TableParagraph"/>
              <w:spacing w:before="11"/>
              <w:ind w:left="568"/>
              <w:rPr>
                <w:rFonts w:eastAsia="Arial" w:cs="Arial"/>
                <w:sz w:val="14"/>
                <w:szCs w:val="14"/>
              </w:rPr>
            </w:pPr>
            <w:r w:rsidRPr="009D658B">
              <w:rPr>
                <w:sz w:val="14"/>
              </w:rPr>
              <w:t>19 724</w:t>
            </w:r>
          </w:p>
        </w:tc>
      </w:tr>
      <w:tr w:rsidR="00EC6509" w:rsidRPr="009D658B" w:rsidTr="007E3194">
        <w:trPr>
          <w:trHeight w:hRule="exact" w:val="198"/>
        </w:trPr>
        <w:tc>
          <w:tcPr>
            <w:tcW w:w="4395" w:type="dxa"/>
            <w:tcBorders>
              <w:top w:val="nil"/>
              <w:left w:val="nil"/>
              <w:bottom w:val="nil"/>
              <w:right w:val="single" w:sz="8" w:space="0" w:color="808080"/>
            </w:tcBorders>
          </w:tcPr>
          <w:p w:rsidR="00EC6509" w:rsidRPr="009D658B" w:rsidRDefault="00EC6509" w:rsidP="0082296B">
            <w:pPr>
              <w:pStyle w:val="TableParagraph"/>
              <w:spacing w:before="10"/>
              <w:ind w:left="107"/>
              <w:rPr>
                <w:rFonts w:eastAsia="Arial" w:cs="Arial"/>
                <w:sz w:val="14"/>
                <w:szCs w:val="14"/>
                <w:lang w:val="fr-FR"/>
              </w:rPr>
            </w:pPr>
            <w:r w:rsidRPr="009D658B">
              <w:rPr>
                <w:sz w:val="14"/>
                <w:lang w:val="fr-FR"/>
              </w:rPr>
              <w:t>Dettes de contrats d’investissement, assurance</w:t>
            </w:r>
          </w:p>
        </w:tc>
        <w:tc>
          <w:tcPr>
            <w:tcW w:w="1877" w:type="dxa"/>
            <w:tcBorders>
              <w:top w:val="nil"/>
              <w:left w:val="single" w:sz="8" w:space="0" w:color="808080"/>
              <w:bottom w:val="nil"/>
              <w:right w:val="nil"/>
            </w:tcBorders>
          </w:tcPr>
          <w:p w:rsidR="00EC6509" w:rsidRPr="009D658B" w:rsidRDefault="00EC6509" w:rsidP="0082296B">
            <w:pPr>
              <w:pStyle w:val="TableParagraph"/>
              <w:spacing w:before="10"/>
              <w:ind w:left="1243"/>
              <w:rPr>
                <w:rFonts w:eastAsia="Arial" w:cs="Arial"/>
                <w:sz w:val="14"/>
                <w:szCs w:val="14"/>
              </w:rPr>
            </w:pPr>
            <w:r w:rsidRPr="009D658B">
              <w:rPr>
                <w:sz w:val="14"/>
              </w:rPr>
              <w:t>12 937</w:t>
            </w:r>
          </w:p>
        </w:tc>
        <w:tc>
          <w:tcPr>
            <w:tcW w:w="1043" w:type="dxa"/>
            <w:tcBorders>
              <w:top w:val="nil"/>
              <w:left w:val="nil"/>
              <w:bottom w:val="nil"/>
              <w:right w:val="nil"/>
            </w:tcBorders>
          </w:tcPr>
          <w:p w:rsidR="00EC6509" w:rsidRPr="009D658B" w:rsidRDefault="00EC6509" w:rsidP="0082296B">
            <w:pPr>
              <w:pStyle w:val="TableParagraph"/>
              <w:spacing w:before="10"/>
              <w:ind w:left="486"/>
              <w:rPr>
                <w:rFonts w:eastAsia="Arial" w:cs="Arial"/>
                <w:sz w:val="14"/>
                <w:szCs w:val="14"/>
              </w:rPr>
            </w:pPr>
            <w:r w:rsidRPr="009D658B">
              <w:rPr>
                <w:sz w:val="14"/>
              </w:rPr>
              <w:t>12 422</w:t>
            </w:r>
          </w:p>
        </w:tc>
        <w:tc>
          <w:tcPr>
            <w:tcW w:w="976" w:type="dxa"/>
            <w:tcBorders>
              <w:top w:val="nil"/>
              <w:left w:val="nil"/>
              <w:bottom w:val="nil"/>
              <w:right w:val="nil"/>
            </w:tcBorders>
          </w:tcPr>
          <w:p w:rsidR="00EC6509" w:rsidRPr="009D658B" w:rsidRDefault="00EC6509" w:rsidP="0082296B">
            <w:pPr>
              <w:pStyle w:val="TableParagraph"/>
              <w:spacing w:before="10"/>
              <w:ind w:left="418"/>
              <w:rPr>
                <w:rFonts w:eastAsia="Arial" w:cs="Arial"/>
                <w:sz w:val="14"/>
                <w:szCs w:val="14"/>
              </w:rPr>
            </w:pPr>
            <w:r w:rsidRPr="009D658B">
              <w:rPr>
                <w:sz w:val="14"/>
              </w:rPr>
              <w:t>12 387</w:t>
            </w:r>
          </w:p>
        </w:tc>
        <w:tc>
          <w:tcPr>
            <w:tcW w:w="953" w:type="dxa"/>
            <w:tcBorders>
              <w:top w:val="nil"/>
              <w:left w:val="nil"/>
              <w:bottom w:val="nil"/>
              <w:right w:val="nil"/>
            </w:tcBorders>
          </w:tcPr>
          <w:p w:rsidR="00EC6509" w:rsidRPr="009D658B" w:rsidRDefault="00EC6509" w:rsidP="0082296B">
            <w:pPr>
              <w:pStyle w:val="TableParagraph"/>
              <w:spacing w:before="10"/>
              <w:ind w:left="417"/>
              <w:rPr>
                <w:rFonts w:eastAsia="Arial" w:cs="Arial"/>
                <w:sz w:val="14"/>
                <w:szCs w:val="14"/>
              </w:rPr>
            </w:pPr>
            <w:r w:rsidRPr="009D658B">
              <w:rPr>
                <w:sz w:val="14"/>
              </w:rPr>
              <w:t>12 508</w:t>
            </w:r>
          </w:p>
        </w:tc>
        <w:tc>
          <w:tcPr>
            <w:tcW w:w="1104" w:type="dxa"/>
            <w:tcBorders>
              <w:top w:val="nil"/>
              <w:left w:val="nil"/>
              <w:bottom w:val="nil"/>
              <w:right w:val="nil"/>
            </w:tcBorders>
            <w:shd w:val="clear" w:color="auto" w:fill="D9D9D9"/>
          </w:tcPr>
          <w:p w:rsidR="00EC6509" w:rsidRPr="009D658B" w:rsidRDefault="00EC6509" w:rsidP="0082296B">
            <w:pPr>
              <w:pStyle w:val="TableParagraph"/>
              <w:spacing w:before="10"/>
              <w:ind w:left="568"/>
              <w:rPr>
                <w:rFonts w:eastAsia="Arial" w:cs="Arial"/>
                <w:sz w:val="14"/>
                <w:szCs w:val="14"/>
              </w:rPr>
            </w:pPr>
            <w:r w:rsidRPr="009D658B">
              <w:rPr>
                <w:sz w:val="14"/>
              </w:rPr>
              <w:t>12 427</w:t>
            </w:r>
          </w:p>
        </w:tc>
      </w:tr>
      <w:tr w:rsidR="00EC6509" w:rsidRPr="009D658B" w:rsidTr="007E3194">
        <w:trPr>
          <w:trHeight w:hRule="exact" w:val="198"/>
        </w:trPr>
        <w:tc>
          <w:tcPr>
            <w:tcW w:w="4395" w:type="dxa"/>
            <w:tcBorders>
              <w:top w:val="nil"/>
              <w:left w:val="nil"/>
              <w:bottom w:val="nil"/>
              <w:right w:val="single" w:sz="8" w:space="0" w:color="808080"/>
            </w:tcBorders>
          </w:tcPr>
          <w:p w:rsidR="00EC6509" w:rsidRPr="009D658B" w:rsidRDefault="00EC6509" w:rsidP="0082296B">
            <w:pPr>
              <w:pStyle w:val="TableParagraph"/>
              <w:spacing w:before="11"/>
              <w:ind w:left="107"/>
              <w:rPr>
                <w:rFonts w:eastAsia="Arial" w:cs="Arial"/>
                <w:sz w:val="14"/>
                <w:szCs w:val="14"/>
                <w:lang w:val="fr-FR"/>
              </w:rPr>
            </w:pPr>
            <w:r w:rsidRPr="009D658B">
              <w:rPr>
                <w:rFonts w:eastAsia="Arial" w:cs="Arial"/>
                <w:sz w:val="14"/>
                <w:szCs w:val="14"/>
                <w:lang w:val="fr-FR"/>
              </w:rPr>
              <w:t>Capitaux propres des actionnaires de la société mère</w:t>
            </w:r>
          </w:p>
        </w:tc>
        <w:tc>
          <w:tcPr>
            <w:tcW w:w="1877" w:type="dxa"/>
            <w:tcBorders>
              <w:top w:val="nil"/>
              <w:left w:val="single" w:sz="8" w:space="0" w:color="808080"/>
              <w:bottom w:val="nil"/>
              <w:right w:val="nil"/>
            </w:tcBorders>
          </w:tcPr>
          <w:p w:rsidR="00EC6509" w:rsidRPr="009D658B" w:rsidRDefault="00EC6509" w:rsidP="0082296B">
            <w:pPr>
              <w:pStyle w:val="TableParagraph"/>
              <w:spacing w:before="11"/>
              <w:ind w:left="1243"/>
              <w:rPr>
                <w:rFonts w:eastAsia="Arial" w:cs="Arial"/>
                <w:sz w:val="14"/>
                <w:szCs w:val="14"/>
              </w:rPr>
            </w:pPr>
            <w:r w:rsidRPr="009D658B">
              <w:rPr>
                <w:sz w:val="14"/>
              </w:rPr>
              <w:t>13 576</w:t>
            </w:r>
          </w:p>
        </w:tc>
        <w:tc>
          <w:tcPr>
            <w:tcW w:w="1043" w:type="dxa"/>
            <w:tcBorders>
              <w:top w:val="nil"/>
              <w:left w:val="nil"/>
              <w:bottom w:val="nil"/>
              <w:right w:val="nil"/>
            </w:tcBorders>
          </w:tcPr>
          <w:p w:rsidR="00EC6509" w:rsidRPr="009D658B" w:rsidRDefault="00EC6509" w:rsidP="0082296B">
            <w:pPr>
              <w:pStyle w:val="TableParagraph"/>
              <w:spacing w:before="11"/>
              <w:ind w:left="486"/>
              <w:rPr>
                <w:rFonts w:eastAsia="Arial" w:cs="Arial"/>
                <w:sz w:val="14"/>
                <w:szCs w:val="14"/>
              </w:rPr>
            </w:pPr>
            <w:r w:rsidRPr="009D658B">
              <w:rPr>
                <w:sz w:val="14"/>
              </w:rPr>
              <w:t>14 022</w:t>
            </w:r>
          </w:p>
        </w:tc>
        <w:tc>
          <w:tcPr>
            <w:tcW w:w="976" w:type="dxa"/>
            <w:tcBorders>
              <w:top w:val="nil"/>
              <w:left w:val="nil"/>
              <w:bottom w:val="nil"/>
              <w:right w:val="nil"/>
            </w:tcBorders>
          </w:tcPr>
          <w:p w:rsidR="00EC6509" w:rsidRPr="009D658B" w:rsidRDefault="00EC6509" w:rsidP="0082296B">
            <w:pPr>
              <w:pStyle w:val="TableParagraph"/>
              <w:spacing w:before="11"/>
              <w:ind w:left="418"/>
              <w:rPr>
                <w:rFonts w:eastAsia="Arial" w:cs="Arial"/>
                <w:sz w:val="14"/>
                <w:szCs w:val="14"/>
              </w:rPr>
            </w:pPr>
            <w:r w:rsidRPr="009D658B">
              <w:rPr>
                <w:sz w:val="14"/>
              </w:rPr>
              <w:t>14 411</w:t>
            </w:r>
          </w:p>
        </w:tc>
        <w:tc>
          <w:tcPr>
            <w:tcW w:w="953" w:type="dxa"/>
            <w:tcBorders>
              <w:top w:val="nil"/>
              <w:left w:val="nil"/>
              <w:bottom w:val="nil"/>
              <w:right w:val="nil"/>
            </w:tcBorders>
          </w:tcPr>
          <w:p w:rsidR="00EC6509" w:rsidRPr="009D658B" w:rsidRDefault="00EC6509" w:rsidP="0082296B">
            <w:pPr>
              <w:pStyle w:val="TableParagraph"/>
              <w:spacing w:before="11"/>
              <w:ind w:left="417"/>
              <w:rPr>
                <w:rFonts w:eastAsia="Arial" w:cs="Arial"/>
                <w:sz w:val="14"/>
                <w:szCs w:val="14"/>
              </w:rPr>
            </w:pPr>
            <w:r w:rsidRPr="009D658B">
              <w:rPr>
                <w:sz w:val="14"/>
              </w:rPr>
              <w:t>14 335</w:t>
            </w:r>
          </w:p>
        </w:tc>
        <w:tc>
          <w:tcPr>
            <w:tcW w:w="1104" w:type="dxa"/>
            <w:tcBorders>
              <w:top w:val="nil"/>
              <w:left w:val="nil"/>
              <w:bottom w:val="nil"/>
              <w:right w:val="nil"/>
            </w:tcBorders>
            <w:shd w:val="clear" w:color="auto" w:fill="D9D9D9"/>
          </w:tcPr>
          <w:p w:rsidR="00EC6509" w:rsidRPr="009D658B" w:rsidRDefault="00EC6509" w:rsidP="0082296B">
            <w:pPr>
              <w:pStyle w:val="TableParagraph"/>
              <w:spacing w:before="11"/>
              <w:ind w:left="568"/>
              <w:rPr>
                <w:rFonts w:eastAsia="Arial" w:cs="Arial"/>
                <w:sz w:val="14"/>
                <w:szCs w:val="14"/>
              </w:rPr>
            </w:pPr>
            <w:r w:rsidRPr="009D658B">
              <w:rPr>
                <w:sz w:val="14"/>
              </w:rPr>
              <w:t>14 834</w:t>
            </w:r>
          </w:p>
        </w:tc>
      </w:tr>
      <w:tr w:rsidR="00EC6509" w:rsidRPr="009D658B" w:rsidTr="007E3194">
        <w:trPr>
          <w:trHeight w:hRule="exact" w:val="202"/>
        </w:trPr>
        <w:tc>
          <w:tcPr>
            <w:tcW w:w="4395" w:type="dxa"/>
            <w:tcBorders>
              <w:top w:val="nil"/>
              <w:left w:val="nil"/>
              <w:bottom w:val="single" w:sz="8" w:space="0" w:color="808080"/>
              <w:right w:val="single" w:sz="8" w:space="0" w:color="808080"/>
            </w:tcBorders>
          </w:tcPr>
          <w:p w:rsidR="00EC6509" w:rsidRPr="009D658B" w:rsidRDefault="00EC6509" w:rsidP="0082296B">
            <w:pPr>
              <w:pStyle w:val="TableParagraph"/>
              <w:spacing w:before="10"/>
              <w:ind w:left="107"/>
              <w:rPr>
                <w:rFonts w:eastAsia="Arial" w:cs="Arial"/>
                <w:sz w:val="14"/>
                <w:szCs w:val="14"/>
                <w:lang w:val="fr-FR"/>
              </w:rPr>
            </w:pPr>
            <w:r w:rsidRPr="009D658B">
              <w:rPr>
                <w:sz w:val="14"/>
                <w:lang w:val="fr-FR"/>
              </w:rPr>
              <w:t>Titres de capital de base sans droit de vote</w:t>
            </w:r>
          </w:p>
        </w:tc>
        <w:tc>
          <w:tcPr>
            <w:tcW w:w="1877" w:type="dxa"/>
            <w:tcBorders>
              <w:top w:val="nil"/>
              <w:left w:val="single" w:sz="8" w:space="0" w:color="808080"/>
              <w:bottom w:val="single" w:sz="8" w:space="0" w:color="808080"/>
              <w:right w:val="nil"/>
            </w:tcBorders>
          </w:tcPr>
          <w:p w:rsidR="00EC6509" w:rsidRPr="009D658B" w:rsidRDefault="00EC6509" w:rsidP="0082296B">
            <w:pPr>
              <w:pStyle w:val="TableParagraph"/>
              <w:spacing w:before="10"/>
              <w:ind w:right="196"/>
              <w:jc w:val="right"/>
              <w:rPr>
                <w:rFonts w:eastAsia="Arial" w:cs="Arial"/>
                <w:sz w:val="14"/>
                <w:szCs w:val="14"/>
              </w:rPr>
            </w:pPr>
            <w:r w:rsidRPr="009D658B">
              <w:rPr>
                <w:sz w:val="14"/>
              </w:rPr>
              <w:t>2 000</w:t>
            </w:r>
          </w:p>
        </w:tc>
        <w:tc>
          <w:tcPr>
            <w:tcW w:w="1043" w:type="dxa"/>
            <w:tcBorders>
              <w:top w:val="nil"/>
              <w:left w:val="nil"/>
              <w:bottom w:val="single" w:sz="8" w:space="0" w:color="808080"/>
              <w:right w:val="nil"/>
            </w:tcBorders>
          </w:tcPr>
          <w:p w:rsidR="00EC6509" w:rsidRPr="009D658B" w:rsidRDefault="00EC6509" w:rsidP="0082296B">
            <w:pPr>
              <w:pStyle w:val="TableParagraph"/>
              <w:spacing w:before="10"/>
              <w:ind w:left="563"/>
              <w:rPr>
                <w:rFonts w:eastAsia="Arial" w:cs="Arial"/>
                <w:sz w:val="14"/>
                <w:szCs w:val="14"/>
              </w:rPr>
            </w:pPr>
            <w:r w:rsidRPr="009D658B">
              <w:rPr>
                <w:sz w:val="14"/>
              </w:rPr>
              <w:t>2 000</w:t>
            </w:r>
          </w:p>
        </w:tc>
        <w:tc>
          <w:tcPr>
            <w:tcW w:w="976" w:type="dxa"/>
            <w:tcBorders>
              <w:top w:val="nil"/>
              <w:left w:val="nil"/>
              <w:bottom w:val="single" w:sz="8" w:space="0" w:color="808080"/>
              <w:right w:val="nil"/>
            </w:tcBorders>
          </w:tcPr>
          <w:p w:rsidR="00EC6509" w:rsidRPr="009D658B" w:rsidRDefault="00EC6509" w:rsidP="0082296B">
            <w:pPr>
              <w:pStyle w:val="TableParagraph"/>
              <w:spacing w:before="10"/>
              <w:ind w:right="127"/>
              <w:jc w:val="right"/>
              <w:rPr>
                <w:rFonts w:eastAsia="Arial" w:cs="Arial"/>
                <w:sz w:val="14"/>
                <w:szCs w:val="14"/>
              </w:rPr>
            </w:pPr>
            <w:r w:rsidRPr="009D658B">
              <w:rPr>
                <w:sz w:val="14"/>
              </w:rPr>
              <w:t>0</w:t>
            </w:r>
          </w:p>
        </w:tc>
        <w:tc>
          <w:tcPr>
            <w:tcW w:w="953" w:type="dxa"/>
            <w:tcBorders>
              <w:top w:val="nil"/>
              <w:left w:val="nil"/>
              <w:bottom w:val="single" w:sz="8" w:space="0" w:color="808080"/>
              <w:right w:val="nil"/>
            </w:tcBorders>
          </w:tcPr>
          <w:p w:rsidR="00EC6509" w:rsidRPr="009D658B" w:rsidRDefault="00EC6509" w:rsidP="0082296B">
            <w:pPr>
              <w:pStyle w:val="TableParagraph"/>
              <w:spacing w:before="10"/>
              <w:ind w:right="105"/>
              <w:jc w:val="right"/>
              <w:rPr>
                <w:rFonts w:eastAsia="Arial" w:cs="Arial"/>
                <w:sz w:val="14"/>
                <w:szCs w:val="14"/>
              </w:rPr>
            </w:pPr>
            <w:r w:rsidRPr="009D658B">
              <w:rPr>
                <w:sz w:val="14"/>
              </w:rPr>
              <w:t>0</w:t>
            </w:r>
          </w:p>
        </w:tc>
        <w:tc>
          <w:tcPr>
            <w:tcW w:w="1104" w:type="dxa"/>
            <w:tcBorders>
              <w:top w:val="nil"/>
              <w:left w:val="nil"/>
              <w:bottom w:val="single" w:sz="8" w:space="0" w:color="808080"/>
              <w:right w:val="nil"/>
            </w:tcBorders>
            <w:shd w:val="clear" w:color="auto" w:fill="D9D9D9"/>
          </w:tcPr>
          <w:p w:rsidR="00EC6509" w:rsidRPr="009D658B" w:rsidRDefault="00EC6509" w:rsidP="0082296B">
            <w:pPr>
              <w:pStyle w:val="TableParagraph"/>
              <w:spacing w:before="10"/>
              <w:ind w:right="105"/>
              <w:jc w:val="right"/>
              <w:rPr>
                <w:rFonts w:eastAsia="Arial" w:cs="Arial"/>
                <w:sz w:val="14"/>
                <w:szCs w:val="14"/>
              </w:rPr>
            </w:pPr>
            <w:r w:rsidRPr="009D658B">
              <w:rPr>
                <w:sz w:val="14"/>
              </w:rPr>
              <w:t>0</w:t>
            </w:r>
          </w:p>
        </w:tc>
      </w:tr>
    </w:tbl>
    <w:p w:rsidR="00EC6509" w:rsidRDefault="00EC6509" w:rsidP="007E3194">
      <w:pPr>
        <w:autoSpaceDE w:val="0"/>
        <w:autoSpaceDN w:val="0"/>
        <w:adjustRightInd w:val="0"/>
        <w:spacing w:after="0" w:line="240" w:lineRule="auto"/>
        <w:ind w:left="1713" w:right="4"/>
        <w:rPr>
          <w:rFonts w:ascii="Rockwell" w:hAnsi="Rockwell" w:cs="Arial"/>
          <w:b/>
          <w:bCs/>
          <w:color w:val="003768"/>
          <w:sz w:val="28"/>
          <w:szCs w:val="28"/>
          <w:lang w:eastAsia="nl-BE"/>
        </w:rPr>
      </w:pPr>
    </w:p>
    <w:p w:rsidR="00EC6509" w:rsidRDefault="00EC6509" w:rsidP="001458D9">
      <w:pPr>
        <w:autoSpaceDE w:val="0"/>
        <w:autoSpaceDN w:val="0"/>
        <w:adjustRightInd w:val="0"/>
        <w:spacing w:after="0" w:line="240" w:lineRule="auto"/>
        <w:ind w:left="993" w:right="4"/>
        <w:rPr>
          <w:rFonts w:ascii="Rockwell" w:hAnsi="Rockwell" w:cs="Arial"/>
          <w:b/>
          <w:bCs/>
          <w:color w:val="003768"/>
          <w:sz w:val="28"/>
          <w:szCs w:val="28"/>
          <w:lang w:eastAsia="nl-BE"/>
        </w:rPr>
      </w:pPr>
    </w:p>
    <w:p w:rsidR="007E3194" w:rsidRDefault="007E3194" w:rsidP="001458D9">
      <w:pPr>
        <w:autoSpaceDE w:val="0"/>
        <w:autoSpaceDN w:val="0"/>
        <w:adjustRightInd w:val="0"/>
        <w:spacing w:after="0" w:line="240" w:lineRule="auto"/>
        <w:ind w:left="993" w:right="4"/>
        <w:rPr>
          <w:rFonts w:ascii="Rockwell" w:hAnsi="Rockwell" w:cs="Arial"/>
          <w:b/>
          <w:bCs/>
          <w:color w:val="003768"/>
          <w:sz w:val="28"/>
          <w:szCs w:val="28"/>
          <w:lang w:eastAsia="nl-BE"/>
        </w:rPr>
      </w:pPr>
    </w:p>
    <w:p w:rsidR="007E3194" w:rsidRDefault="007E3194" w:rsidP="001458D9">
      <w:pPr>
        <w:autoSpaceDE w:val="0"/>
        <w:autoSpaceDN w:val="0"/>
        <w:adjustRightInd w:val="0"/>
        <w:spacing w:after="0" w:line="240" w:lineRule="auto"/>
        <w:ind w:left="993" w:right="4"/>
        <w:rPr>
          <w:rFonts w:ascii="Rockwell" w:hAnsi="Rockwell" w:cs="Arial"/>
          <w:b/>
          <w:bCs/>
          <w:color w:val="003768"/>
          <w:sz w:val="28"/>
          <w:szCs w:val="28"/>
          <w:lang w:eastAsia="nl-BE"/>
        </w:rPr>
      </w:pPr>
    </w:p>
    <w:p w:rsidR="007E3194" w:rsidRDefault="007E3194" w:rsidP="001458D9">
      <w:pPr>
        <w:autoSpaceDE w:val="0"/>
        <w:autoSpaceDN w:val="0"/>
        <w:adjustRightInd w:val="0"/>
        <w:spacing w:after="0" w:line="240" w:lineRule="auto"/>
        <w:ind w:left="993" w:right="4"/>
        <w:rPr>
          <w:rFonts w:ascii="Rockwell" w:hAnsi="Rockwell" w:cs="Arial"/>
          <w:b/>
          <w:bCs/>
          <w:color w:val="003768"/>
          <w:sz w:val="28"/>
          <w:szCs w:val="28"/>
          <w:lang w:eastAsia="nl-BE"/>
        </w:rPr>
      </w:pPr>
    </w:p>
    <w:p w:rsidR="001458D9" w:rsidRPr="001458D9" w:rsidRDefault="001458D9" w:rsidP="001458D9">
      <w:pPr>
        <w:autoSpaceDE w:val="0"/>
        <w:autoSpaceDN w:val="0"/>
        <w:adjustRightInd w:val="0"/>
        <w:spacing w:after="0" w:line="240" w:lineRule="auto"/>
        <w:ind w:left="993" w:right="4"/>
        <w:rPr>
          <w:rFonts w:ascii="Rockwell" w:hAnsi="Rockwell" w:cs="Arial"/>
          <w:b/>
          <w:bCs/>
          <w:color w:val="003768"/>
          <w:sz w:val="28"/>
          <w:szCs w:val="28"/>
          <w:lang w:eastAsia="nl-BE"/>
        </w:rPr>
      </w:pPr>
      <w:proofErr w:type="spellStart"/>
      <w:r w:rsidRPr="001458D9">
        <w:rPr>
          <w:rFonts w:ascii="Rockwell" w:hAnsi="Rockwell" w:cs="Arial"/>
          <w:b/>
          <w:bCs/>
          <w:color w:val="003768"/>
          <w:sz w:val="28"/>
          <w:szCs w:val="28"/>
          <w:lang w:eastAsia="nl-BE"/>
        </w:rPr>
        <w:t>Analyse</w:t>
      </w:r>
      <w:proofErr w:type="spellEnd"/>
      <w:r w:rsidRPr="001458D9">
        <w:rPr>
          <w:rFonts w:ascii="Rockwell" w:hAnsi="Rockwell" w:cs="Arial"/>
          <w:b/>
          <w:bCs/>
          <w:color w:val="003768"/>
          <w:sz w:val="28"/>
          <w:szCs w:val="28"/>
          <w:lang w:eastAsia="nl-BE"/>
        </w:rPr>
        <w:t xml:space="preserve"> du </w:t>
      </w:r>
      <w:proofErr w:type="spellStart"/>
      <w:r w:rsidRPr="001458D9">
        <w:rPr>
          <w:rFonts w:ascii="Rockwell" w:hAnsi="Rockwell" w:cs="Arial"/>
          <w:b/>
          <w:bCs/>
          <w:color w:val="003768"/>
          <w:sz w:val="28"/>
          <w:szCs w:val="28"/>
          <w:lang w:eastAsia="nl-BE"/>
        </w:rPr>
        <w:t>trimestre</w:t>
      </w:r>
      <w:proofErr w:type="spellEnd"/>
      <w:r w:rsidRPr="001458D9">
        <w:rPr>
          <w:rFonts w:ascii="Rockwell" w:hAnsi="Rockwell" w:cs="Arial"/>
          <w:b/>
          <w:bCs/>
          <w:color w:val="003768"/>
          <w:sz w:val="28"/>
          <w:szCs w:val="28"/>
          <w:lang w:eastAsia="nl-BE"/>
        </w:rPr>
        <w:t xml:space="preserve"> (2TR2016)</w:t>
      </w:r>
    </w:p>
    <w:p w:rsidR="001458D9" w:rsidRDefault="001458D9"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1458D9" w:rsidRDefault="001458D9" w:rsidP="001458D9">
      <w:pPr>
        <w:tabs>
          <w:tab w:val="left" w:pos="5765"/>
        </w:tabs>
        <w:ind w:left="1316" w:right="7"/>
        <w:rPr>
          <w:rFonts w:eastAsia="Arial" w:cs="Arial"/>
          <w:sz w:val="16"/>
          <w:szCs w:val="16"/>
          <w:lang w:val="fr-FR"/>
        </w:rPr>
      </w:pPr>
      <w:r>
        <w:rPr>
          <w:sz w:val="16"/>
          <w:lang w:val="fr-FR"/>
        </w:rPr>
        <w:t>Résultat net (en millions EUR)</w:t>
      </w:r>
      <w:r>
        <w:rPr>
          <w:sz w:val="16"/>
          <w:lang w:val="fr-FR"/>
        </w:rPr>
        <w:tab/>
      </w:r>
      <w:r w:rsidRPr="009D658B">
        <w:rPr>
          <w:sz w:val="16"/>
          <w:lang w:val="fr-FR"/>
        </w:rPr>
        <w:t>Ventilation du résultat net pour le 2TR2016 (en millions EUR)</w:t>
      </w:r>
    </w:p>
    <w:p w:rsidR="001458D9" w:rsidRDefault="001458D9" w:rsidP="007E3194">
      <w:pPr>
        <w:ind w:left="993"/>
        <w:rPr>
          <w:rFonts w:eastAsia="Arial" w:cs="Arial"/>
          <w:sz w:val="16"/>
          <w:szCs w:val="16"/>
          <w:lang w:val="fr-FR"/>
        </w:rPr>
      </w:pPr>
      <w:r>
        <w:rPr>
          <w:noProof/>
        </w:rPr>
        <w:drawing>
          <wp:inline distT="0" distB="0" distL="0" distR="0" wp14:anchorId="110AB860" wp14:editId="6DE042FC">
            <wp:extent cx="299302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1056" cy="2223116"/>
                    </a:xfrm>
                    <a:prstGeom prst="rect">
                      <a:avLst/>
                    </a:prstGeom>
                  </pic:spPr>
                </pic:pic>
              </a:graphicData>
            </a:graphic>
          </wp:inline>
        </w:drawing>
      </w:r>
      <w:r>
        <w:rPr>
          <w:noProof/>
        </w:rPr>
        <w:drawing>
          <wp:inline distT="0" distB="0" distL="0" distR="0" wp14:anchorId="2B063F7B" wp14:editId="29BE10A0">
            <wp:extent cx="3044966" cy="218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1647" cy="2264808"/>
                    </a:xfrm>
                    <a:prstGeom prst="rect">
                      <a:avLst/>
                    </a:prstGeom>
                  </pic:spPr>
                </pic:pic>
              </a:graphicData>
            </a:graphic>
          </wp:inline>
        </w:drawing>
      </w:r>
    </w:p>
    <w:p w:rsidR="00EC6509" w:rsidRPr="00EC6509" w:rsidRDefault="00EC6509" w:rsidP="00EC6509">
      <w:pPr>
        <w:spacing w:after="0" w:line="240" w:lineRule="auto"/>
        <w:ind w:left="993"/>
        <w:rPr>
          <w:rFonts w:eastAsia="Arial" w:cs="Arial"/>
          <w:color w:val="002060"/>
          <w:lang w:val="fr-FR"/>
        </w:rPr>
      </w:pPr>
    </w:p>
    <w:p w:rsidR="00EC6509" w:rsidRDefault="00EC6509" w:rsidP="00EC6509">
      <w:pPr>
        <w:pStyle w:val="BodyText"/>
        <w:ind w:left="993" w:right="7" w:firstLine="0"/>
        <w:rPr>
          <w:rFonts w:asciiTheme="minorHAnsi" w:hAnsiTheme="minorHAnsi"/>
          <w:color w:val="002060"/>
          <w:sz w:val="22"/>
          <w:szCs w:val="22"/>
          <w:lang w:val="fr-FR"/>
        </w:rPr>
      </w:pPr>
      <w:r w:rsidRPr="00EC6509">
        <w:rPr>
          <w:rFonts w:asciiTheme="minorHAnsi" w:hAnsiTheme="minorHAnsi"/>
          <w:color w:val="002060"/>
          <w:sz w:val="22"/>
          <w:szCs w:val="22"/>
          <w:lang w:val="fr-FR"/>
        </w:rPr>
        <w:t>Le résultat net pour le trimestre considéré s’est établi à 721 millions d’euros, contre 392 millions d’euros au trimestre précédent et 666 millions d’euros en glissement annuel.</w:t>
      </w:r>
    </w:p>
    <w:p w:rsidR="00EC6509" w:rsidRPr="00EC6509" w:rsidRDefault="00EC6509" w:rsidP="00EC6509">
      <w:pPr>
        <w:pStyle w:val="BodyText"/>
        <w:ind w:left="993" w:right="7" w:firstLine="0"/>
        <w:rPr>
          <w:rFonts w:asciiTheme="minorHAnsi" w:hAnsiTheme="minorHAnsi"/>
          <w:color w:val="002060"/>
          <w:sz w:val="22"/>
          <w:szCs w:val="22"/>
          <w:lang w:val="fr-FR"/>
        </w:rPr>
      </w:pPr>
    </w:p>
    <w:p w:rsidR="00EC6509" w:rsidRPr="0082296B" w:rsidRDefault="00EC6509" w:rsidP="00EC6509">
      <w:pPr>
        <w:pStyle w:val="Heading3"/>
        <w:ind w:left="993" w:right="7"/>
        <w:rPr>
          <w:rFonts w:asciiTheme="minorHAnsi" w:eastAsia="Rockwell" w:hAnsiTheme="minorHAnsi" w:cs="Rockwell"/>
          <w:lang w:val="fr-FR"/>
        </w:rPr>
      </w:pPr>
      <w:bookmarkStart w:id="0" w:name="_GoBack"/>
      <w:r w:rsidRPr="0082296B">
        <w:rPr>
          <w:rFonts w:asciiTheme="minorHAnsi" w:hAnsiTheme="minorHAnsi"/>
          <w:color w:val="00AFEF"/>
          <w:lang w:val="fr-FR"/>
        </w:rPr>
        <w:t>Le total des revenus a augmenté de 11% en glissement trimestriel grâce au gain unique découlant de la vente des  actions Visa Europe. Abstraction faite de ce gain, le total des revenus a augmenté de 5%.</w:t>
      </w:r>
    </w:p>
    <w:bookmarkEnd w:id="0"/>
    <w:p w:rsidR="00EC6509" w:rsidRPr="00EC6509" w:rsidRDefault="00EC6509" w:rsidP="00EC6509">
      <w:pPr>
        <w:spacing w:after="0" w:line="240" w:lineRule="auto"/>
        <w:ind w:left="1276" w:hanging="283"/>
        <w:rPr>
          <w:rFonts w:eastAsia="Arial" w:cs="Arial"/>
          <w:color w:val="002060"/>
          <w:lang w:val="fr-FR"/>
        </w:rPr>
      </w:pPr>
    </w:p>
    <w:p w:rsidR="00EC6509" w:rsidRPr="00EC6509" w:rsidRDefault="00EC6509" w:rsidP="00EC6509">
      <w:pPr>
        <w:pStyle w:val="ListParagraph"/>
        <w:numPr>
          <w:ilvl w:val="0"/>
          <w:numId w:val="1"/>
        </w:numPr>
        <w:tabs>
          <w:tab w:val="left" w:pos="542"/>
        </w:tabs>
        <w:ind w:left="1276" w:right="239" w:hanging="283"/>
        <w:rPr>
          <w:color w:val="002060"/>
          <w:lang w:val="fr-FR"/>
        </w:rPr>
      </w:pPr>
      <w:r w:rsidRPr="00EC6509">
        <w:rPr>
          <w:color w:val="002060"/>
          <w:lang w:val="fr-FR"/>
        </w:rPr>
        <w:t>Les revenus nets d’intérêts se sont inscrits à 1 070 millions d’euros au deuxième trimestre 2016. Nonobstant l'environnement actuel de faibles rendements, les revenus nets d’intérêts sont restés stables en comparaison trimestrielle et ne se sont contractés que de 2% en rythme annuel. La tendance en glissement trimestriel a été dictée par la baisse des coûts de financement, la hausse des revenus découlant d'une position obligataire accrue, la solide croissance du volume de crédits et la réduction des taux sur les comptes d'épargne. Ces facteurs contrebalancent les pressions accrues sur les marges de prêt et l'impact négatif de l'environnement de faibles rendements sur le portefeuille d'investissement. Par souci d'exhaustivité, il convient de noter que l'augmentation des pertes sur les opérations de couverture dans le cadre du refinancement de prêts immobiliers au deuxième trimestre est cette année compensée par les commissions de remboursement anticipé reçues au titre de ces prêts. En conséquence, la marge nette d’intérêts s’est établie à 1,94% pour le trimestre sous revue, en baisse de 2 points de base par rapport au trimestre précédent et de 12 points de base par rapport au même trimestre de l’année passée. De manière générale, la croissance des volumes a continué de soutenir les revenus d’intérêts : notre volume de prêts total a augmenté tant en glissement trimestriel (+1%) qu’en rythme annuel (+4%), tandis que les volumes de dépôts ont progressé de pas moins de 4% en comparaison trimestrielle et de 6% en rythme annuel.</w:t>
      </w:r>
    </w:p>
    <w:p w:rsidR="00EC6509" w:rsidRPr="00EC6509" w:rsidRDefault="00EC6509" w:rsidP="00EC6509">
      <w:pPr>
        <w:pStyle w:val="ListParagraph"/>
        <w:numPr>
          <w:ilvl w:val="0"/>
          <w:numId w:val="1"/>
        </w:numPr>
        <w:tabs>
          <w:tab w:val="left" w:pos="542"/>
        </w:tabs>
        <w:ind w:left="1276" w:right="239" w:hanging="283"/>
        <w:rPr>
          <w:rFonts w:eastAsia="Arial" w:cs="Arial"/>
          <w:color w:val="002060"/>
          <w:lang w:val="fr-FR"/>
        </w:rPr>
      </w:pPr>
      <w:r w:rsidRPr="00EC6509">
        <w:rPr>
          <w:color w:val="002060"/>
          <w:lang w:val="fr-FR"/>
        </w:rPr>
        <w:t>Les revenus techniques issus de nos activités d’assurance vie et non-vie se sont inscrits en repli en rythme trimestriel et annuel. Au cours du trimestre sous revue, les primes brutes acquises moins les charges techniques brutes et le résultat de la réassurance cédée ont contribué au total des revenus à hauteur de 90 millions d’euros, soit une baisse de 12% par rapport au trimestre précédent et de 7% par rapport au même trimestre de l’année passée.</w:t>
      </w:r>
    </w:p>
    <w:p w:rsidR="00EC6509" w:rsidRPr="00EC6509" w:rsidRDefault="00EC6509" w:rsidP="00EC6509">
      <w:pPr>
        <w:pStyle w:val="BodyText"/>
        <w:ind w:left="1276" w:right="238" w:firstLine="0"/>
        <w:rPr>
          <w:rFonts w:asciiTheme="minorHAnsi" w:hAnsiTheme="minorHAnsi"/>
          <w:color w:val="002060"/>
          <w:sz w:val="22"/>
          <w:szCs w:val="22"/>
          <w:lang w:val="fr-FR"/>
        </w:rPr>
      </w:pPr>
      <w:r w:rsidRPr="00EC6509">
        <w:rPr>
          <w:rFonts w:asciiTheme="minorHAnsi" w:hAnsiTheme="minorHAnsi"/>
          <w:color w:val="002060"/>
          <w:sz w:val="22"/>
          <w:szCs w:val="22"/>
          <w:lang w:val="fr-FR"/>
        </w:rPr>
        <w:t>Les primes acquises dans nos activités d’assurance non-vie se sont encore accrues de 2% en comparaison trimestrielle et de 7% en rythme annuel, grâce à des initiatives commerciales et à certaines hausses de tarifs. Au deuxième trimestre, les sinistres déclarés dans la branche non-vie ont augmenté de 6% en glissement trimestriel et de 21% par rapport à leur niveau du deuxième trimestre 2015, essentiellement du fait de tempêtes et d'inondations. Par conséquent, notre ratio combiné est ressorti à 95% pour les six premiers mois de l'année.</w:t>
      </w:r>
    </w:p>
    <w:p w:rsidR="00EC6509" w:rsidRPr="00EC6509" w:rsidRDefault="00EC6509" w:rsidP="00EC6509">
      <w:pPr>
        <w:pStyle w:val="BodyText"/>
        <w:ind w:left="1276" w:right="240" w:firstLine="0"/>
        <w:rPr>
          <w:rFonts w:asciiTheme="minorHAnsi" w:hAnsiTheme="minorHAnsi"/>
          <w:color w:val="002060"/>
          <w:sz w:val="22"/>
          <w:szCs w:val="22"/>
          <w:lang w:val="fr-FR"/>
        </w:rPr>
      </w:pPr>
      <w:r w:rsidRPr="00EC6509">
        <w:rPr>
          <w:rFonts w:asciiTheme="minorHAnsi" w:hAnsiTheme="minorHAnsi"/>
          <w:color w:val="002060"/>
          <w:sz w:val="22"/>
          <w:szCs w:val="22"/>
          <w:lang w:val="fr-FR"/>
        </w:rPr>
        <w:t xml:space="preserve">Les ventes de produits d’assurance vie à taux garanti sont ressorties en légère baisse (-1%) en comparaison trimestrielle mais en forte hausse (+51%) en rythme annuel. Les ventes de produits </w:t>
      </w:r>
      <w:r w:rsidRPr="00EC6509">
        <w:rPr>
          <w:rFonts w:asciiTheme="minorHAnsi" w:hAnsiTheme="minorHAnsi"/>
          <w:color w:val="002060"/>
          <w:sz w:val="22"/>
          <w:szCs w:val="22"/>
          <w:lang w:val="fr-FR"/>
        </w:rPr>
        <w:lastRenderedPageBreak/>
        <w:t>d’assurance vie de la branche 23 (non inclus dans les recettes de primes d'assurance vie) ont quant à elles reculé de 16% en comparaison trimestrielle et grimpé de 9% en rythme annuel.</w:t>
      </w:r>
    </w:p>
    <w:p w:rsidR="00EC6509" w:rsidRPr="00EC6509" w:rsidRDefault="00EC6509" w:rsidP="00EC6509">
      <w:pPr>
        <w:pStyle w:val="BodyText"/>
        <w:ind w:left="1276" w:right="239" w:firstLine="0"/>
        <w:rPr>
          <w:rFonts w:asciiTheme="minorHAnsi" w:hAnsiTheme="minorHAnsi"/>
          <w:color w:val="002060"/>
          <w:sz w:val="22"/>
          <w:szCs w:val="22"/>
          <w:lang w:val="fr-FR"/>
        </w:rPr>
      </w:pPr>
      <w:r w:rsidRPr="00EC6509">
        <w:rPr>
          <w:rFonts w:asciiTheme="minorHAnsi" w:hAnsiTheme="minorHAnsi"/>
          <w:color w:val="002060"/>
          <w:sz w:val="22"/>
          <w:szCs w:val="22"/>
          <w:lang w:val="fr-FR"/>
        </w:rPr>
        <w:t>Il est à noter qu’au deuxième trimestre 2016, les revenus d’investissement issus d’activités d’assurance ont augmenté de 24% par rapport au trimestre précédent et diminué de 10% par rapport au même trimestre de l’année dernière. L'amélioration en glissement trimestriel est essentiellement imputable à un revenu de dividende plus élevé sous l’effet de facteurs saisonniers, ainsi qu'aux plus-values réalisées sur les actions. Le recul en rythme annuel s'explique quant à lui par une réduction de valeur accrue sur les participations disponibles à la vente.</w:t>
      </w:r>
    </w:p>
    <w:p w:rsidR="00EC6509" w:rsidRPr="00EC6509" w:rsidRDefault="00EC6509" w:rsidP="00EC6509">
      <w:pPr>
        <w:pStyle w:val="ListParagraph"/>
        <w:numPr>
          <w:ilvl w:val="0"/>
          <w:numId w:val="1"/>
        </w:numPr>
        <w:tabs>
          <w:tab w:val="left" w:pos="542"/>
        </w:tabs>
        <w:ind w:left="1276" w:right="100" w:hanging="283"/>
        <w:rPr>
          <w:color w:val="002060"/>
          <w:lang w:val="fr-FR"/>
        </w:rPr>
      </w:pPr>
      <w:r w:rsidRPr="00EC6509">
        <w:rPr>
          <w:rFonts w:eastAsia="Arial" w:cs="Arial"/>
          <w:color w:val="002060"/>
          <w:lang w:val="fr-FR"/>
        </w:rPr>
        <w:t xml:space="preserve">Au cours du trimestre sous revue, et plus particulièrement après les remous provoqués par le vote en faveur du </w:t>
      </w:r>
      <w:proofErr w:type="spellStart"/>
      <w:r w:rsidRPr="00EC6509">
        <w:rPr>
          <w:rFonts w:eastAsia="Arial" w:cs="Arial"/>
          <w:color w:val="002060"/>
          <w:lang w:val="fr-FR"/>
        </w:rPr>
        <w:t>Brexit</w:t>
      </w:r>
      <w:proofErr w:type="spellEnd"/>
      <w:r w:rsidRPr="00EC6509">
        <w:rPr>
          <w:rFonts w:eastAsia="Arial" w:cs="Arial"/>
          <w:color w:val="002060"/>
          <w:lang w:val="fr-FR"/>
        </w:rPr>
        <w:t>, l'incertitude est restée de mise sur les marchés financiers et les investisseurs se sont à nouveau montrés hésitants. Le total de nos actifs sous gestion est toutefois resté à son niveau du trimestre précédent (207 milliards d'euros), les modestes sorties de capitaux nettes (-1%) ayant été compensées par une évolution positive des prix dans les mêmes proportions. Par rapport à l'année dernière, le total de nos actifs sous gestion a gagné un peu de terrain (+2%) grâce à la croissance des entrées nettes, qui ont largement contrebalancé l'évolution légèrement négative des prix. Nos services de gestion d'actifs ont constitué le principal moteur des revenus nets de commissions, qui, après avoir baissé au trimestre précédent,  on</w:t>
      </w:r>
      <w:r w:rsidRPr="00EC6509">
        <w:rPr>
          <w:color w:val="002060"/>
          <w:lang w:val="fr-FR"/>
        </w:rPr>
        <w:t>t progressé de 4% en comparaison trimestrielle, à 360 millions, grâce à l'augmentation des commissions de gestion pour les fonds de placement déclenchée par la réorientation de l'allocation d'actifs au détriment des liquidités. La hausse des commissions liées au crédit et aux garanties a par ailleurs étayé l'amélioration trimestrielle. Cependant, par rapport au même trimestre un an plus tôt, les revenus nets de commissions se sont repliés de 23% en raison du net recul des commissions de gestion et des frais d'entrée pour les fonds de placement, ainsi que de la baisse des commissions liées aux titres.</w:t>
      </w:r>
    </w:p>
    <w:p w:rsidR="00EC6509" w:rsidRPr="00EC6509" w:rsidRDefault="00EC6509" w:rsidP="00EC6509">
      <w:pPr>
        <w:pStyle w:val="ListParagraph"/>
        <w:numPr>
          <w:ilvl w:val="0"/>
          <w:numId w:val="1"/>
        </w:numPr>
        <w:tabs>
          <w:tab w:val="left" w:pos="542"/>
        </w:tabs>
        <w:ind w:left="1276" w:right="101" w:hanging="283"/>
        <w:rPr>
          <w:rFonts w:eastAsia="Arial" w:cs="Arial"/>
          <w:color w:val="002060"/>
          <w:lang w:val="fr-FR"/>
        </w:rPr>
      </w:pPr>
      <w:r w:rsidRPr="00EC6509">
        <w:rPr>
          <w:color w:val="002060"/>
          <w:lang w:val="fr-FR"/>
        </w:rPr>
        <w:t>Le résultat net des instruments financiers à la juste valeur s'établit à 154 millions d’euros au deuxième trimestre 2016, après avoir atteint 93 millions d’euros sur le trimestre précédent et 179 millions d’euros au deuxième trimestre 2015. La vigueur relative en comparaison trimestrielle est largement imputable aux modifications ponctuelles apportées à nos modèles d'ajustement des valorisations (CVA/MVA).</w:t>
      </w:r>
    </w:p>
    <w:p w:rsidR="00EC6509" w:rsidRPr="00EC6509" w:rsidRDefault="00EC6509" w:rsidP="00EC6509">
      <w:pPr>
        <w:pStyle w:val="ListParagraph"/>
        <w:numPr>
          <w:ilvl w:val="0"/>
          <w:numId w:val="1"/>
        </w:numPr>
        <w:tabs>
          <w:tab w:val="left" w:pos="542"/>
        </w:tabs>
        <w:ind w:left="1276" w:right="101" w:hanging="283"/>
        <w:rPr>
          <w:rFonts w:eastAsia="Arial" w:cs="Arial"/>
          <w:color w:val="002060"/>
          <w:lang w:val="fr-FR"/>
        </w:rPr>
      </w:pPr>
      <w:r w:rsidRPr="00EC6509">
        <w:rPr>
          <w:color w:val="002060"/>
          <w:lang w:val="fr-FR"/>
        </w:rPr>
        <w:t>Les autres éléments de revenu ont totalisé 211 millions d'euros, soit 123 millions de plus qu'au trimestre précédent et 31 millions de plus qu'au même trimestre un an plus tôt. Un gain de 99 millions d'euros (avant impôts) a été réalisé au cours du trimestre sous revue grâce à la cession de nos actions Visa Europe. Le deuxième trimestre s'est en outre caractérisé par des revenus de dividendes élevés du point de vue saisonnier.</w:t>
      </w:r>
    </w:p>
    <w:p w:rsidR="00EC6509" w:rsidRDefault="00EC6509" w:rsidP="00EC6509">
      <w:pPr>
        <w:spacing w:after="0"/>
        <w:ind w:left="993"/>
        <w:rPr>
          <w:rFonts w:ascii="Rockwell" w:eastAsia="Arial" w:hAnsi="Rockwell" w:cstheme="minorBidi"/>
          <w:color w:val="00AFEF"/>
          <w:lang w:val="fr-FR"/>
        </w:rPr>
      </w:pPr>
    </w:p>
    <w:p w:rsidR="00EC6509" w:rsidRDefault="00EC6509" w:rsidP="00EC6509">
      <w:pPr>
        <w:spacing w:after="0"/>
        <w:ind w:left="993"/>
        <w:rPr>
          <w:rFonts w:ascii="Rockwell" w:eastAsia="Arial" w:hAnsi="Rockwell" w:cstheme="minorBidi"/>
          <w:color w:val="00AFEF"/>
          <w:lang w:val="fr-FR"/>
        </w:rPr>
      </w:pPr>
      <w:r w:rsidRPr="00EC6509">
        <w:rPr>
          <w:rFonts w:ascii="Rockwell" w:eastAsia="Arial" w:hAnsi="Rockwell" w:cstheme="minorBidi"/>
          <w:color w:val="00AFEF"/>
          <w:lang w:val="fr-FR"/>
        </w:rPr>
        <w:t>Charges d’exploitation déformées par la comptabilisation anticipée des taxes bancaires au trimestre précédent : abstraction faite de cet effet, les charges d'exploitation sont en ligne avec celles du trimestre précédent et en baisse de 1% en glissement annuel.</w:t>
      </w:r>
    </w:p>
    <w:p w:rsidR="00EC6509" w:rsidRPr="00EC6509" w:rsidRDefault="00EC6509" w:rsidP="00EC6509">
      <w:pPr>
        <w:spacing w:after="0"/>
        <w:ind w:left="993"/>
        <w:rPr>
          <w:rFonts w:ascii="Rockwell" w:eastAsia="Arial" w:hAnsi="Rockwell" w:cstheme="minorBidi"/>
          <w:color w:val="00AFEF"/>
          <w:lang w:val="fr-FR"/>
        </w:rPr>
      </w:pPr>
    </w:p>
    <w:p w:rsidR="00EC6509" w:rsidRDefault="00EC6509" w:rsidP="0082296B">
      <w:pPr>
        <w:numPr>
          <w:ilvl w:val="0"/>
          <w:numId w:val="1"/>
        </w:numPr>
        <w:spacing w:after="0" w:line="240" w:lineRule="auto"/>
        <w:ind w:left="1276"/>
        <w:rPr>
          <w:rFonts w:asciiTheme="minorHAnsi" w:eastAsiaTheme="minorHAnsi" w:hAnsiTheme="minorHAnsi" w:cstheme="minorBidi"/>
          <w:color w:val="002060"/>
          <w:lang w:val="fr-FR"/>
        </w:rPr>
      </w:pPr>
      <w:r w:rsidRPr="00EC6509">
        <w:rPr>
          <w:rFonts w:asciiTheme="minorHAnsi" w:eastAsiaTheme="minorHAnsi" w:hAnsiTheme="minorHAnsi" w:cstheme="minorBidi"/>
          <w:color w:val="002060"/>
          <w:lang w:val="fr-FR"/>
        </w:rPr>
        <w:t>À 904 millions d’euros pour le deuxième trimestre 2016, nos charges d’exploitation ont considérablement baissé par rapport au trimestre précédent (-24%). Il convient toutefois de noter que l'essentiel des taxes bancaires spécifiques est traditionnellement comptabilisé au premier trimestre de l'année. Abstraction faite de ces taxes (335 millions d’euros au premier trimestre 2016 et 51 millions d’euros au deuxième trimestre), nos charges d’exploitation sont demeurées globalement stables en comparaison trimestrielle et ont même reculé de 1% en rythme annuel. La tendance au niveau des coûts en comparaison trimestrielle a été influencée par des facteurs tels que la hausse des dépenses de marketing et la baisse des dépenses de personnel. La baisse de 1% en glissement annuel découle de plusieurs facteurs, dont la réduction des dépenses de personnel, qui a été quelque peu contrebalancée par l'augmentation des dépenses informatiques.</w:t>
      </w:r>
    </w:p>
    <w:p w:rsidR="00EC6509" w:rsidRPr="00EC6509" w:rsidRDefault="00EC6509" w:rsidP="00EC6509">
      <w:pPr>
        <w:spacing w:after="0" w:line="240" w:lineRule="auto"/>
        <w:ind w:left="1276"/>
        <w:rPr>
          <w:rFonts w:asciiTheme="minorHAnsi" w:eastAsiaTheme="minorHAnsi" w:hAnsiTheme="minorHAnsi" w:cstheme="minorBidi"/>
          <w:color w:val="002060"/>
          <w:lang w:val="fr-FR"/>
        </w:rPr>
      </w:pPr>
      <w:r w:rsidRPr="00EC6509">
        <w:rPr>
          <w:rFonts w:asciiTheme="minorHAnsi" w:eastAsiaTheme="minorHAnsi" w:hAnsiTheme="minorHAnsi" w:cstheme="minorBidi"/>
          <w:color w:val="002060"/>
          <w:lang w:val="fr-FR"/>
        </w:rPr>
        <w:t xml:space="preserve">Le ratio charges/revenus de nos activités bancaires s’établit dès lors à 59% </w:t>
      </w:r>
      <w:proofErr w:type="spellStart"/>
      <w:r w:rsidRPr="00EC6509">
        <w:rPr>
          <w:rFonts w:asciiTheme="minorHAnsi" w:eastAsiaTheme="minorHAnsi" w:hAnsiTheme="minorHAnsi" w:cstheme="minorBidi"/>
          <w:i/>
          <w:color w:val="002060"/>
          <w:lang w:val="fr-FR"/>
        </w:rPr>
        <w:t>year</w:t>
      </w:r>
      <w:proofErr w:type="spellEnd"/>
      <w:r w:rsidRPr="00EC6509">
        <w:rPr>
          <w:rFonts w:asciiTheme="minorHAnsi" w:eastAsiaTheme="minorHAnsi" w:hAnsiTheme="minorHAnsi" w:cstheme="minorBidi"/>
          <w:i/>
          <w:color w:val="002060"/>
          <w:lang w:val="fr-FR"/>
        </w:rPr>
        <w:t>-to-date</w:t>
      </w:r>
      <w:r w:rsidRPr="00EC6509">
        <w:rPr>
          <w:rFonts w:asciiTheme="minorHAnsi" w:eastAsiaTheme="minorHAnsi" w:hAnsiTheme="minorHAnsi" w:cstheme="minorBidi"/>
          <w:color w:val="002060"/>
          <w:lang w:val="fr-FR"/>
        </w:rPr>
        <w:t>, contre 55% en 2015. Après exclusion de certains éléments spécifiques et répartition homogène des taxes bancaires, le ratio charges/revenus ressort à 56% (contre 55% en 2015).</w:t>
      </w:r>
    </w:p>
    <w:p w:rsidR="00EC6509" w:rsidRDefault="00EC6509" w:rsidP="00EC6509">
      <w:pPr>
        <w:spacing w:after="0" w:line="240" w:lineRule="auto"/>
        <w:ind w:left="993"/>
        <w:rPr>
          <w:rFonts w:ascii="Rockwell" w:eastAsia="Arial" w:hAnsi="Rockwell" w:cstheme="minorBidi"/>
          <w:color w:val="00AFEF"/>
          <w:lang w:val="fr-FR"/>
        </w:rPr>
      </w:pPr>
    </w:p>
    <w:p w:rsidR="00BB2980" w:rsidRDefault="00BB2980" w:rsidP="00EC6509">
      <w:pPr>
        <w:spacing w:before="2" w:line="240" w:lineRule="auto"/>
        <w:ind w:left="993"/>
        <w:rPr>
          <w:rFonts w:ascii="Rockwell" w:eastAsia="Arial" w:hAnsi="Rockwell" w:cstheme="minorBidi"/>
          <w:color w:val="00AFEF"/>
          <w:lang w:val="fr-FR"/>
        </w:rPr>
      </w:pPr>
      <w:r>
        <w:rPr>
          <w:rFonts w:ascii="Rockwell" w:eastAsia="Arial" w:hAnsi="Rockwell" w:cstheme="minorBidi"/>
          <w:color w:val="00AFEF"/>
          <w:lang w:val="fr-FR"/>
        </w:rPr>
        <w:br/>
      </w:r>
    </w:p>
    <w:p w:rsidR="00BB2980" w:rsidRDefault="00BB2980">
      <w:pPr>
        <w:spacing w:after="0" w:line="240" w:lineRule="auto"/>
        <w:rPr>
          <w:rFonts w:ascii="Rockwell" w:eastAsia="Arial" w:hAnsi="Rockwell" w:cstheme="minorBidi"/>
          <w:color w:val="00AFEF"/>
          <w:lang w:val="fr-FR"/>
        </w:rPr>
      </w:pPr>
      <w:r>
        <w:rPr>
          <w:rFonts w:ascii="Rockwell" w:eastAsia="Arial" w:hAnsi="Rockwell" w:cstheme="minorBidi"/>
          <w:color w:val="00AFEF"/>
          <w:lang w:val="fr-FR"/>
        </w:rPr>
        <w:br w:type="page"/>
      </w:r>
    </w:p>
    <w:p w:rsidR="00EC6509" w:rsidRPr="00EC6509" w:rsidRDefault="00EC6509" w:rsidP="00EC6509">
      <w:pPr>
        <w:spacing w:before="2" w:line="240" w:lineRule="auto"/>
        <w:ind w:left="993"/>
        <w:rPr>
          <w:rFonts w:ascii="Rockwell" w:eastAsia="Arial" w:hAnsi="Rockwell" w:cstheme="minorBidi"/>
          <w:color w:val="00AFEF"/>
          <w:lang w:val="fr-FR"/>
        </w:rPr>
      </w:pPr>
      <w:r w:rsidRPr="00EC6509">
        <w:rPr>
          <w:rFonts w:ascii="Rockwell" w:eastAsia="Arial" w:hAnsi="Rockwell" w:cstheme="minorBidi"/>
          <w:color w:val="00AFEF"/>
          <w:lang w:val="fr-FR"/>
        </w:rPr>
        <w:lastRenderedPageBreak/>
        <w:t xml:space="preserve">Réductions de valeur pour pertes de crédit : très faible ratio de coût du crédit de 0,07% </w:t>
      </w:r>
      <w:proofErr w:type="spellStart"/>
      <w:r w:rsidRPr="00EC6509">
        <w:rPr>
          <w:rFonts w:ascii="Rockwell" w:eastAsia="Arial" w:hAnsi="Rockwell" w:cstheme="minorBidi"/>
          <w:i/>
          <w:color w:val="00AFEF"/>
          <w:lang w:val="fr-FR"/>
        </w:rPr>
        <w:t>year</w:t>
      </w:r>
      <w:proofErr w:type="spellEnd"/>
      <w:r w:rsidRPr="00EC6509">
        <w:rPr>
          <w:rFonts w:ascii="Rockwell" w:eastAsia="Arial" w:hAnsi="Rockwell" w:cstheme="minorBidi"/>
          <w:i/>
          <w:color w:val="00AFEF"/>
          <w:lang w:val="fr-FR"/>
        </w:rPr>
        <w:t>-to-date</w:t>
      </w:r>
    </w:p>
    <w:p w:rsidR="00EC6509" w:rsidRPr="00EC6509" w:rsidRDefault="00EC6509" w:rsidP="00EC6509">
      <w:pPr>
        <w:numPr>
          <w:ilvl w:val="0"/>
          <w:numId w:val="1"/>
        </w:numPr>
        <w:spacing w:after="0" w:line="240" w:lineRule="auto"/>
        <w:ind w:left="1276"/>
        <w:rPr>
          <w:rFonts w:eastAsia="Arial" w:cs="Arial"/>
          <w:color w:val="002060"/>
          <w:lang w:val="fr-FR"/>
        </w:rPr>
      </w:pPr>
      <w:r w:rsidRPr="00EC6509">
        <w:rPr>
          <w:rFonts w:eastAsia="Arial" w:cs="Arial"/>
          <w:color w:val="002060"/>
          <w:lang w:val="fr-FR"/>
        </w:rPr>
        <w:t xml:space="preserve">Les réductions de valeur pour pertes de crédit s'inscrivent à un niveau favorable de 50 millions d'euros au deuxième trimestre 2016, en nette hausse par rapport au niveau historiquement bas de 4 millions d'euros observé au trimestre précédent, mais en baisse par rapport aux 138 millions enregistrés un an plus tôt. L'augmentation en glissement trimestriel s'explique en partie par les changements apportés aux paramètres des modèles dans la majorité des portefeuilles, tandis que le nombre de nouveaux crédits </w:t>
      </w:r>
      <w:proofErr w:type="spellStart"/>
      <w:r w:rsidRPr="00EC6509">
        <w:rPr>
          <w:rFonts w:eastAsia="Arial" w:cs="Arial"/>
          <w:color w:val="002060"/>
          <w:lang w:val="fr-FR"/>
        </w:rPr>
        <w:t>impaired</w:t>
      </w:r>
      <w:proofErr w:type="spellEnd"/>
      <w:r w:rsidRPr="00EC6509">
        <w:rPr>
          <w:rFonts w:eastAsia="Arial" w:cs="Arial"/>
          <w:color w:val="002060"/>
          <w:lang w:val="fr-FR"/>
        </w:rPr>
        <w:t xml:space="preserve"> s'est avéré limité dans l'ensemble des segments. Les réductions de valeur sur crédits ont atteint 28 millions d'euros en Belgique, 9 millions d'euros en République tchèque, 6 millions d'euros en Slovaquie, 1 million d'euros en Bulgarie et 7 millions d'euros au niveau du Centre de groupe. Des libérations de provisions pour pertes nettes sur crédits (impact positif) de 1 million d'euros ont également été enregistrées en Hongrie et en Irlande. Pour l'ensemble du groupe, les réductions de valeur pour pertes de crédit ont atteint 0,07% du portefeuille total de prêts au premier semestre 2016 (en termes annualisés).</w:t>
      </w:r>
    </w:p>
    <w:p w:rsidR="00EC6509" w:rsidRPr="00EC6509" w:rsidRDefault="00EC6509" w:rsidP="00EC6509">
      <w:pPr>
        <w:numPr>
          <w:ilvl w:val="0"/>
          <w:numId w:val="1"/>
        </w:numPr>
        <w:spacing w:after="0" w:line="240" w:lineRule="auto"/>
        <w:ind w:left="1276"/>
        <w:rPr>
          <w:rFonts w:eastAsia="Arial" w:cs="Arial"/>
          <w:color w:val="002060"/>
          <w:lang w:val="fr-FR"/>
        </w:rPr>
      </w:pPr>
      <w:r w:rsidRPr="00EC6509">
        <w:rPr>
          <w:rFonts w:eastAsia="Arial" w:cs="Arial"/>
          <w:color w:val="002060"/>
          <w:lang w:val="fr-FR"/>
        </w:rPr>
        <w:t>Les réductions de valeur sur actifs disponibles à la vente sont ressorties à 20 millions d'euros, un chiffre un peu en deçà des 24 millions d'euros du trimestre précédent mais supérieur aux 7 millions d'euros enregistrés au même trimestre un an plus tôt. Les réductions de valeur ont essentiellement concerné les actions du portefeuille d'investissement de l'assurance au cours du trimestre sous revue.</w:t>
      </w:r>
    </w:p>
    <w:p w:rsidR="00EC6509" w:rsidRDefault="00EC6509" w:rsidP="00EC6509">
      <w:pPr>
        <w:pStyle w:val="ListParagraph"/>
        <w:spacing w:before="2"/>
        <w:ind w:left="397"/>
        <w:rPr>
          <w:rFonts w:ascii="Rockwell" w:eastAsia="Arial" w:hAnsi="Rockwell"/>
          <w:color w:val="00AFEF"/>
          <w:lang w:val="fr-FR"/>
        </w:rPr>
      </w:pPr>
    </w:p>
    <w:p w:rsidR="00EC6509" w:rsidRDefault="00EC6509" w:rsidP="00EC6509">
      <w:pPr>
        <w:spacing w:after="0" w:line="240" w:lineRule="auto"/>
        <w:ind w:left="993"/>
        <w:rPr>
          <w:rFonts w:ascii="Rockwell" w:eastAsia="Arial" w:hAnsi="Rockwell" w:cstheme="minorBidi"/>
          <w:color w:val="00AFEF"/>
        </w:rPr>
      </w:pPr>
      <w:proofErr w:type="spellStart"/>
      <w:r w:rsidRPr="00EC6509">
        <w:rPr>
          <w:rFonts w:ascii="Rockwell" w:eastAsia="Arial" w:hAnsi="Rockwell" w:cstheme="minorBidi"/>
          <w:color w:val="00AFEF"/>
        </w:rPr>
        <w:t>Résultats</w:t>
      </w:r>
      <w:proofErr w:type="spellEnd"/>
      <w:r w:rsidRPr="00EC6509">
        <w:rPr>
          <w:rFonts w:ascii="Rockwell" w:eastAsia="Arial" w:hAnsi="Rockwell" w:cstheme="minorBidi"/>
          <w:color w:val="00AFEF"/>
        </w:rPr>
        <w:t xml:space="preserve"> par division</w:t>
      </w:r>
    </w:p>
    <w:p w:rsidR="00EC6509" w:rsidRPr="00EC6509" w:rsidRDefault="00EC6509" w:rsidP="00EC6509">
      <w:pPr>
        <w:spacing w:after="0" w:line="240" w:lineRule="auto"/>
        <w:ind w:left="993"/>
        <w:rPr>
          <w:rFonts w:ascii="Rockwell" w:eastAsia="Arial" w:hAnsi="Rockwell" w:cstheme="minorBidi"/>
          <w:color w:val="00AFEF"/>
        </w:rPr>
      </w:pPr>
    </w:p>
    <w:p w:rsidR="00EC6509" w:rsidRPr="00EC6509" w:rsidRDefault="00EC6509" w:rsidP="00EC6509">
      <w:pPr>
        <w:pStyle w:val="ListParagraph"/>
        <w:numPr>
          <w:ilvl w:val="0"/>
          <w:numId w:val="1"/>
        </w:numPr>
        <w:ind w:left="1276" w:right="99" w:hanging="283"/>
        <w:rPr>
          <w:rFonts w:eastAsia="Arial" w:cs="Arial"/>
          <w:color w:val="002060"/>
          <w:lang w:val="fr-FR"/>
        </w:rPr>
      </w:pPr>
      <w:r w:rsidRPr="00EC6509">
        <w:rPr>
          <w:rFonts w:eastAsia="Arial" w:cs="Arial"/>
          <w:color w:val="002060"/>
          <w:lang w:val="fr-FR"/>
        </w:rPr>
        <w:t>Notre bénéfice trimestriel de 721 millions d’euros se répartit comme suit : 371 millions d’euros pour la division Belgique, 191 millions d’euros pour la division République tchèque, 123 millions d’euros pour la division Marchés internationaux et 37 millions d’euros pour le Centre de groupe. Un tableau reprenant les résultats complets et une analyse succincte par division sont disponibles à la section « </w:t>
      </w:r>
      <w:proofErr w:type="spellStart"/>
      <w:r w:rsidRPr="00EC6509">
        <w:rPr>
          <w:rFonts w:eastAsia="Arial" w:cs="Arial"/>
          <w:i/>
          <w:color w:val="002060"/>
          <w:lang w:val="fr-FR"/>
        </w:rPr>
        <w:t>Results</w:t>
      </w:r>
      <w:proofErr w:type="spellEnd"/>
      <w:r w:rsidRPr="00EC6509">
        <w:rPr>
          <w:rFonts w:eastAsia="Arial" w:cs="Arial"/>
          <w:i/>
          <w:color w:val="002060"/>
          <w:lang w:val="fr-FR"/>
        </w:rPr>
        <w:t xml:space="preserve"> per business unit</w:t>
      </w:r>
      <w:r w:rsidRPr="00EC6509">
        <w:rPr>
          <w:rFonts w:eastAsia="Arial" w:cs="Arial"/>
          <w:color w:val="002060"/>
          <w:lang w:val="fr-FR"/>
        </w:rPr>
        <w:t xml:space="preserve"> » de </w:t>
      </w:r>
      <w:r w:rsidRPr="00EC6509">
        <w:rPr>
          <w:rFonts w:eastAsia="Arial" w:cs="Arial"/>
          <w:i/>
          <w:color w:val="002060"/>
          <w:lang w:val="fr-FR"/>
        </w:rPr>
        <w:t xml:space="preserve">l’Extended </w:t>
      </w:r>
      <w:proofErr w:type="spellStart"/>
      <w:r w:rsidRPr="00EC6509">
        <w:rPr>
          <w:rFonts w:eastAsia="Arial" w:cs="Arial"/>
          <w:i/>
          <w:color w:val="002060"/>
          <w:lang w:val="fr-FR"/>
        </w:rPr>
        <w:t>quarterly</w:t>
      </w:r>
      <w:proofErr w:type="spellEnd"/>
      <w:r w:rsidRPr="00EC6509">
        <w:rPr>
          <w:rFonts w:eastAsia="Arial" w:cs="Arial"/>
          <w:i/>
          <w:color w:val="002060"/>
          <w:lang w:val="fr-FR"/>
        </w:rPr>
        <w:t xml:space="preserve"> report</w:t>
      </w:r>
      <w:r w:rsidRPr="00EC6509">
        <w:rPr>
          <w:rFonts w:eastAsia="Arial" w:cs="Arial"/>
          <w:color w:val="002060"/>
          <w:lang w:val="fr-FR"/>
        </w:rPr>
        <w:t> ; des informations plus détaillées pour chaque division figurent également dans la présentation destinée aux analystes (sur www.kbc.com).</w:t>
      </w:r>
    </w:p>
    <w:p w:rsidR="00EC6509" w:rsidRPr="00C54513" w:rsidRDefault="00EC6509" w:rsidP="00C54513">
      <w:pPr>
        <w:spacing w:after="0" w:line="240" w:lineRule="auto"/>
        <w:ind w:left="993"/>
        <w:rPr>
          <w:rFonts w:eastAsia="Arial" w:cs="Arial"/>
          <w:lang w:val="fr-FR"/>
        </w:rPr>
      </w:pPr>
    </w:p>
    <w:p w:rsidR="00C54513" w:rsidRPr="00C54513" w:rsidRDefault="00C54513" w:rsidP="00C54513">
      <w:pPr>
        <w:spacing w:before="2"/>
        <w:ind w:left="993"/>
        <w:rPr>
          <w:rFonts w:ascii="Rockwell" w:eastAsia="Arial" w:hAnsi="Rockwell" w:cstheme="minorBidi"/>
          <w:color w:val="00AFEF"/>
          <w:lang w:val="fr-FR"/>
        </w:rPr>
      </w:pPr>
      <w:r w:rsidRPr="00C54513">
        <w:rPr>
          <w:rFonts w:ascii="Rockwell" w:eastAsia="Arial" w:hAnsi="Rockwell" w:cstheme="minorBidi"/>
          <w:color w:val="00AFEF"/>
          <w:lang w:val="fr-FR"/>
        </w:rPr>
        <w:t>Fondamentaux robustes : fonds propres, solvabilité et liquidité</w:t>
      </w:r>
    </w:p>
    <w:p w:rsidR="006F1C7F" w:rsidRPr="006F1C7F" w:rsidRDefault="006F1C7F" w:rsidP="006F1C7F">
      <w:pPr>
        <w:pStyle w:val="ListParagraph"/>
        <w:numPr>
          <w:ilvl w:val="0"/>
          <w:numId w:val="1"/>
        </w:numPr>
        <w:tabs>
          <w:tab w:val="left" w:pos="1276"/>
        </w:tabs>
        <w:ind w:left="1276" w:right="100" w:hanging="283"/>
        <w:rPr>
          <w:rFonts w:eastAsia="Arial" w:cs="Arial"/>
          <w:color w:val="002060"/>
          <w:lang w:val="fr-FR"/>
        </w:rPr>
      </w:pPr>
      <w:r w:rsidRPr="006F1C7F">
        <w:rPr>
          <w:color w:val="002060"/>
          <w:lang w:val="fr-FR"/>
        </w:rPr>
        <w:t>À la fin juin 2016, le total de nos capitaux propres (émissions additionnelles Tier-1 incluses) s’élevait à 16,2 milliards d’euros, en hausse de 0,4 milliard d’euros par rapport à son niveau de fin 2015. L’évolution du total des capitaux propres sur les six premiers mois de 2016 résultait de l’inclusion du bénéfice semestriel (+1,1 milliard d’euros), de la dépréciation des couvertures des flux de trésorerie (-0,5 milliard d'euros) et des réévaluations de régimes à prestations définies (-0,2 milliard d'euros).</w:t>
      </w:r>
    </w:p>
    <w:p w:rsidR="006F1C7F" w:rsidRPr="006F1C7F" w:rsidRDefault="006F1C7F" w:rsidP="006F1C7F">
      <w:pPr>
        <w:pStyle w:val="ListParagraph"/>
        <w:numPr>
          <w:ilvl w:val="0"/>
          <w:numId w:val="1"/>
        </w:numPr>
        <w:tabs>
          <w:tab w:val="left" w:pos="1276"/>
        </w:tabs>
        <w:ind w:left="1276" w:right="98" w:hanging="283"/>
        <w:rPr>
          <w:rFonts w:eastAsia="Arial" w:cs="Arial"/>
          <w:color w:val="002060"/>
          <w:lang w:val="fr-FR"/>
        </w:rPr>
      </w:pPr>
      <w:r w:rsidRPr="006F1C7F">
        <w:rPr>
          <w:rFonts w:eastAsia="Arial" w:cs="Arial"/>
          <w:color w:val="002060"/>
          <w:lang w:val="fr-FR"/>
        </w:rPr>
        <w:t xml:space="preserve">Nos ratios de solvabilité ont confortablement dépassé les niveaux requis par le test de solvabilité imposé par les autorités de régulation financière pour 2016 (minimum de 10,25%, Bâle III, </w:t>
      </w:r>
      <w:proofErr w:type="spellStart"/>
      <w:r w:rsidRPr="006F1C7F">
        <w:rPr>
          <w:rFonts w:eastAsia="Arial" w:cs="Arial"/>
          <w:color w:val="002060"/>
          <w:lang w:val="fr-FR"/>
        </w:rPr>
        <w:t>phased</w:t>
      </w:r>
      <w:proofErr w:type="spellEnd"/>
      <w:r w:rsidRPr="006F1C7F">
        <w:rPr>
          <w:rFonts w:eastAsia="Arial" w:cs="Arial"/>
          <w:color w:val="002060"/>
          <w:lang w:val="fr-FR"/>
        </w:rPr>
        <w:t xml:space="preserve">-in selon le compromis danois). Au 30 juin 2016, le ratio </w:t>
      </w:r>
      <w:proofErr w:type="spellStart"/>
      <w:r w:rsidRPr="006F1C7F">
        <w:rPr>
          <w:rFonts w:eastAsia="Arial" w:cs="Arial"/>
          <w:color w:val="002060"/>
          <w:lang w:val="fr-FR"/>
        </w:rPr>
        <w:t>common</w:t>
      </w:r>
      <w:proofErr w:type="spellEnd"/>
      <w:r w:rsidRPr="006F1C7F">
        <w:rPr>
          <w:rFonts w:eastAsia="Arial" w:cs="Arial"/>
          <w:color w:val="002060"/>
          <w:lang w:val="fr-FR"/>
        </w:rPr>
        <w:t xml:space="preserve"> </w:t>
      </w:r>
      <w:proofErr w:type="spellStart"/>
      <w:r w:rsidRPr="006F1C7F">
        <w:rPr>
          <w:rFonts w:eastAsia="Arial" w:cs="Arial"/>
          <w:color w:val="002060"/>
          <w:lang w:val="fr-FR"/>
        </w:rPr>
        <w:t>equity</w:t>
      </w:r>
      <w:proofErr w:type="spellEnd"/>
      <w:r w:rsidRPr="006F1C7F">
        <w:rPr>
          <w:rFonts w:eastAsia="Arial" w:cs="Arial"/>
          <w:color w:val="002060"/>
          <w:lang w:val="fr-FR"/>
        </w:rPr>
        <w:t xml:space="preserve"> du groupe (Bâle III, selon le compromis danois) s’établissait à un solide niveau de 14,9% (</w:t>
      </w:r>
      <w:proofErr w:type="spellStart"/>
      <w:r w:rsidRPr="006F1C7F">
        <w:rPr>
          <w:rFonts w:eastAsia="Arial" w:cs="Arial"/>
          <w:color w:val="002060"/>
          <w:lang w:val="fr-FR"/>
        </w:rPr>
        <w:t>phased</w:t>
      </w:r>
      <w:proofErr w:type="spellEnd"/>
      <w:r w:rsidRPr="006F1C7F">
        <w:rPr>
          <w:rFonts w:eastAsia="Arial" w:cs="Arial"/>
          <w:color w:val="002060"/>
          <w:lang w:val="fr-FR"/>
        </w:rPr>
        <w:t>-in et à pleine charge). Le ratio de levier financier (« </w:t>
      </w:r>
      <w:proofErr w:type="spellStart"/>
      <w:r w:rsidRPr="006F1C7F">
        <w:rPr>
          <w:rFonts w:eastAsia="Arial" w:cs="Arial"/>
          <w:i/>
          <w:color w:val="002060"/>
          <w:lang w:val="fr-FR"/>
        </w:rPr>
        <w:t>leverage</w:t>
      </w:r>
      <w:proofErr w:type="spellEnd"/>
      <w:r w:rsidRPr="006F1C7F">
        <w:rPr>
          <w:rFonts w:eastAsia="Arial" w:cs="Arial"/>
          <w:i/>
          <w:color w:val="002060"/>
          <w:lang w:val="fr-FR"/>
        </w:rPr>
        <w:t xml:space="preserve"> ratio</w:t>
      </w:r>
      <w:r w:rsidRPr="006F1C7F">
        <w:rPr>
          <w:rFonts w:eastAsia="Arial" w:cs="Arial"/>
          <w:color w:val="002060"/>
          <w:lang w:val="fr-FR"/>
        </w:rPr>
        <w:t> ») du groupe (Bâle III, à pleine charge) s’est inscrit à 6,0%. Au 30 juin 2016, malgré un nouveau plafond imposé par l'organe de contrôle belge, KBC Assurances affichait un solide ratio de solvabilité de 187% en vertu du nouveau cadre réglementaire Solvabilité II.</w:t>
      </w:r>
    </w:p>
    <w:p w:rsidR="006F1C7F" w:rsidRPr="006F1C7F" w:rsidRDefault="006F1C7F" w:rsidP="006F1C7F">
      <w:pPr>
        <w:pStyle w:val="ListParagraph"/>
        <w:numPr>
          <w:ilvl w:val="0"/>
          <w:numId w:val="1"/>
        </w:numPr>
        <w:tabs>
          <w:tab w:val="left" w:pos="1276"/>
        </w:tabs>
        <w:ind w:left="1276" w:right="103" w:hanging="283"/>
        <w:rPr>
          <w:rFonts w:eastAsia="Arial" w:cs="Arial"/>
          <w:color w:val="002060"/>
          <w:lang w:val="fr-FR"/>
        </w:rPr>
      </w:pPr>
      <w:r w:rsidRPr="006F1C7F">
        <w:rPr>
          <w:rFonts w:eastAsia="Arial" w:cs="Arial"/>
          <w:color w:val="002060"/>
          <w:lang w:val="fr-FR"/>
        </w:rPr>
        <w:t>La liquidité du groupe s’est maintenue à un excellent niveau, avec un ratio LCR de 132% et un ratio NSFR de 123% à la fin du mois de juin 2016.</w:t>
      </w:r>
    </w:p>
    <w:p w:rsidR="006F1C7F" w:rsidRPr="007E3194" w:rsidRDefault="006F1C7F" w:rsidP="006F1C7F">
      <w:pPr>
        <w:spacing w:line="240" w:lineRule="auto"/>
        <w:rPr>
          <w:rFonts w:asciiTheme="minorHAnsi" w:hAnsiTheme="minorHAnsi" w:cs="Arial"/>
          <w:b/>
          <w:bCs/>
          <w:color w:val="003768"/>
          <w:lang w:val="fr-FR" w:eastAsia="nl-BE"/>
        </w:rPr>
      </w:pPr>
    </w:p>
    <w:p w:rsidR="006F1C7F" w:rsidRDefault="006F1C7F" w:rsidP="006F1C7F">
      <w:pPr>
        <w:spacing w:after="0" w:line="240" w:lineRule="auto"/>
        <w:ind w:left="993"/>
        <w:rPr>
          <w:rFonts w:ascii="Rockwell" w:hAnsi="Rockwell" w:cs="Arial"/>
          <w:b/>
          <w:bCs/>
          <w:color w:val="003768"/>
          <w:sz w:val="28"/>
          <w:szCs w:val="28"/>
          <w:lang w:val="fr-FR" w:eastAsia="nl-BE"/>
        </w:rPr>
      </w:pPr>
      <w:r w:rsidRPr="006F1C7F">
        <w:rPr>
          <w:rFonts w:ascii="Rockwell" w:hAnsi="Rockwell" w:cs="Arial"/>
          <w:b/>
          <w:bCs/>
          <w:color w:val="003768"/>
          <w:sz w:val="28"/>
          <w:szCs w:val="28"/>
          <w:lang w:val="fr-FR" w:eastAsia="nl-BE"/>
        </w:rPr>
        <w:t xml:space="preserve">Analyse de la période sous revue </w:t>
      </w:r>
      <w:proofErr w:type="spellStart"/>
      <w:r w:rsidRPr="006F1C7F">
        <w:rPr>
          <w:rFonts w:ascii="Rockwell" w:hAnsi="Rockwell" w:cs="Arial"/>
          <w:b/>
          <w:bCs/>
          <w:i/>
          <w:color w:val="003768"/>
          <w:sz w:val="28"/>
          <w:szCs w:val="28"/>
          <w:lang w:val="fr-FR" w:eastAsia="nl-BE"/>
        </w:rPr>
        <w:t>year</w:t>
      </w:r>
      <w:proofErr w:type="spellEnd"/>
      <w:r w:rsidRPr="006F1C7F">
        <w:rPr>
          <w:rFonts w:ascii="Rockwell" w:hAnsi="Rockwell" w:cs="Arial"/>
          <w:b/>
          <w:bCs/>
          <w:i/>
          <w:color w:val="003768"/>
          <w:sz w:val="28"/>
          <w:szCs w:val="28"/>
          <w:lang w:val="fr-FR" w:eastAsia="nl-BE"/>
        </w:rPr>
        <w:t>-to-date</w:t>
      </w:r>
      <w:r w:rsidRPr="006F1C7F">
        <w:rPr>
          <w:rFonts w:ascii="Rockwell" w:hAnsi="Rockwell" w:cs="Arial"/>
          <w:b/>
          <w:bCs/>
          <w:color w:val="003768"/>
          <w:sz w:val="28"/>
          <w:szCs w:val="28"/>
          <w:lang w:val="fr-FR" w:eastAsia="nl-BE"/>
        </w:rPr>
        <w:t xml:space="preserve"> (1S2016)</w:t>
      </w:r>
    </w:p>
    <w:p w:rsidR="006F1C7F" w:rsidRPr="006F1C7F" w:rsidRDefault="006F1C7F" w:rsidP="006F1C7F">
      <w:pPr>
        <w:spacing w:after="0" w:line="240" w:lineRule="auto"/>
        <w:ind w:left="993"/>
        <w:rPr>
          <w:rFonts w:asciiTheme="minorHAnsi" w:hAnsiTheme="minorHAnsi" w:cs="Arial"/>
          <w:b/>
          <w:bCs/>
          <w:color w:val="003768"/>
          <w:sz w:val="18"/>
          <w:szCs w:val="18"/>
          <w:lang w:val="fr-FR" w:eastAsia="nl-BE"/>
        </w:rPr>
      </w:pPr>
    </w:p>
    <w:p w:rsidR="006F1C7F" w:rsidRDefault="006F1C7F" w:rsidP="006F1C7F">
      <w:pPr>
        <w:pStyle w:val="BodyText"/>
        <w:ind w:left="993" w:firstLine="0"/>
        <w:rPr>
          <w:rFonts w:asciiTheme="minorHAnsi" w:hAnsiTheme="minorHAnsi"/>
          <w:color w:val="002060"/>
          <w:sz w:val="22"/>
          <w:szCs w:val="22"/>
          <w:lang w:val="fr-FR"/>
        </w:rPr>
      </w:pPr>
      <w:r w:rsidRPr="006F1C7F">
        <w:rPr>
          <w:rFonts w:asciiTheme="minorHAnsi" w:hAnsiTheme="minorHAnsi"/>
          <w:color w:val="002060"/>
          <w:sz w:val="22"/>
          <w:szCs w:val="22"/>
          <w:lang w:val="fr-FR"/>
        </w:rPr>
        <w:t>Notre résultat global pour les six premiers mois de l’année s’établit à 1 113 millions d’euros, contre 1 176 millions d’euros un an auparavant.</w:t>
      </w:r>
    </w:p>
    <w:p w:rsidR="006F1C7F" w:rsidRPr="006F1C7F" w:rsidRDefault="006F1C7F" w:rsidP="006F1C7F">
      <w:pPr>
        <w:pStyle w:val="BodyText"/>
        <w:ind w:left="993" w:firstLine="0"/>
        <w:rPr>
          <w:rFonts w:asciiTheme="minorHAnsi" w:hAnsiTheme="minorHAnsi"/>
          <w:color w:val="002060"/>
          <w:lang w:val="fr-FR"/>
        </w:rPr>
      </w:pPr>
    </w:p>
    <w:p w:rsidR="006F1C7F" w:rsidRDefault="006F1C7F" w:rsidP="006F1C7F">
      <w:pPr>
        <w:pStyle w:val="BodyText"/>
        <w:ind w:left="993" w:firstLine="0"/>
        <w:rPr>
          <w:rFonts w:asciiTheme="minorHAnsi" w:hAnsiTheme="minorHAnsi"/>
          <w:color w:val="002060"/>
          <w:sz w:val="22"/>
          <w:szCs w:val="22"/>
          <w:lang w:val="fr-FR"/>
        </w:rPr>
      </w:pPr>
      <w:r w:rsidRPr="006F1C7F">
        <w:rPr>
          <w:rFonts w:asciiTheme="minorHAnsi" w:hAnsiTheme="minorHAnsi"/>
          <w:color w:val="002060"/>
          <w:sz w:val="22"/>
          <w:szCs w:val="22"/>
          <w:lang w:val="fr-FR"/>
        </w:rPr>
        <w:t>Par rapport au premier semestre 2015, le résultat du premier semestre 2016 s’est caractérisé par :</w:t>
      </w:r>
    </w:p>
    <w:p w:rsidR="006F1C7F" w:rsidRPr="006F1C7F" w:rsidRDefault="006F1C7F" w:rsidP="006F1C7F">
      <w:pPr>
        <w:pStyle w:val="ListParagraph"/>
        <w:numPr>
          <w:ilvl w:val="0"/>
          <w:numId w:val="1"/>
        </w:numPr>
        <w:tabs>
          <w:tab w:val="left" w:pos="539"/>
        </w:tabs>
        <w:ind w:left="1276" w:right="262" w:hanging="283"/>
        <w:jc w:val="both"/>
        <w:rPr>
          <w:rFonts w:eastAsia="Arial" w:cs="Arial"/>
          <w:color w:val="002060"/>
          <w:lang w:val="fr-FR"/>
        </w:rPr>
      </w:pPr>
      <w:r w:rsidRPr="006F1C7F">
        <w:rPr>
          <w:color w:val="002060"/>
          <w:lang w:val="fr-FR"/>
        </w:rPr>
        <w:t xml:space="preserve">Une légère baisse des revenus nets d'intérêts (-2% à 2 137 millions d'euros) essentiellement imputable à la faiblesse actuelle des taux d'intérêt, ce qui a pénalisé le résultat de transformation et les revenus générés par la salle des marchés, mais a été compensé en partie par la baisse des coûts de </w:t>
      </w:r>
      <w:r w:rsidRPr="006F1C7F">
        <w:rPr>
          <w:color w:val="002060"/>
          <w:lang w:val="fr-FR"/>
        </w:rPr>
        <w:lastRenderedPageBreak/>
        <w:t>financement et la hausse des revenus d'intérêts des activités de prêts. Les volumes de dépôts (+6%) et de prêts (+4%) ont augmenté.</w:t>
      </w:r>
    </w:p>
    <w:p w:rsidR="006F1C7F" w:rsidRPr="006F1C7F" w:rsidRDefault="006F1C7F" w:rsidP="006F1C7F">
      <w:pPr>
        <w:pStyle w:val="ListParagraph"/>
        <w:numPr>
          <w:ilvl w:val="0"/>
          <w:numId w:val="1"/>
        </w:numPr>
        <w:tabs>
          <w:tab w:val="left" w:pos="539"/>
        </w:tabs>
        <w:ind w:left="1276" w:right="259" w:hanging="283"/>
        <w:jc w:val="both"/>
        <w:rPr>
          <w:rFonts w:eastAsia="Arial" w:cs="Arial"/>
          <w:color w:val="002060"/>
          <w:lang w:val="fr-FR"/>
        </w:rPr>
      </w:pPr>
      <w:r w:rsidRPr="006F1C7F">
        <w:rPr>
          <w:color w:val="002060"/>
          <w:lang w:val="fr-FR"/>
        </w:rPr>
        <w:t xml:space="preserve">Une contribution au revenu réduite des résultats techniques des activités d’assurance (primes brutes acquises moins charges techniques brutes et résultat de la réassurance cédée : baisse de 6% à 192 millions d’euros), en partie du fait du nombre plus important de déclarations de sinistres. Dans l’assurance non-vie, le ratio combiné s’inscrit à 95% </w:t>
      </w:r>
      <w:proofErr w:type="spellStart"/>
      <w:r w:rsidRPr="006F1C7F">
        <w:rPr>
          <w:i/>
          <w:color w:val="002060"/>
          <w:lang w:val="fr-FR"/>
        </w:rPr>
        <w:t>year</w:t>
      </w:r>
      <w:proofErr w:type="spellEnd"/>
      <w:r w:rsidRPr="006F1C7F">
        <w:rPr>
          <w:i/>
          <w:color w:val="002060"/>
          <w:lang w:val="fr-FR"/>
        </w:rPr>
        <w:t>-to-date</w:t>
      </w:r>
      <w:r w:rsidRPr="006F1C7F">
        <w:rPr>
          <w:color w:val="002060"/>
          <w:lang w:val="fr-FR"/>
        </w:rPr>
        <w:t>. Sur le plan de l'assurance vie, les ventes ont augmenté de près de 30% grâce essentiellement aux produits à taux garantis en Belgique.</w:t>
      </w:r>
    </w:p>
    <w:p w:rsidR="006F1C7F" w:rsidRPr="006F1C7F" w:rsidRDefault="006F1C7F" w:rsidP="006F1C7F">
      <w:pPr>
        <w:pStyle w:val="ListParagraph"/>
        <w:numPr>
          <w:ilvl w:val="0"/>
          <w:numId w:val="1"/>
        </w:numPr>
        <w:tabs>
          <w:tab w:val="left" w:pos="539"/>
        </w:tabs>
        <w:ind w:left="1276" w:right="261" w:hanging="283"/>
        <w:jc w:val="both"/>
        <w:rPr>
          <w:rFonts w:eastAsia="Arial" w:cs="Arial"/>
          <w:color w:val="002060"/>
          <w:lang w:val="fr-FR"/>
        </w:rPr>
      </w:pPr>
      <w:r w:rsidRPr="006F1C7F">
        <w:rPr>
          <w:color w:val="002060"/>
          <w:lang w:val="fr-FR"/>
        </w:rPr>
        <w:t>Une baisse des revenus nets de commissions (-24% à 706 millions d'euros) en raison du net recul des commissions de gestion et des frais d'entrée pour les fonds de placement. À la fin juin 2016, les actifs sous gestion totaux s’élevaient à 207 milliards d’euros, soit une hausse de près de 2% en rythme annuel découlant d'une progression de 2% des entrées nettes et d'une baisse moyenne de 1% du prix.</w:t>
      </w:r>
    </w:p>
    <w:p w:rsidR="006F1C7F" w:rsidRPr="006F1C7F" w:rsidRDefault="006F1C7F" w:rsidP="006F1C7F">
      <w:pPr>
        <w:pStyle w:val="ListParagraph"/>
        <w:numPr>
          <w:ilvl w:val="0"/>
          <w:numId w:val="1"/>
        </w:numPr>
        <w:tabs>
          <w:tab w:val="left" w:pos="542"/>
        </w:tabs>
        <w:ind w:left="1276" w:right="259" w:hanging="283"/>
        <w:jc w:val="both"/>
        <w:rPr>
          <w:rFonts w:eastAsia="Arial" w:cs="Arial"/>
          <w:color w:val="002060"/>
          <w:lang w:val="fr-FR"/>
        </w:rPr>
      </w:pPr>
      <w:r w:rsidRPr="006F1C7F">
        <w:rPr>
          <w:color w:val="002060"/>
          <w:lang w:val="fr-FR"/>
        </w:rPr>
        <w:t>Un niveau globalement stable pour tous les autres éléments de revenus (totalisant 546 millions d’euros),  ce qui inclut une légère hausse du résultat net des instruments financiers à la juste valeur (+5% à 247 millions d'euros), une forte hausse des plus-values nettes réalisées sur les actifs disponibles à la vente (+34% à 155 millions d'euros, grâce au gain sur la vente des actions Visa Europe), une légère baisse du revenu de dividende (-10% à 46 millions d'euros) et une baisse des autres revenus nets (-36% à 98 millions d'euros, dès lors que nous avions bénéficié d'un certain nombre d'éléments positifs non récurrents au deuxième trimestre 2015).</w:t>
      </w:r>
    </w:p>
    <w:p w:rsidR="006F1C7F" w:rsidRPr="006F1C7F" w:rsidRDefault="006F1C7F" w:rsidP="006F1C7F">
      <w:pPr>
        <w:pStyle w:val="ListParagraph"/>
        <w:numPr>
          <w:ilvl w:val="0"/>
          <w:numId w:val="1"/>
        </w:numPr>
        <w:tabs>
          <w:tab w:val="left" w:pos="539"/>
        </w:tabs>
        <w:ind w:left="1276" w:right="262" w:hanging="283"/>
        <w:jc w:val="both"/>
        <w:rPr>
          <w:rFonts w:eastAsia="Arial" w:cs="Arial"/>
          <w:color w:val="002060"/>
          <w:lang w:val="fr-FR"/>
        </w:rPr>
      </w:pPr>
      <w:r w:rsidRPr="006F1C7F">
        <w:rPr>
          <w:color w:val="002060"/>
          <w:lang w:val="fr-FR"/>
        </w:rPr>
        <w:t xml:space="preserve">Un accroissement léger des charges d’exploitation (+1% à 2 090 millions d’euros), imputable pour l’essentiel à l’augmentation des taxes bancaires (en hausse de 11%). Si l'on fait abstraction de ces taxes, les charges d'exploitation ont reculé de 1% par rapport au premier semestre 2015. En conséquence, le ratio charges/revenus s’établit à 59% </w:t>
      </w:r>
      <w:proofErr w:type="spellStart"/>
      <w:r w:rsidRPr="006F1C7F">
        <w:rPr>
          <w:i/>
          <w:color w:val="002060"/>
          <w:lang w:val="fr-FR"/>
        </w:rPr>
        <w:t>year</w:t>
      </w:r>
      <w:proofErr w:type="spellEnd"/>
      <w:r w:rsidRPr="006F1C7F">
        <w:rPr>
          <w:i/>
          <w:color w:val="002060"/>
          <w:lang w:val="fr-FR"/>
        </w:rPr>
        <w:t>-to-date</w:t>
      </w:r>
      <w:r w:rsidRPr="006F1C7F">
        <w:rPr>
          <w:color w:val="002060"/>
          <w:lang w:val="fr-FR"/>
        </w:rPr>
        <w:t>, ou 56% après ajustement des éléments de nature spécifique.</w:t>
      </w:r>
    </w:p>
    <w:p w:rsidR="006F1C7F" w:rsidRPr="006F1C7F" w:rsidRDefault="006F1C7F" w:rsidP="006F1C7F">
      <w:pPr>
        <w:pStyle w:val="ListParagraph"/>
        <w:numPr>
          <w:ilvl w:val="0"/>
          <w:numId w:val="1"/>
        </w:numPr>
        <w:tabs>
          <w:tab w:val="left" w:pos="539"/>
        </w:tabs>
        <w:ind w:left="1276" w:right="268" w:hanging="283"/>
        <w:jc w:val="both"/>
        <w:rPr>
          <w:rFonts w:eastAsia="Arial" w:cs="Arial"/>
          <w:color w:val="002060"/>
          <w:lang w:val="fr-FR"/>
        </w:rPr>
      </w:pPr>
      <w:r w:rsidRPr="006F1C7F">
        <w:rPr>
          <w:color w:val="002060"/>
          <w:lang w:val="fr-FR"/>
        </w:rPr>
        <w:t>Une forte baisse des réductions de valeur pour pertes de crédit (-75% à 54 millions d'euros). Par conséquent, le ratio annualisé de coût du crédit s’est inscrit à un excellent niveau de 0,07% pour l’ensemble du groupe.</w:t>
      </w:r>
    </w:p>
    <w:p w:rsidR="006F1C7F" w:rsidRPr="006F1C7F" w:rsidRDefault="006F1C7F" w:rsidP="007E3194">
      <w:pPr>
        <w:pStyle w:val="ListParagraph"/>
        <w:tabs>
          <w:tab w:val="left" w:pos="539"/>
        </w:tabs>
        <w:ind w:left="1440" w:right="268"/>
        <w:jc w:val="both"/>
        <w:rPr>
          <w:rFonts w:eastAsia="Arial" w:cs="Arial"/>
          <w:color w:val="002060"/>
          <w:lang w:val="fr-FR"/>
        </w:rPr>
      </w:pPr>
    </w:p>
    <w:tbl>
      <w:tblPr>
        <w:tblStyle w:val="TableNormal1"/>
        <w:tblW w:w="10240" w:type="dxa"/>
        <w:tblInd w:w="385" w:type="dxa"/>
        <w:tblLayout w:type="fixed"/>
        <w:tblLook w:val="01E0" w:firstRow="1" w:lastRow="1" w:firstColumn="1" w:lastColumn="1" w:noHBand="0" w:noVBand="0"/>
      </w:tblPr>
      <w:tblGrid>
        <w:gridCol w:w="7012"/>
        <w:gridCol w:w="2213"/>
        <w:gridCol w:w="1015"/>
      </w:tblGrid>
      <w:tr w:rsidR="006F1C7F" w:rsidRPr="009D658B" w:rsidTr="007E3194">
        <w:trPr>
          <w:trHeight w:hRule="exact" w:val="216"/>
        </w:trPr>
        <w:tc>
          <w:tcPr>
            <w:tcW w:w="7012" w:type="dxa"/>
            <w:tcBorders>
              <w:top w:val="nil"/>
              <w:left w:val="nil"/>
              <w:bottom w:val="single" w:sz="8" w:space="0" w:color="808080"/>
              <w:right w:val="nil"/>
            </w:tcBorders>
          </w:tcPr>
          <w:p w:rsidR="006F1C7F" w:rsidRPr="009D658B" w:rsidRDefault="006F1C7F" w:rsidP="0082296B">
            <w:pPr>
              <w:pStyle w:val="TableParagraph"/>
              <w:spacing w:before="41"/>
              <w:ind w:left="108"/>
              <w:rPr>
                <w:rFonts w:eastAsia="Arial" w:cs="Arial"/>
                <w:sz w:val="14"/>
                <w:szCs w:val="14"/>
                <w:lang w:val="fr-FR"/>
              </w:rPr>
            </w:pPr>
            <w:r w:rsidRPr="009D658B">
              <w:rPr>
                <w:b/>
                <w:color w:val="00AFEF"/>
                <w:sz w:val="14"/>
                <w:lang w:val="fr-FR"/>
              </w:rPr>
              <w:t>Ratios sélectionnés pour le Groupe KBC (consolidé)</w:t>
            </w:r>
          </w:p>
        </w:tc>
        <w:tc>
          <w:tcPr>
            <w:tcW w:w="2213" w:type="dxa"/>
            <w:tcBorders>
              <w:top w:val="nil"/>
              <w:left w:val="nil"/>
              <w:bottom w:val="single" w:sz="8" w:space="0" w:color="808080"/>
              <w:right w:val="nil"/>
            </w:tcBorders>
          </w:tcPr>
          <w:p w:rsidR="006F1C7F" w:rsidRPr="009D658B" w:rsidRDefault="006F1C7F" w:rsidP="0082296B">
            <w:pPr>
              <w:pStyle w:val="TableParagraph"/>
              <w:spacing w:before="41"/>
              <w:ind w:right="107"/>
              <w:jc w:val="right"/>
              <w:rPr>
                <w:rFonts w:eastAsia="Arial" w:cs="Arial"/>
                <w:sz w:val="14"/>
                <w:szCs w:val="14"/>
              </w:rPr>
            </w:pPr>
            <w:proofErr w:type="spellStart"/>
            <w:r w:rsidRPr="009D658B">
              <w:rPr>
                <w:b/>
                <w:color w:val="00AFEF"/>
                <w:sz w:val="14"/>
              </w:rPr>
              <w:t>Exercice</w:t>
            </w:r>
            <w:proofErr w:type="spellEnd"/>
            <w:r w:rsidRPr="009D658B">
              <w:rPr>
                <w:b/>
                <w:color w:val="00AFEF"/>
                <w:sz w:val="14"/>
              </w:rPr>
              <w:t xml:space="preserve"> </w:t>
            </w:r>
            <w:proofErr w:type="spellStart"/>
            <w:r w:rsidRPr="009D658B">
              <w:rPr>
                <w:b/>
                <w:color w:val="00AFEF"/>
                <w:sz w:val="14"/>
              </w:rPr>
              <w:t>complet</w:t>
            </w:r>
            <w:proofErr w:type="spellEnd"/>
            <w:r w:rsidRPr="009D658B">
              <w:rPr>
                <w:b/>
                <w:color w:val="00AFEF"/>
                <w:sz w:val="14"/>
              </w:rPr>
              <w:t xml:space="preserve"> 2015</w:t>
            </w:r>
          </w:p>
        </w:tc>
        <w:tc>
          <w:tcPr>
            <w:tcW w:w="1015" w:type="dxa"/>
            <w:tcBorders>
              <w:top w:val="nil"/>
              <w:left w:val="nil"/>
              <w:bottom w:val="single" w:sz="8" w:space="0" w:color="808080"/>
              <w:right w:val="nil"/>
            </w:tcBorders>
          </w:tcPr>
          <w:p w:rsidR="006F1C7F" w:rsidRPr="009D658B" w:rsidRDefault="006F1C7F" w:rsidP="0082296B">
            <w:pPr>
              <w:pStyle w:val="TableParagraph"/>
              <w:spacing w:before="41"/>
              <w:ind w:left="417"/>
              <w:rPr>
                <w:rFonts w:eastAsia="Arial" w:cs="Arial"/>
                <w:sz w:val="14"/>
                <w:szCs w:val="14"/>
              </w:rPr>
            </w:pPr>
            <w:r w:rsidRPr="009D658B">
              <w:rPr>
                <w:b/>
                <w:color w:val="00AFEF"/>
                <w:sz w:val="14"/>
              </w:rPr>
              <w:t>1</w:t>
            </w:r>
            <w:r>
              <w:rPr>
                <w:b/>
                <w:color w:val="00AFEF"/>
                <w:sz w:val="14"/>
              </w:rPr>
              <w:t>S</w:t>
            </w:r>
            <w:r w:rsidRPr="009D658B">
              <w:rPr>
                <w:b/>
                <w:color w:val="00AFEF"/>
                <w:sz w:val="14"/>
              </w:rPr>
              <w:t>2016</w:t>
            </w:r>
          </w:p>
        </w:tc>
      </w:tr>
      <w:tr w:rsidR="006F1C7F" w:rsidRPr="009D658B" w:rsidTr="007E3194">
        <w:trPr>
          <w:trHeight w:hRule="exact" w:val="247"/>
        </w:trPr>
        <w:tc>
          <w:tcPr>
            <w:tcW w:w="7012" w:type="dxa"/>
            <w:tcBorders>
              <w:top w:val="single" w:sz="8" w:space="0" w:color="808080"/>
              <w:left w:val="nil"/>
              <w:bottom w:val="single" w:sz="8" w:space="0" w:color="808080"/>
              <w:right w:val="nil"/>
            </w:tcBorders>
          </w:tcPr>
          <w:p w:rsidR="006F1C7F" w:rsidRPr="009D658B" w:rsidRDefault="006F1C7F" w:rsidP="0082296B">
            <w:pPr>
              <w:pStyle w:val="TableParagraph"/>
              <w:spacing w:before="32"/>
              <w:ind w:left="108"/>
              <w:rPr>
                <w:rFonts w:eastAsia="Arial" w:cs="Arial"/>
                <w:sz w:val="14"/>
                <w:szCs w:val="14"/>
              </w:rPr>
            </w:pPr>
            <w:proofErr w:type="spellStart"/>
            <w:r w:rsidRPr="009D658B">
              <w:rPr>
                <w:sz w:val="14"/>
              </w:rPr>
              <w:t>Rentabilité</w:t>
            </w:r>
            <w:proofErr w:type="spellEnd"/>
            <w:r w:rsidRPr="009D658B">
              <w:rPr>
                <w:sz w:val="14"/>
              </w:rPr>
              <w:t xml:space="preserve"> et </w:t>
            </w:r>
            <w:proofErr w:type="spellStart"/>
            <w:r w:rsidRPr="009D658B">
              <w:rPr>
                <w:sz w:val="14"/>
              </w:rPr>
              <w:t>efficacité</w:t>
            </w:r>
            <w:proofErr w:type="spellEnd"/>
          </w:p>
        </w:tc>
        <w:tc>
          <w:tcPr>
            <w:tcW w:w="2213" w:type="dxa"/>
            <w:tcBorders>
              <w:top w:val="single" w:sz="8" w:space="0" w:color="808080"/>
              <w:left w:val="nil"/>
              <w:bottom w:val="single" w:sz="8" w:space="0" w:color="808080"/>
              <w:right w:val="nil"/>
            </w:tcBorders>
          </w:tcPr>
          <w:p w:rsidR="006F1C7F" w:rsidRPr="009D658B" w:rsidRDefault="006F1C7F" w:rsidP="0082296B"/>
        </w:tc>
        <w:tc>
          <w:tcPr>
            <w:tcW w:w="1015" w:type="dxa"/>
            <w:tcBorders>
              <w:top w:val="single" w:sz="8" w:space="0" w:color="808080"/>
              <w:left w:val="nil"/>
              <w:bottom w:val="single" w:sz="8" w:space="0" w:color="808080"/>
              <w:right w:val="nil"/>
            </w:tcBorders>
            <w:shd w:val="clear" w:color="auto" w:fill="D9D9D9"/>
          </w:tcPr>
          <w:p w:rsidR="006F1C7F" w:rsidRPr="009D658B" w:rsidRDefault="006F1C7F" w:rsidP="0082296B"/>
        </w:tc>
      </w:tr>
      <w:tr w:rsidR="006F1C7F" w:rsidRPr="009D658B" w:rsidTr="007E3194">
        <w:trPr>
          <w:trHeight w:hRule="exact" w:val="244"/>
        </w:trPr>
        <w:tc>
          <w:tcPr>
            <w:tcW w:w="7012" w:type="dxa"/>
            <w:tcBorders>
              <w:top w:val="single" w:sz="8" w:space="0" w:color="808080"/>
              <w:left w:val="nil"/>
              <w:bottom w:val="nil"/>
              <w:right w:val="nil"/>
            </w:tcBorders>
          </w:tcPr>
          <w:p w:rsidR="006F1C7F" w:rsidRPr="009D658B" w:rsidRDefault="006F1C7F" w:rsidP="0082296B">
            <w:pPr>
              <w:pStyle w:val="TableParagraph"/>
              <w:spacing w:before="32"/>
              <w:ind w:left="108"/>
              <w:rPr>
                <w:rFonts w:eastAsia="Arial" w:cs="Arial"/>
                <w:sz w:val="14"/>
                <w:szCs w:val="14"/>
              </w:rPr>
            </w:pPr>
            <w:proofErr w:type="spellStart"/>
            <w:r w:rsidRPr="009D658B">
              <w:rPr>
                <w:sz w:val="14"/>
              </w:rPr>
              <w:t>Rendement</w:t>
            </w:r>
            <w:proofErr w:type="spellEnd"/>
            <w:r w:rsidRPr="009D658B">
              <w:rPr>
                <w:sz w:val="14"/>
              </w:rPr>
              <w:t xml:space="preserve"> </w:t>
            </w:r>
            <w:proofErr w:type="spellStart"/>
            <w:r w:rsidRPr="009D658B">
              <w:rPr>
                <w:sz w:val="14"/>
              </w:rPr>
              <w:t>sur</w:t>
            </w:r>
            <w:proofErr w:type="spellEnd"/>
            <w:r w:rsidRPr="009D658B">
              <w:rPr>
                <w:sz w:val="14"/>
              </w:rPr>
              <w:t xml:space="preserve"> </w:t>
            </w:r>
            <w:proofErr w:type="spellStart"/>
            <w:r w:rsidRPr="009D658B">
              <w:rPr>
                <w:sz w:val="14"/>
              </w:rPr>
              <w:t>capitaux</w:t>
            </w:r>
            <w:proofErr w:type="spellEnd"/>
            <w:r w:rsidRPr="009D658B">
              <w:rPr>
                <w:sz w:val="14"/>
              </w:rPr>
              <w:t xml:space="preserve"> </w:t>
            </w:r>
            <w:proofErr w:type="spellStart"/>
            <w:r w:rsidRPr="009D658B">
              <w:rPr>
                <w:sz w:val="14"/>
              </w:rPr>
              <w:t>propres</w:t>
            </w:r>
            <w:proofErr w:type="spellEnd"/>
          </w:p>
        </w:tc>
        <w:tc>
          <w:tcPr>
            <w:tcW w:w="2213" w:type="dxa"/>
            <w:tcBorders>
              <w:top w:val="single" w:sz="8" w:space="0" w:color="808080"/>
              <w:left w:val="nil"/>
              <w:bottom w:val="nil"/>
              <w:right w:val="nil"/>
            </w:tcBorders>
          </w:tcPr>
          <w:p w:rsidR="006F1C7F" w:rsidRPr="009D658B" w:rsidRDefault="006F1C7F" w:rsidP="0082296B">
            <w:pPr>
              <w:pStyle w:val="TableParagraph"/>
              <w:spacing w:before="32"/>
              <w:ind w:right="110"/>
              <w:jc w:val="right"/>
              <w:rPr>
                <w:rFonts w:eastAsia="Arial" w:cs="Arial"/>
                <w:sz w:val="14"/>
                <w:szCs w:val="14"/>
              </w:rPr>
            </w:pPr>
            <w:r w:rsidRPr="009D658B">
              <w:rPr>
                <w:sz w:val="14"/>
              </w:rPr>
              <w:t>22%</w:t>
            </w:r>
          </w:p>
        </w:tc>
        <w:tc>
          <w:tcPr>
            <w:tcW w:w="1015" w:type="dxa"/>
            <w:tcBorders>
              <w:top w:val="single" w:sz="8" w:space="0" w:color="808080"/>
              <w:left w:val="nil"/>
              <w:bottom w:val="nil"/>
              <w:right w:val="nil"/>
            </w:tcBorders>
            <w:shd w:val="clear" w:color="auto" w:fill="D9D9D9"/>
          </w:tcPr>
          <w:p w:rsidR="006F1C7F" w:rsidRPr="009D658B" w:rsidRDefault="006F1C7F" w:rsidP="0082296B">
            <w:pPr>
              <w:pStyle w:val="TableParagraph"/>
              <w:spacing w:before="32"/>
              <w:ind w:left="626"/>
              <w:rPr>
                <w:rFonts w:eastAsia="Arial" w:cs="Arial"/>
                <w:sz w:val="14"/>
                <w:szCs w:val="14"/>
              </w:rPr>
            </w:pPr>
            <w:r w:rsidRPr="009D658B">
              <w:rPr>
                <w:sz w:val="14"/>
              </w:rPr>
              <w:t>17%</w:t>
            </w:r>
          </w:p>
        </w:tc>
      </w:tr>
      <w:tr w:rsidR="006F1C7F" w:rsidRPr="009D658B" w:rsidTr="007E3194">
        <w:trPr>
          <w:trHeight w:hRule="exact" w:val="227"/>
        </w:trPr>
        <w:tc>
          <w:tcPr>
            <w:tcW w:w="7012" w:type="dxa"/>
            <w:tcBorders>
              <w:top w:val="nil"/>
              <w:left w:val="nil"/>
              <w:bottom w:val="nil"/>
              <w:right w:val="nil"/>
            </w:tcBorders>
          </w:tcPr>
          <w:p w:rsidR="006F1C7F" w:rsidRPr="009D658B" w:rsidRDefault="006F1C7F" w:rsidP="0082296B">
            <w:pPr>
              <w:pStyle w:val="TableParagraph"/>
              <w:spacing w:before="26"/>
              <w:ind w:left="108"/>
              <w:rPr>
                <w:rFonts w:eastAsia="Arial" w:cs="Arial"/>
                <w:sz w:val="14"/>
                <w:szCs w:val="14"/>
                <w:lang w:val="fr-FR"/>
              </w:rPr>
            </w:pPr>
            <w:r w:rsidRPr="009D658B">
              <w:rPr>
                <w:sz w:val="14"/>
                <w:lang w:val="fr-FR"/>
              </w:rPr>
              <w:t>Ratio charges/revenus, activités bancaires</w:t>
            </w:r>
          </w:p>
        </w:tc>
        <w:tc>
          <w:tcPr>
            <w:tcW w:w="2213" w:type="dxa"/>
            <w:tcBorders>
              <w:top w:val="nil"/>
              <w:left w:val="nil"/>
              <w:bottom w:val="nil"/>
              <w:right w:val="nil"/>
            </w:tcBorders>
          </w:tcPr>
          <w:p w:rsidR="006F1C7F" w:rsidRPr="009D658B" w:rsidRDefault="006F1C7F" w:rsidP="0082296B">
            <w:pPr>
              <w:pStyle w:val="TableParagraph"/>
              <w:spacing w:before="26"/>
              <w:ind w:right="110"/>
              <w:jc w:val="right"/>
              <w:rPr>
                <w:rFonts w:eastAsia="Arial" w:cs="Arial"/>
                <w:sz w:val="14"/>
                <w:szCs w:val="14"/>
              </w:rPr>
            </w:pPr>
            <w:r w:rsidRPr="009D658B">
              <w:rPr>
                <w:sz w:val="14"/>
              </w:rPr>
              <w:t>55%</w:t>
            </w:r>
          </w:p>
        </w:tc>
        <w:tc>
          <w:tcPr>
            <w:tcW w:w="1015" w:type="dxa"/>
            <w:tcBorders>
              <w:top w:val="nil"/>
              <w:left w:val="nil"/>
              <w:bottom w:val="nil"/>
              <w:right w:val="nil"/>
            </w:tcBorders>
            <w:shd w:val="clear" w:color="auto" w:fill="D9D9D9"/>
          </w:tcPr>
          <w:p w:rsidR="006F1C7F" w:rsidRPr="009D658B" w:rsidRDefault="006F1C7F" w:rsidP="0082296B">
            <w:pPr>
              <w:pStyle w:val="TableParagraph"/>
              <w:spacing w:before="26"/>
              <w:ind w:left="626"/>
              <w:rPr>
                <w:rFonts w:eastAsia="Arial" w:cs="Arial"/>
                <w:sz w:val="14"/>
                <w:szCs w:val="14"/>
              </w:rPr>
            </w:pPr>
            <w:r w:rsidRPr="009D658B">
              <w:rPr>
                <w:sz w:val="14"/>
              </w:rPr>
              <w:t>59%</w:t>
            </w:r>
          </w:p>
        </w:tc>
      </w:tr>
      <w:tr w:rsidR="006F1C7F" w:rsidRPr="009D658B" w:rsidTr="007E3194">
        <w:trPr>
          <w:trHeight w:hRule="exact" w:val="231"/>
        </w:trPr>
        <w:tc>
          <w:tcPr>
            <w:tcW w:w="7012" w:type="dxa"/>
            <w:tcBorders>
              <w:top w:val="nil"/>
              <w:left w:val="nil"/>
              <w:bottom w:val="single" w:sz="8" w:space="0" w:color="808080"/>
              <w:right w:val="nil"/>
            </w:tcBorders>
          </w:tcPr>
          <w:p w:rsidR="006F1C7F" w:rsidRPr="009D658B" w:rsidRDefault="006F1C7F" w:rsidP="0082296B">
            <w:pPr>
              <w:pStyle w:val="TableParagraph"/>
              <w:spacing w:before="25"/>
              <w:ind w:left="108"/>
              <w:rPr>
                <w:rFonts w:eastAsia="Arial" w:cs="Arial"/>
                <w:sz w:val="14"/>
                <w:szCs w:val="14"/>
                <w:lang w:val="fr-FR"/>
              </w:rPr>
            </w:pPr>
            <w:r w:rsidRPr="009D658B">
              <w:rPr>
                <w:sz w:val="14"/>
                <w:lang w:val="fr-FR"/>
              </w:rPr>
              <w:t>Ratio combiné, assurance non-vie</w:t>
            </w:r>
          </w:p>
        </w:tc>
        <w:tc>
          <w:tcPr>
            <w:tcW w:w="2213" w:type="dxa"/>
            <w:tcBorders>
              <w:top w:val="nil"/>
              <w:left w:val="nil"/>
              <w:bottom w:val="single" w:sz="8" w:space="0" w:color="808080"/>
              <w:right w:val="nil"/>
            </w:tcBorders>
          </w:tcPr>
          <w:p w:rsidR="006F1C7F" w:rsidRPr="009D658B" w:rsidRDefault="006F1C7F" w:rsidP="0082296B">
            <w:pPr>
              <w:pStyle w:val="TableParagraph"/>
              <w:spacing w:before="25"/>
              <w:ind w:right="110"/>
              <w:jc w:val="right"/>
              <w:rPr>
                <w:rFonts w:eastAsia="Arial" w:cs="Arial"/>
                <w:sz w:val="14"/>
                <w:szCs w:val="14"/>
              </w:rPr>
            </w:pPr>
            <w:r w:rsidRPr="009D658B">
              <w:rPr>
                <w:sz w:val="14"/>
              </w:rPr>
              <w:t>91%</w:t>
            </w:r>
          </w:p>
        </w:tc>
        <w:tc>
          <w:tcPr>
            <w:tcW w:w="1015" w:type="dxa"/>
            <w:tcBorders>
              <w:top w:val="nil"/>
              <w:left w:val="nil"/>
              <w:bottom w:val="single" w:sz="8" w:space="0" w:color="808080"/>
              <w:right w:val="nil"/>
            </w:tcBorders>
            <w:shd w:val="clear" w:color="auto" w:fill="D9D9D9"/>
          </w:tcPr>
          <w:p w:rsidR="006F1C7F" w:rsidRPr="009D658B" w:rsidRDefault="006F1C7F" w:rsidP="0082296B">
            <w:pPr>
              <w:pStyle w:val="TableParagraph"/>
              <w:spacing w:before="25"/>
              <w:ind w:left="626"/>
              <w:rPr>
                <w:rFonts w:eastAsia="Arial" w:cs="Arial"/>
                <w:sz w:val="14"/>
                <w:szCs w:val="14"/>
              </w:rPr>
            </w:pPr>
            <w:r w:rsidRPr="009D658B">
              <w:rPr>
                <w:sz w:val="14"/>
              </w:rPr>
              <w:t>95%</w:t>
            </w:r>
          </w:p>
        </w:tc>
      </w:tr>
      <w:tr w:rsidR="006F1C7F" w:rsidRPr="009D658B" w:rsidTr="007E3194">
        <w:trPr>
          <w:trHeight w:hRule="exact" w:val="247"/>
        </w:trPr>
        <w:tc>
          <w:tcPr>
            <w:tcW w:w="7012" w:type="dxa"/>
            <w:tcBorders>
              <w:top w:val="single" w:sz="8" w:space="0" w:color="808080"/>
              <w:left w:val="nil"/>
              <w:bottom w:val="single" w:sz="8" w:space="0" w:color="808080"/>
              <w:right w:val="nil"/>
            </w:tcBorders>
          </w:tcPr>
          <w:p w:rsidR="006F1C7F" w:rsidRPr="009D658B" w:rsidRDefault="006F1C7F" w:rsidP="0082296B">
            <w:pPr>
              <w:pStyle w:val="TableParagraph"/>
              <w:spacing w:before="32"/>
              <w:ind w:left="108"/>
              <w:rPr>
                <w:rFonts w:eastAsia="Arial" w:cs="Arial"/>
                <w:sz w:val="14"/>
                <w:szCs w:val="14"/>
              </w:rPr>
            </w:pPr>
            <w:proofErr w:type="spellStart"/>
            <w:r w:rsidRPr="009D658B">
              <w:rPr>
                <w:sz w:val="14"/>
              </w:rPr>
              <w:t>Solvabilité</w:t>
            </w:r>
            <w:proofErr w:type="spellEnd"/>
          </w:p>
        </w:tc>
        <w:tc>
          <w:tcPr>
            <w:tcW w:w="2213" w:type="dxa"/>
            <w:tcBorders>
              <w:top w:val="single" w:sz="8" w:space="0" w:color="808080"/>
              <w:left w:val="nil"/>
              <w:bottom w:val="single" w:sz="8" w:space="0" w:color="808080"/>
              <w:right w:val="nil"/>
            </w:tcBorders>
          </w:tcPr>
          <w:p w:rsidR="006F1C7F" w:rsidRPr="009D658B" w:rsidRDefault="006F1C7F" w:rsidP="0082296B"/>
        </w:tc>
        <w:tc>
          <w:tcPr>
            <w:tcW w:w="1015" w:type="dxa"/>
            <w:tcBorders>
              <w:top w:val="single" w:sz="8" w:space="0" w:color="808080"/>
              <w:left w:val="nil"/>
              <w:bottom w:val="single" w:sz="8" w:space="0" w:color="808080"/>
              <w:right w:val="nil"/>
            </w:tcBorders>
            <w:shd w:val="clear" w:color="auto" w:fill="D9D9D9"/>
          </w:tcPr>
          <w:p w:rsidR="006F1C7F" w:rsidRPr="009D658B" w:rsidRDefault="006F1C7F" w:rsidP="0082296B"/>
        </w:tc>
      </w:tr>
      <w:tr w:rsidR="006F1C7F" w:rsidRPr="009D658B" w:rsidTr="007E3194">
        <w:trPr>
          <w:trHeight w:hRule="exact" w:val="244"/>
        </w:trPr>
        <w:tc>
          <w:tcPr>
            <w:tcW w:w="7012" w:type="dxa"/>
            <w:tcBorders>
              <w:top w:val="single" w:sz="8" w:space="0" w:color="808080"/>
              <w:left w:val="nil"/>
              <w:bottom w:val="nil"/>
              <w:right w:val="nil"/>
            </w:tcBorders>
          </w:tcPr>
          <w:p w:rsidR="006F1C7F" w:rsidRPr="009D658B" w:rsidRDefault="006F1C7F" w:rsidP="0082296B">
            <w:pPr>
              <w:pStyle w:val="TableParagraph"/>
              <w:spacing w:before="32"/>
              <w:ind w:left="108"/>
              <w:rPr>
                <w:rFonts w:eastAsia="Arial" w:cs="Arial"/>
                <w:sz w:val="14"/>
                <w:szCs w:val="14"/>
              </w:rPr>
            </w:pPr>
            <w:r w:rsidRPr="009D658B">
              <w:rPr>
                <w:sz w:val="14"/>
              </w:rPr>
              <w:t xml:space="preserve">Ratio common equity </w:t>
            </w:r>
            <w:proofErr w:type="spellStart"/>
            <w:r w:rsidRPr="009D658B">
              <w:rPr>
                <w:sz w:val="14"/>
              </w:rPr>
              <w:t>selon</w:t>
            </w:r>
            <w:proofErr w:type="spellEnd"/>
            <w:r w:rsidRPr="009D658B">
              <w:rPr>
                <w:sz w:val="14"/>
              </w:rPr>
              <w:t xml:space="preserve"> </w:t>
            </w:r>
            <w:proofErr w:type="spellStart"/>
            <w:r w:rsidRPr="009D658B">
              <w:rPr>
                <w:sz w:val="14"/>
              </w:rPr>
              <w:t>Bâle</w:t>
            </w:r>
            <w:proofErr w:type="spellEnd"/>
            <w:r w:rsidRPr="009D658B">
              <w:rPr>
                <w:sz w:val="14"/>
              </w:rPr>
              <w:t> III (</w:t>
            </w:r>
            <w:proofErr w:type="spellStart"/>
            <w:r w:rsidRPr="009D658B">
              <w:rPr>
                <w:sz w:val="14"/>
              </w:rPr>
              <w:t>compromis</w:t>
            </w:r>
            <w:proofErr w:type="spellEnd"/>
            <w:r w:rsidRPr="009D658B">
              <w:rPr>
                <w:sz w:val="14"/>
              </w:rPr>
              <w:t xml:space="preserve"> </w:t>
            </w:r>
            <w:proofErr w:type="spellStart"/>
            <w:r w:rsidRPr="009D658B">
              <w:rPr>
                <w:sz w:val="14"/>
              </w:rPr>
              <w:t>danois</w:t>
            </w:r>
            <w:proofErr w:type="spellEnd"/>
            <w:r w:rsidRPr="009D658B">
              <w:rPr>
                <w:sz w:val="14"/>
              </w:rPr>
              <w:t>, phased-in)</w:t>
            </w:r>
          </w:p>
        </w:tc>
        <w:tc>
          <w:tcPr>
            <w:tcW w:w="2213" w:type="dxa"/>
            <w:tcBorders>
              <w:top w:val="single" w:sz="8" w:space="0" w:color="808080"/>
              <w:left w:val="nil"/>
              <w:bottom w:val="nil"/>
              <w:right w:val="nil"/>
            </w:tcBorders>
          </w:tcPr>
          <w:p w:rsidR="006F1C7F" w:rsidRPr="009D658B" w:rsidRDefault="006F1C7F" w:rsidP="0082296B">
            <w:pPr>
              <w:pStyle w:val="TableParagraph"/>
              <w:spacing w:before="32"/>
              <w:ind w:right="107"/>
              <w:jc w:val="right"/>
              <w:rPr>
                <w:rFonts w:eastAsia="Arial" w:cs="Arial"/>
                <w:sz w:val="14"/>
                <w:szCs w:val="14"/>
              </w:rPr>
            </w:pPr>
            <w:r w:rsidRPr="009D658B">
              <w:rPr>
                <w:sz w:val="14"/>
              </w:rPr>
              <w:t>15.2%</w:t>
            </w:r>
          </w:p>
        </w:tc>
        <w:tc>
          <w:tcPr>
            <w:tcW w:w="1015" w:type="dxa"/>
            <w:tcBorders>
              <w:top w:val="single" w:sz="8" w:space="0" w:color="808080"/>
              <w:left w:val="nil"/>
              <w:bottom w:val="nil"/>
              <w:right w:val="nil"/>
            </w:tcBorders>
            <w:shd w:val="clear" w:color="auto" w:fill="D9D9D9"/>
          </w:tcPr>
          <w:p w:rsidR="006F1C7F" w:rsidRPr="009D658B" w:rsidRDefault="006F1C7F" w:rsidP="0082296B">
            <w:pPr>
              <w:pStyle w:val="TableParagraph"/>
              <w:spacing w:before="32"/>
              <w:ind w:left="511"/>
              <w:rPr>
                <w:rFonts w:eastAsia="Arial" w:cs="Arial"/>
                <w:sz w:val="14"/>
                <w:szCs w:val="14"/>
              </w:rPr>
            </w:pPr>
            <w:r w:rsidRPr="009D658B">
              <w:rPr>
                <w:sz w:val="14"/>
              </w:rPr>
              <w:t>14.9%</w:t>
            </w:r>
          </w:p>
        </w:tc>
      </w:tr>
      <w:tr w:rsidR="006F1C7F" w:rsidRPr="009D658B" w:rsidTr="007E3194">
        <w:trPr>
          <w:trHeight w:hRule="exact" w:val="227"/>
        </w:trPr>
        <w:tc>
          <w:tcPr>
            <w:tcW w:w="7012" w:type="dxa"/>
            <w:tcBorders>
              <w:top w:val="nil"/>
              <w:left w:val="nil"/>
              <w:bottom w:val="nil"/>
              <w:right w:val="nil"/>
            </w:tcBorders>
          </w:tcPr>
          <w:p w:rsidR="006F1C7F" w:rsidRPr="009D658B" w:rsidRDefault="006F1C7F" w:rsidP="0082296B">
            <w:pPr>
              <w:pStyle w:val="TableParagraph"/>
              <w:spacing w:before="26"/>
              <w:ind w:left="108"/>
              <w:rPr>
                <w:rFonts w:eastAsia="Arial" w:cs="Arial"/>
                <w:sz w:val="14"/>
                <w:szCs w:val="14"/>
                <w:lang w:val="fr-FR"/>
              </w:rPr>
            </w:pPr>
            <w:r w:rsidRPr="009D658B">
              <w:rPr>
                <w:sz w:val="14"/>
                <w:lang w:val="fr-FR"/>
              </w:rPr>
              <w:t xml:space="preserve">Ratio </w:t>
            </w:r>
            <w:proofErr w:type="spellStart"/>
            <w:r w:rsidRPr="009D658B">
              <w:rPr>
                <w:sz w:val="14"/>
                <w:lang w:val="fr-FR"/>
              </w:rPr>
              <w:t>common</w:t>
            </w:r>
            <w:proofErr w:type="spellEnd"/>
            <w:r w:rsidRPr="009D658B">
              <w:rPr>
                <w:sz w:val="14"/>
                <w:lang w:val="fr-FR"/>
              </w:rPr>
              <w:t xml:space="preserve"> </w:t>
            </w:r>
            <w:proofErr w:type="spellStart"/>
            <w:r w:rsidRPr="009D658B">
              <w:rPr>
                <w:sz w:val="14"/>
                <w:lang w:val="fr-FR"/>
              </w:rPr>
              <w:t>equity</w:t>
            </w:r>
            <w:proofErr w:type="spellEnd"/>
            <w:r w:rsidRPr="009D658B">
              <w:rPr>
                <w:sz w:val="14"/>
                <w:lang w:val="fr-FR"/>
              </w:rPr>
              <w:t xml:space="preserve"> selon Bâle III (compromis danois, à pleine charge)</w:t>
            </w:r>
          </w:p>
        </w:tc>
        <w:tc>
          <w:tcPr>
            <w:tcW w:w="2213" w:type="dxa"/>
            <w:tcBorders>
              <w:top w:val="nil"/>
              <w:left w:val="nil"/>
              <w:bottom w:val="nil"/>
              <w:right w:val="nil"/>
            </w:tcBorders>
          </w:tcPr>
          <w:p w:rsidR="006F1C7F" w:rsidRPr="009D658B" w:rsidRDefault="006F1C7F" w:rsidP="0082296B">
            <w:pPr>
              <w:pStyle w:val="TableParagraph"/>
              <w:spacing w:before="26"/>
              <w:ind w:right="107"/>
              <w:jc w:val="right"/>
              <w:rPr>
                <w:rFonts w:eastAsia="Arial" w:cs="Arial"/>
                <w:sz w:val="14"/>
                <w:szCs w:val="14"/>
              </w:rPr>
            </w:pPr>
            <w:r w:rsidRPr="009D658B">
              <w:rPr>
                <w:sz w:val="14"/>
              </w:rPr>
              <w:t>14.9%</w:t>
            </w:r>
          </w:p>
        </w:tc>
        <w:tc>
          <w:tcPr>
            <w:tcW w:w="1015" w:type="dxa"/>
            <w:tcBorders>
              <w:top w:val="nil"/>
              <w:left w:val="nil"/>
              <w:bottom w:val="nil"/>
              <w:right w:val="nil"/>
            </w:tcBorders>
            <w:shd w:val="clear" w:color="auto" w:fill="D9D9D9"/>
          </w:tcPr>
          <w:p w:rsidR="006F1C7F" w:rsidRPr="009D658B" w:rsidRDefault="006F1C7F" w:rsidP="0082296B">
            <w:pPr>
              <w:pStyle w:val="TableParagraph"/>
              <w:spacing w:before="26"/>
              <w:ind w:left="511"/>
              <w:rPr>
                <w:rFonts w:eastAsia="Arial" w:cs="Arial"/>
                <w:sz w:val="14"/>
                <w:szCs w:val="14"/>
              </w:rPr>
            </w:pPr>
            <w:r w:rsidRPr="009D658B">
              <w:rPr>
                <w:sz w:val="14"/>
              </w:rPr>
              <w:t>14.9%</w:t>
            </w:r>
          </w:p>
        </w:tc>
      </w:tr>
      <w:tr w:rsidR="006F1C7F" w:rsidRPr="009D658B" w:rsidTr="007E3194">
        <w:trPr>
          <w:trHeight w:hRule="exact" w:val="227"/>
        </w:trPr>
        <w:tc>
          <w:tcPr>
            <w:tcW w:w="7012" w:type="dxa"/>
            <w:tcBorders>
              <w:top w:val="nil"/>
              <w:left w:val="nil"/>
              <w:bottom w:val="nil"/>
              <w:right w:val="nil"/>
            </w:tcBorders>
          </w:tcPr>
          <w:p w:rsidR="006F1C7F" w:rsidRPr="009D658B" w:rsidRDefault="006F1C7F" w:rsidP="0082296B">
            <w:pPr>
              <w:pStyle w:val="TableParagraph"/>
              <w:spacing w:before="24"/>
              <w:ind w:left="108"/>
              <w:rPr>
                <w:rFonts w:eastAsia="Arial" w:cs="Arial"/>
                <w:sz w:val="14"/>
                <w:szCs w:val="14"/>
                <w:lang w:val="fr-FR"/>
              </w:rPr>
            </w:pPr>
            <w:r w:rsidRPr="009D658B">
              <w:rPr>
                <w:sz w:val="14"/>
                <w:lang w:val="fr-FR"/>
              </w:rPr>
              <w:t xml:space="preserve">Ratio </w:t>
            </w:r>
            <w:proofErr w:type="spellStart"/>
            <w:r w:rsidRPr="009D658B">
              <w:rPr>
                <w:sz w:val="14"/>
                <w:lang w:val="fr-FR"/>
              </w:rPr>
              <w:t>common</w:t>
            </w:r>
            <w:proofErr w:type="spellEnd"/>
            <w:r w:rsidRPr="009D658B">
              <w:rPr>
                <w:sz w:val="14"/>
                <w:lang w:val="fr-FR"/>
              </w:rPr>
              <w:t xml:space="preserve"> </w:t>
            </w:r>
            <w:proofErr w:type="spellStart"/>
            <w:r w:rsidRPr="009D658B">
              <w:rPr>
                <w:sz w:val="14"/>
                <w:lang w:val="fr-FR"/>
              </w:rPr>
              <w:t>equity</w:t>
            </w:r>
            <w:proofErr w:type="spellEnd"/>
            <w:r w:rsidRPr="009D658B">
              <w:rPr>
                <w:sz w:val="14"/>
                <w:lang w:val="fr-FR"/>
              </w:rPr>
              <w:t xml:space="preserve"> selon la méthode FICOD (à pleine charge)</w:t>
            </w:r>
          </w:p>
        </w:tc>
        <w:tc>
          <w:tcPr>
            <w:tcW w:w="2213" w:type="dxa"/>
            <w:tcBorders>
              <w:top w:val="nil"/>
              <w:left w:val="nil"/>
              <w:bottom w:val="nil"/>
              <w:right w:val="nil"/>
            </w:tcBorders>
          </w:tcPr>
          <w:p w:rsidR="006F1C7F" w:rsidRPr="009D658B" w:rsidRDefault="006F1C7F" w:rsidP="0082296B">
            <w:pPr>
              <w:pStyle w:val="TableParagraph"/>
              <w:spacing w:before="24"/>
              <w:ind w:right="107"/>
              <w:jc w:val="right"/>
              <w:rPr>
                <w:rFonts w:eastAsia="Arial" w:cs="Arial"/>
                <w:sz w:val="14"/>
                <w:szCs w:val="14"/>
              </w:rPr>
            </w:pPr>
            <w:r w:rsidRPr="009D658B">
              <w:rPr>
                <w:sz w:val="14"/>
              </w:rPr>
              <w:t>14.0%</w:t>
            </w:r>
          </w:p>
        </w:tc>
        <w:tc>
          <w:tcPr>
            <w:tcW w:w="1015" w:type="dxa"/>
            <w:tcBorders>
              <w:top w:val="nil"/>
              <w:left w:val="nil"/>
              <w:bottom w:val="nil"/>
              <w:right w:val="nil"/>
            </w:tcBorders>
            <w:shd w:val="clear" w:color="auto" w:fill="D9D9D9"/>
          </w:tcPr>
          <w:p w:rsidR="006F1C7F" w:rsidRPr="009D658B" w:rsidRDefault="006F1C7F" w:rsidP="0082296B">
            <w:pPr>
              <w:pStyle w:val="TableParagraph"/>
              <w:spacing w:before="24"/>
              <w:ind w:left="511"/>
              <w:rPr>
                <w:rFonts w:eastAsia="Arial" w:cs="Arial"/>
                <w:sz w:val="14"/>
                <w:szCs w:val="14"/>
              </w:rPr>
            </w:pPr>
            <w:r w:rsidRPr="009D658B">
              <w:rPr>
                <w:sz w:val="14"/>
              </w:rPr>
              <w:t>13.5%</w:t>
            </w:r>
          </w:p>
        </w:tc>
      </w:tr>
      <w:tr w:rsidR="006F1C7F" w:rsidRPr="009D658B" w:rsidTr="007E3194">
        <w:trPr>
          <w:trHeight w:hRule="exact" w:val="232"/>
        </w:trPr>
        <w:tc>
          <w:tcPr>
            <w:tcW w:w="7012" w:type="dxa"/>
            <w:tcBorders>
              <w:top w:val="nil"/>
              <w:left w:val="nil"/>
              <w:bottom w:val="single" w:sz="8" w:space="0" w:color="808080"/>
              <w:right w:val="nil"/>
            </w:tcBorders>
          </w:tcPr>
          <w:p w:rsidR="006F1C7F" w:rsidRPr="009D658B" w:rsidRDefault="006F1C7F" w:rsidP="0082296B">
            <w:pPr>
              <w:pStyle w:val="TableParagraph"/>
              <w:spacing w:before="26"/>
              <w:ind w:left="108"/>
              <w:rPr>
                <w:rFonts w:eastAsia="Arial" w:cs="Arial"/>
                <w:sz w:val="14"/>
                <w:szCs w:val="14"/>
                <w:lang w:val="fr-FR"/>
              </w:rPr>
            </w:pPr>
            <w:r w:rsidRPr="009D658B">
              <w:rPr>
                <w:sz w:val="14"/>
                <w:lang w:val="fr-FR"/>
              </w:rPr>
              <w:t>Ratio de levier financier selon Bâle III (à pleine charge)</w:t>
            </w:r>
          </w:p>
        </w:tc>
        <w:tc>
          <w:tcPr>
            <w:tcW w:w="2213" w:type="dxa"/>
            <w:tcBorders>
              <w:top w:val="nil"/>
              <w:left w:val="nil"/>
              <w:bottom w:val="single" w:sz="8" w:space="0" w:color="808080"/>
              <w:right w:val="nil"/>
            </w:tcBorders>
          </w:tcPr>
          <w:p w:rsidR="006F1C7F" w:rsidRPr="009D658B" w:rsidRDefault="006F1C7F" w:rsidP="0082296B">
            <w:pPr>
              <w:pStyle w:val="TableParagraph"/>
              <w:spacing w:before="26"/>
              <w:ind w:right="107"/>
              <w:jc w:val="right"/>
              <w:rPr>
                <w:rFonts w:eastAsia="Arial" w:cs="Arial"/>
                <w:sz w:val="14"/>
                <w:szCs w:val="14"/>
              </w:rPr>
            </w:pPr>
            <w:r w:rsidRPr="009D658B">
              <w:rPr>
                <w:sz w:val="14"/>
              </w:rPr>
              <w:t>6.3%</w:t>
            </w:r>
          </w:p>
        </w:tc>
        <w:tc>
          <w:tcPr>
            <w:tcW w:w="1015" w:type="dxa"/>
            <w:tcBorders>
              <w:top w:val="nil"/>
              <w:left w:val="nil"/>
              <w:bottom w:val="single" w:sz="8" w:space="0" w:color="808080"/>
              <w:right w:val="nil"/>
            </w:tcBorders>
            <w:shd w:val="clear" w:color="auto" w:fill="D9D9D9"/>
          </w:tcPr>
          <w:p w:rsidR="006F1C7F" w:rsidRPr="009D658B" w:rsidRDefault="006F1C7F" w:rsidP="0082296B">
            <w:pPr>
              <w:pStyle w:val="TableParagraph"/>
              <w:spacing w:before="26"/>
              <w:ind w:left="587"/>
              <w:rPr>
                <w:rFonts w:eastAsia="Arial" w:cs="Arial"/>
                <w:sz w:val="14"/>
                <w:szCs w:val="14"/>
              </w:rPr>
            </w:pPr>
            <w:r w:rsidRPr="009D658B">
              <w:rPr>
                <w:sz w:val="14"/>
              </w:rPr>
              <w:t>6.0%</w:t>
            </w:r>
          </w:p>
        </w:tc>
      </w:tr>
      <w:tr w:rsidR="006F1C7F" w:rsidRPr="009D658B" w:rsidTr="007E3194">
        <w:trPr>
          <w:trHeight w:hRule="exact" w:val="247"/>
        </w:trPr>
        <w:tc>
          <w:tcPr>
            <w:tcW w:w="7012" w:type="dxa"/>
            <w:tcBorders>
              <w:top w:val="single" w:sz="8" w:space="0" w:color="808080"/>
              <w:left w:val="nil"/>
              <w:bottom w:val="single" w:sz="8" w:space="0" w:color="808080"/>
              <w:right w:val="nil"/>
            </w:tcBorders>
          </w:tcPr>
          <w:p w:rsidR="006F1C7F" w:rsidRPr="009D658B" w:rsidRDefault="006F1C7F" w:rsidP="0082296B">
            <w:pPr>
              <w:pStyle w:val="TableParagraph"/>
              <w:spacing w:before="32"/>
              <w:ind w:left="108"/>
              <w:rPr>
                <w:rFonts w:eastAsia="Arial" w:cs="Arial"/>
                <w:sz w:val="14"/>
                <w:szCs w:val="14"/>
              </w:rPr>
            </w:pPr>
            <w:proofErr w:type="spellStart"/>
            <w:r w:rsidRPr="009D658B">
              <w:rPr>
                <w:sz w:val="14"/>
              </w:rPr>
              <w:t>Risque</w:t>
            </w:r>
            <w:proofErr w:type="spellEnd"/>
            <w:r w:rsidRPr="009D658B">
              <w:rPr>
                <w:sz w:val="14"/>
              </w:rPr>
              <w:t xml:space="preserve"> de </w:t>
            </w:r>
            <w:proofErr w:type="spellStart"/>
            <w:r w:rsidRPr="009D658B">
              <w:rPr>
                <w:sz w:val="14"/>
              </w:rPr>
              <w:t>crédit</w:t>
            </w:r>
            <w:proofErr w:type="spellEnd"/>
          </w:p>
        </w:tc>
        <w:tc>
          <w:tcPr>
            <w:tcW w:w="2213" w:type="dxa"/>
            <w:tcBorders>
              <w:top w:val="single" w:sz="8" w:space="0" w:color="808080"/>
              <w:left w:val="nil"/>
              <w:bottom w:val="single" w:sz="8" w:space="0" w:color="808080"/>
              <w:right w:val="nil"/>
            </w:tcBorders>
          </w:tcPr>
          <w:p w:rsidR="006F1C7F" w:rsidRPr="009D658B" w:rsidRDefault="006F1C7F" w:rsidP="0082296B"/>
        </w:tc>
        <w:tc>
          <w:tcPr>
            <w:tcW w:w="1015" w:type="dxa"/>
            <w:tcBorders>
              <w:top w:val="single" w:sz="8" w:space="0" w:color="808080"/>
              <w:left w:val="nil"/>
              <w:bottom w:val="single" w:sz="8" w:space="0" w:color="808080"/>
              <w:right w:val="nil"/>
            </w:tcBorders>
            <w:shd w:val="clear" w:color="auto" w:fill="D9D9D9"/>
          </w:tcPr>
          <w:p w:rsidR="006F1C7F" w:rsidRPr="009D658B" w:rsidRDefault="006F1C7F" w:rsidP="0082296B"/>
        </w:tc>
      </w:tr>
      <w:tr w:rsidR="006F1C7F" w:rsidRPr="009D658B" w:rsidTr="007E3194">
        <w:trPr>
          <w:trHeight w:hRule="exact" w:val="242"/>
        </w:trPr>
        <w:tc>
          <w:tcPr>
            <w:tcW w:w="7012" w:type="dxa"/>
            <w:tcBorders>
              <w:top w:val="single" w:sz="8" w:space="0" w:color="808080"/>
              <w:left w:val="nil"/>
              <w:bottom w:val="nil"/>
              <w:right w:val="nil"/>
            </w:tcBorders>
          </w:tcPr>
          <w:p w:rsidR="006F1C7F" w:rsidRPr="009D658B" w:rsidRDefault="006F1C7F" w:rsidP="0082296B">
            <w:pPr>
              <w:pStyle w:val="TableParagraph"/>
              <w:spacing w:before="32"/>
              <w:ind w:left="108"/>
              <w:rPr>
                <w:rFonts w:eastAsia="Arial" w:cs="Arial"/>
                <w:sz w:val="14"/>
                <w:szCs w:val="14"/>
                <w:lang w:val="fr-FR"/>
              </w:rPr>
            </w:pPr>
            <w:r w:rsidRPr="009D658B">
              <w:rPr>
                <w:sz w:val="14"/>
                <w:lang w:val="fr-FR"/>
              </w:rPr>
              <w:t>Ratio de pertes sur crédits</w:t>
            </w:r>
          </w:p>
        </w:tc>
        <w:tc>
          <w:tcPr>
            <w:tcW w:w="2213" w:type="dxa"/>
            <w:tcBorders>
              <w:top w:val="single" w:sz="8" w:space="0" w:color="808080"/>
              <w:left w:val="nil"/>
              <w:bottom w:val="nil"/>
              <w:right w:val="nil"/>
            </w:tcBorders>
          </w:tcPr>
          <w:p w:rsidR="006F1C7F" w:rsidRPr="009D658B" w:rsidRDefault="006F1C7F" w:rsidP="0082296B">
            <w:pPr>
              <w:pStyle w:val="TableParagraph"/>
              <w:spacing w:before="32"/>
              <w:ind w:right="107"/>
              <w:jc w:val="right"/>
              <w:rPr>
                <w:rFonts w:eastAsia="Arial" w:cs="Arial"/>
                <w:sz w:val="14"/>
                <w:szCs w:val="14"/>
              </w:rPr>
            </w:pPr>
            <w:r w:rsidRPr="009D658B">
              <w:rPr>
                <w:sz w:val="14"/>
              </w:rPr>
              <w:t>0.23%</w:t>
            </w:r>
          </w:p>
        </w:tc>
        <w:tc>
          <w:tcPr>
            <w:tcW w:w="1015" w:type="dxa"/>
            <w:tcBorders>
              <w:top w:val="single" w:sz="8" w:space="0" w:color="808080"/>
              <w:left w:val="nil"/>
              <w:bottom w:val="nil"/>
              <w:right w:val="nil"/>
            </w:tcBorders>
            <w:shd w:val="clear" w:color="auto" w:fill="D9D9D9"/>
          </w:tcPr>
          <w:p w:rsidR="006F1C7F" w:rsidRPr="009D658B" w:rsidRDefault="006F1C7F" w:rsidP="0082296B">
            <w:pPr>
              <w:pStyle w:val="TableParagraph"/>
              <w:spacing w:before="32"/>
              <w:ind w:left="511"/>
              <w:rPr>
                <w:rFonts w:eastAsia="Arial" w:cs="Arial"/>
                <w:sz w:val="14"/>
                <w:szCs w:val="14"/>
              </w:rPr>
            </w:pPr>
            <w:r w:rsidRPr="009D658B">
              <w:rPr>
                <w:sz w:val="14"/>
              </w:rPr>
              <w:t>0.07%</w:t>
            </w:r>
          </w:p>
        </w:tc>
      </w:tr>
      <w:tr w:rsidR="006F1C7F" w:rsidRPr="009D658B" w:rsidTr="007E3194">
        <w:trPr>
          <w:trHeight w:hRule="exact" w:val="227"/>
        </w:trPr>
        <w:tc>
          <w:tcPr>
            <w:tcW w:w="7012" w:type="dxa"/>
            <w:tcBorders>
              <w:top w:val="nil"/>
              <w:left w:val="nil"/>
              <w:bottom w:val="nil"/>
              <w:right w:val="nil"/>
            </w:tcBorders>
          </w:tcPr>
          <w:p w:rsidR="006F1C7F" w:rsidRPr="009D658B" w:rsidRDefault="006F1C7F" w:rsidP="0082296B">
            <w:pPr>
              <w:pStyle w:val="TableParagraph"/>
              <w:spacing w:before="24"/>
              <w:ind w:left="108"/>
              <w:rPr>
                <w:rFonts w:eastAsia="Arial" w:cs="Arial"/>
                <w:sz w:val="14"/>
                <w:szCs w:val="14"/>
              </w:rPr>
            </w:pPr>
            <w:r w:rsidRPr="009D658B">
              <w:rPr>
                <w:sz w:val="14"/>
              </w:rPr>
              <w:t xml:space="preserve">Ratio de </w:t>
            </w:r>
            <w:proofErr w:type="spellStart"/>
            <w:r w:rsidRPr="009D658B">
              <w:rPr>
                <w:sz w:val="14"/>
              </w:rPr>
              <w:t>crédits</w:t>
            </w:r>
            <w:proofErr w:type="spellEnd"/>
            <w:r w:rsidRPr="009D658B">
              <w:rPr>
                <w:sz w:val="14"/>
              </w:rPr>
              <w:t xml:space="preserve"> impaired</w:t>
            </w:r>
          </w:p>
        </w:tc>
        <w:tc>
          <w:tcPr>
            <w:tcW w:w="2213" w:type="dxa"/>
            <w:tcBorders>
              <w:top w:val="nil"/>
              <w:left w:val="nil"/>
              <w:bottom w:val="nil"/>
              <w:right w:val="nil"/>
            </w:tcBorders>
          </w:tcPr>
          <w:p w:rsidR="006F1C7F" w:rsidRPr="009D658B" w:rsidRDefault="006F1C7F" w:rsidP="0082296B">
            <w:pPr>
              <w:pStyle w:val="TableParagraph"/>
              <w:spacing w:before="24"/>
              <w:ind w:right="109"/>
              <w:jc w:val="right"/>
              <w:rPr>
                <w:rFonts w:eastAsia="Arial" w:cs="Arial"/>
                <w:sz w:val="14"/>
                <w:szCs w:val="14"/>
              </w:rPr>
            </w:pPr>
            <w:r w:rsidRPr="009D658B">
              <w:rPr>
                <w:sz w:val="14"/>
              </w:rPr>
              <w:t>8.6%</w:t>
            </w:r>
          </w:p>
        </w:tc>
        <w:tc>
          <w:tcPr>
            <w:tcW w:w="1015" w:type="dxa"/>
            <w:tcBorders>
              <w:top w:val="nil"/>
              <w:left w:val="nil"/>
              <w:bottom w:val="nil"/>
              <w:right w:val="nil"/>
            </w:tcBorders>
            <w:shd w:val="clear" w:color="auto" w:fill="D9D9D9"/>
          </w:tcPr>
          <w:p w:rsidR="006F1C7F" w:rsidRPr="009D658B" w:rsidRDefault="006F1C7F" w:rsidP="0082296B">
            <w:pPr>
              <w:pStyle w:val="TableParagraph"/>
              <w:spacing w:before="24"/>
              <w:ind w:left="587"/>
              <w:rPr>
                <w:rFonts w:eastAsia="Arial" w:cs="Arial"/>
                <w:sz w:val="14"/>
                <w:szCs w:val="14"/>
              </w:rPr>
            </w:pPr>
            <w:r w:rsidRPr="009D658B">
              <w:rPr>
                <w:sz w:val="14"/>
              </w:rPr>
              <w:t>7.8%</w:t>
            </w:r>
          </w:p>
        </w:tc>
      </w:tr>
      <w:tr w:rsidR="006F1C7F" w:rsidRPr="009D658B" w:rsidTr="007E3194">
        <w:trPr>
          <w:trHeight w:hRule="exact" w:val="232"/>
        </w:trPr>
        <w:tc>
          <w:tcPr>
            <w:tcW w:w="7012" w:type="dxa"/>
            <w:tcBorders>
              <w:top w:val="nil"/>
              <w:left w:val="nil"/>
              <w:bottom w:val="single" w:sz="8" w:space="0" w:color="808080"/>
              <w:right w:val="nil"/>
            </w:tcBorders>
          </w:tcPr>
          <w:p w:rsidR="006F1C7F" w:rsidRPr="009D658B" w:rsidRDefault="006F1C7F" w:rsidP="0082296B">
            <w:pPr>
              <w:pStyle w:val="TableParagraph"/>
              <w:spacing w:before="26"/>
              <w:ind w:left="300"/>
              <w:rPr>
                <w:rFonts w:eastAsia="Arial" w:cs="Arial"/>
                <w:sz w:val="14"/>
                <w:szCs w:val="14"/>
                <w:lang w:val="fr-FR"/>
              </w:rPr>
            </w:pPr>
            <w:r w:rsidRPr="009D658B">
              <w:rPr>
                <w:sz w:val="14"/>
                <w:lang w:val="fr-FR"/>
              </w:rPr>
              <w:t>pour les crédits présentant un arriéré de plus de 90 jours</w:t>
            </w:r>
          </w:p>
        </w:tc>
        <w:tc>
          <w:tcPr>
            <w:tcW w:w="2213" w:type="dxa"/>
            <w:tcBorders>
              <w:top w:val="nil"/>
              <w:left w:val="nil"/>
              <w:bottom w:val="single" w:sz="8" w:space="0" w:color="808080"/>
              <w:right w:val="nil"/>
            </w:tcBorders>
          </w:tcPr>
          <w:p w:rsidR="006F1C7F" w:rsidRPr="009D658B" w:rsidRDefault="006F1C7F" w:rsidP="0082296B">
            <w:pPr>
              <w:pStyle w:val="TableParagraph"/>
              <w:spacing w:before="26"/>
              <w:ind w:right="109"/>
              <w:jc w:val="right"/>
              <w:rPr>
                <w:rFonts w:eastAsia="Arial" w:cs="Arial"/>
                <w:sz w:val="14"/>
                <w:szCs w:val="14"/>
              </w:rPr>
            </w:pPr>
            <w:r w:rsidRPr="009D658B">
              <w:rPr>
                <w:sz w:val="14"/>
              </w:rPr>
              <w:t>4.8%</w:t>
            </w:r>
          </w:p>
        </w:tc>
        <w:tc>
          <w:tcPr>
            <w:tcW w:w="1015" w:type="dxa"/>
            <w:tcBorders>
              <w:top w:val="nil"/>
              <w:left w:val="nil"/>
              <w:bottom w:val="single" w:sz="8" w:space="0" w:color="808080"/>
              <w:right w:val="nil"/>
            </w:tcBorders>
            <w:shd w:val="clear" w:color="auto" w:fill="D9D9D9"/>
          </w:tcPr>
          <w:p w:rsidR="006F1C7F" w:rsidRPr="009D658B" w:rsidRDefault="006F1C7F" w:rsidP="0082296B">
            <w:pPr>
              <w:pStyle w:val="TableParagraph"/>
              <w:spacing w:before="26"/>
              <w:ind w:left="587"/>
              <w:rPr>
                <w:rFonts w:eastAsia="Arial" w:cs="Arial"/>
                <w:sz w:val="14"/>
                <w:szCs w:val="14"/>
              </w:rPr>
            </w:pPr>
            <w:r w:rsidRPr="009D658B">
              <w:rPr>
                <w:sz w:val="14"/>
              </w:rPr>
              <w:t>4.4%</w:t>
            </w:r>
          </w:p>
        </w:tc>
      </w:tr>
      <w:tr w:rsidR="006F1C7F" w:rsidRPr="009D658B" w:rsidTr="007E3194">
        <w:trPr>
          <w:trHeight w:hRule="exact" w:val="247"/>
        </w:trPr>
        <w:tc>
          <w:tcPr>
            <w:tcW w:w="7012" w:type="dxa"/>
            <w:tcBorders>
              <w:top w:val="single" w:sz="8" w:space="0" w:color="808080"/>
              <w:left w:val="nil"/>
              <w:bottom w:val="single" w:sz="8" w:space="0" w:color="808080"/>
              <w:right w:val="nil"/>
            </w:tcBorders>
          </w:tcPr>
          <w:p w:rsidR="006F1C7F" w:rsidRPr="009D658B" w:rsidRDefault="006F1C7F" w:rsidP="0082296B">
            <w:pPr>
              <w:pStyle w:val="TableParagraph"/>
              <w:spacing w:before="32"/>
              <w:ind w:left="108"/>
              <w:rPr>
                <w:rFonts w:eastAsia="Arial" w:cs="Arial"/>
                <w:sz w:val="14"/>
                <w:szCs w:val="14"/>
              </w:rPr>
            </w:pPr>
            <w:proofErr w:type="spellStart"/>
            <w:r w:rsidRPr="009D658B">
              <w:rPr>
                <w:sz w:val="14"/>
              </w:rPr>
              <w:t>Liquidité</w:t>
            </w:r>
            <w:proofErr w:type="spellEnd"/>
          </w:p>
        </w:tc>
        <w:tc>
          <w:tcPr>
            <w:tcW w:w="2213" w:type="dxa"/>
            <w:tcBorders>
              <w:top w:val="single" w:sz="8" w:space="0" w:color="808080"/>
              <w:left w:val="nil"/>
              <w:bottom w:val="single" w:sz="8" w:space="0" w:color="808080"/>
              <w:right w:val="nil"/>
            </w:tcBorders>
          </w:tcPr>
          <w:p w:rsidR="006F1C7F" w:rsidRPr="009D658B" w:rsidRDefault="006F1C7F" w:rsidP="0082296B"/>
        </w:tc>
        <w:tc>
          <w:tcPr>
            <w:tcW w:w="1015" w:type="dxa"/>
            <w:tcBorders>
              <w:top w:val="single" w:sz="8" w:space="0" w:color="808080"/>
              <w:left w:val="nil"/>
              <w:bottom w:val="single" w:sz="8" w:space="0" w:color="808080"/>
              <w:right w:val="nil"/>
            </w:tcBorders>
            <w:shd w:val="clear" w:color="auto" w:fill="D9D9D9"/>
          </w:tcPr>
          <w:p w:rsidR="006F1C7F" w:rsidRPr="009D658B" w:rsidRDefault="006F1C7F" w:rsidP="0082296B"/>
        </w:tc>
      </w:tr>
      <w:tr w:rsidR="006F1C7F" w:rsidRPr="009D658B" w:rsidTr="007E3194">
        <w:trPr>
          <w:trHeight w:hRule="exact" w:val="242"/>
        </w:trPr>
        <w:tc>
          <w:tcPr>
            <w:tcW w:w="7012" w:type="dxa"/>
            <w:tcBorders>
              <w:top w:val="single" w:sz="8" w:space="0" w:color="808080"/>
              <w:left w:val="nil"/>
              <w:bottom w:val="nil"/>
              <w:right w:val="nil"/>
            </w:tcBorders>
          </w:tcPr>
          <w:p w:rsidR="006F1C7F" w:rsidRPr="009D658B" w:rsidRDefault="006F1C7F" w:rsidP="0082296B">
            <w:pPr>
              <w:pStyle w:val="TableParagraph"/>
              <w:spacing w:before="32"/>
              <w:ind w:left="146"/>
              <w:rPr>
                <w:rFonts w:eastAsia="Arial" w:cs="Arial"/>
                <w:sz w:val="14"/>
                <w:szCs w:val="14"/>
                <w:lang w:val="fr-FR"/>
              </w:rPr>
            </w:pPr>
            <w:r w:rsidRPr="009D658B">
              <w:rPr>
                <w:sz w:val="14"/>
                <w:lang w:val="fr-FR"/>
              </w:rPr>
              <w:t>Ratio structurel de liquidité à long terme (NSFR)</w:t>
            </w:r>
          </w:p>
        </w:tc>
        <w:tc>
          <w:tcPr>
            <w:tcW w:w="2213" w:type="dxa"/>
            <w:tcBorders>
              <w:top w:val="single" w:sz="8" w:space="0" w:color="808080"/>
              <w:left w:val="nil"/>
              <w:bottom w:val="nil"/>
              <w:right w:val="nil"/>
            </w:tcBorders>
          </w:tcPr>
          <w:p w:rsidR="006F1C7F" w:rsidRPr="009D658B" w:rsidRDefault="006F1C7F" w:rsidP="0082296B">
            <w:pPr>
              <w:pStyle w:val="TableParagraph"/>
              <w:spacing w:before="32"/>
              <w:ind w:right="110"/>
              <w:jc w:val="right"/>
              <w:rPr>
                <w:rFonts w:eastAsia="Arial" w:cs="Arial"/>
                <w:sz w:val="14"/>
                <w:szCs w:val="14"/>
              </w:rPr>
            </w:pPr>
            <w:r w:rsidRPr="009D658B">
              <w:rPr>
                <w:sz w:val="14"/>
              </w:rPr>
              <w:t>121%</w:t>
            </w:r>
          </w:p>
        </w:tc>
        <w:tc>
          <w:tcPr>
            <w:tcW w:w="1015" w:type="dxa"/>
            <w:tcBorders>
              <w:top w:val="single" w:sz="8" w:space="0" w:color="808080"/>
              <w:left w:val="nil"/>
              <w:bottom w:val="nil"/>
              <w:right w:val="nil"/>
            </w:tcBorders>
            <w:shd w:val="clear" w:color="auto" w:fill="D9D9D9"/>
          </w:tcPr>
          <w:p w:rsidR="006F1C7F" w:rsidRPr="009D658B" w:rsidRDefault="006F1C7F" w:rsidP="0082296B">
            <w:pPr>
              <w:pStyle w:val="TableParagraph"/>
              <w:spacing w:before="32"/>
              <w:ind w:left="549"/>
              <w:rPr>
                <w:rFonts w:eastAsia="Arial" w:cs="Arial"/>
                <w:sz w:val="14"/>
                <w:szCs w:val="14"/>
              </w:rPr>
            </w:pPr>
            <w:r w:rsidRPr="009D658B">
              <w:rPr>
                <w:sz w:val="14"/>
              </w:rPr>
              <w:t>123%</w:t>
            </w:r>
          </w:p>
        </w:tc>
      </w:tr>
      <w:tr w:rsidR="006F1C7F" w:rsidRPr="009D658B" w:rsidTr="007E3194">
        <w:trPr>
          <w:trHeight w:hRule="exact" w:val="230"/>
        </w:trPr>
        <w:tc>
          <w:tcPr>
            <w:tcW w:w="7012" w:type="dxa"/>
            <w:tcBorders>
              <w:top w:val="nil"/>
              <w:left w:val="nil"/>
              <w:bottom w:val="single" w:sz="8" w:space="0" w:color="808080"/>
              <w:right w:val="nil"/>
            </w:tcBorders>
          </w:tcPr>
          <w:p w:rsidR="006F1C7F" w:rsidRPr="009D658B" w:rsidRDefault="006F1C7F" w:rsidP="0082296B">
            <w:pPr>
              <w:pStyle w:val="TableParagraph"/>
              <w:spacing w:before="24"/>
              <w:ind w:left="146"/>
              <w:rPr>
                <w:rFonts w:eastAsia="Arial" w:cs="Arial"/>
                <w:sz w:val="14"/>
                <w:szCs w:val="14"/>
                <w:lang w:val="fr-FR"/>
              </w:rPr>
            </w:pPr>
            <w:r w:rsidRPr="009D658B">
              <w:rPr>
                <w:sz w:val="14"/>
                <w:lang w:val="fr-FR"/>
              </w:rPr>
              <w:t>Ratio de couverture des liquidités (LCR)</w:t>
            </w:r>
          </w:p>
        </w:tc>
        <w:tc>
          <w:tcPr>
            <w:tcW w:w="2213" w:type="dxa"/>
            <w:tcBorders>
              <w:top w:val="nil"/>
              <w:left w:val="nil"/>
              <w:bottom w:val="single" w:sz="8" w:space="0" w:color="808080"/>
              <w:right w:val="nil"/>
            </w:tcBorders>
          </w:tcPr>
          <w:p w:rsidR="006F1C7F" w:rsidRPr="009D658B" w:rsidRDefault="006F1C7F" w:rsidP="0082296B">
            <w:pPr>
              <w:pStyle w:val="TableParagraph"/>
              <w:spacing w:before="24"/>
              <w:ind w:right="110"/>
              <w:jc w:val="right"/>
              <w:rPr>
                <w:rFonts w:eastAsia="Arial" w:cs="Arial"/>
                <w:sz w:val="14"/>
                <w:szCs w:val="14"/>
              </w:rPr>
            </w:pPr>
            <w:r w:rsidRPr="009D658B">
              <w:rPr>
                <w:sz w:val="14"/>
              </w:rPr>
              <w:t>127%</w:t>
            </w:r>
          </w:p>
        </w:tc>
        <w:tc>
          <w:tcPr>
            <w:tcW w:w="1015" w:type="dxa"/>
            <w:tcBorders>
              <w:top w:val="nil"/>
              <w:left w:val="nil"/>
              <w:bottom w:val="single" w:sz="8" w:space="0" w:color="808080"/>
              <w:right w:val="nil"/>
            </w:tcBorders>
            <w:shd w:val="clear" w:color="auto" w:fill="D9D9D9"/>
          </w:tcPr>
          <w:p w:rsidR="006F1C7F" w:rsidRPr="009D658B" w:rsidRDefault="006F1C7F" w:rsidP="0082296B">
            <w:pPr>
              <w:pStyle w:val="TableParagraph"/>
              <w:spacing w:before="24"/>
              <w:ind w:left="549"/>
              <w:rPr>
                <w:rFonts w:eastAsia="Arial" w:cs="Arial"/>
                <w:sz w:val="14"/>
                <w:szCs w:val="14"/>
              </w:rPr>
            </w:pPr>
            <w:r w:rsidRPr="009D658B">
              <w:rPr>
                <w:sz w:val="14"/>
              </w:rPr>
              <w:t>132%</w:t>
            </w:r>
          </w:p>
        </w:tc>
      </w:tr>
    </w:tbl>
    <w:p w:rsidR="00682AE2" w:rsidRDefault="00682AE2" w:rsidP="007E3194">
      <w:pPr>
        <w:spacing w:after="0" w:line="240" w:lineRule="auto"/>
        <w:ind w:left="1157"/>
        <w:rPr>
          <w:rFonts w:ascii="Rockwell" w:hAnsi="Rockwell" w:cs="Arial"/>
          <w:b/>
          <w:bCs/>
          <w:color w:val="003768"/>
          <w:sz w:val="28"/>
          <w:szCs w:val="28"/>
          <w:lang w:eastAsia="nl-BE"/>
        </w:rPr>
      </w:pPr>
    </w:p>
    <w:p w:rsidR="00682AE2" w:rsidRPr="00682AE2" w:rsidRDefault="00682AE2" w:rsidP="00682AE2">
      <w:pPr>
        <w:spacing w:after="0" w:line="240" w:lineRule="auto"/>
        <w:ind w:left="993"/>
        <w:rPr>
          <w:rFonts w:ascii="Rockwell" w:hAnsi="Rockwell" w:cs="Arial"/>
          <w:b/>
          <w:bCs/>
          <w:color w:val="003768"/>
          <w:sz w:val="28"/>
          <w:szCs w:val="28"/>
          <w:lang w:eastAsia="nl-BE"/>
        </w:rPr>
      </w:pPr>
      <w:proofErr w:type="spellStart"/>
      <w:r w:rsidRPr="00682AE2">
        <w:rPr>
          <w:rFonts w:ascii="Rockwell" w:hAnsi="Rockwell" w:cs="Arial"/>
          <w:b/>
          <w:bCs/>
          <w:color w:val="003768"/>
          <w:sz w:val="28"/>
          <w:szCs w:val="28"/>
          <w:lang w:eastAsia="nl-BE"/>
        </w:rPr>
        <w:t>Déclaration</w:t>
      </w:r>
      <w:proofErr w:type="spellEnd"/>
      <w:r w:rsidRPr="00682AE2">
        <w:rPr>
          <w:rFonts w:ascii="Rockwell" w:hAnsi="Rockwell" w:cs="Arial"/>
          <w:b/>
          <w:bCs/>
          <w:color w:val="003768"/>
          <w:sz w:val="28"/>
          <w:szCs w:val="28"/>
          <w:lang w:eastAsia="nl-BE"/>
        </w:rPr>
        <w:t xml:space="preserve"> relative aux </w:t>
      </w:r>
      <w:proofErr w:type="spellStart"/>
      <w:r w:rsidRPr="00682AE2">
        <w:rPr>
          <w:rFonts w:ascii="Rockwell" w:hAnsi="Rockwell" w:cs="Arial"/>
          <w:b/>
          <w:bCs/>
          <w:color w:val="003768"/>
          <w:sz w:val="28"/>
          <w:szCs w:val="28"/>
          <w:lang w:eastAsia="nl-BE"/>
        </w:rPr>
        <w:t>risques</w:t>
      </w:r>
      <w:proofErr w:type="spellEnd"/>
    </w:p>
    <w:p w:rsidR="006F1C7F" w:rsidRDefault="006F1C7F" w:rsidP="00682AE2">
      <w:pPr>
        <w:spacing w:after="0" w:line="240" w:lineRule="auto"/>
        <w:ind w:left="1276" w:hanging="283"/>
        <w:rPr>
          <w:rFonts w:asciiTheme="minorHAnsi" w:hAnsiTheme="minorHAnsi" w:cs="Arial"/>
          <w:b/>
          <w:bCs/>
          <w:color w:val="003768"/>
          <w:lang w:val="fr-FR" w:eastAsia="nl-BE"/>
        </w:rPr>
      </w:pPr>
    </w:p>
    <w:p w:rsidR="00682AE2" w:rsidRPr="00682AE2" w:rsidRDefault="00682AE2" w:rsidP="00682AE2">
      <w:pPr>
        <w:pStyle w:val="ListParagraph"/>
        <w:numPr>
          <w:ilvl w:val="0"/>
          <w:numId w:val="1"/>
        </w:numPr>
        <w:tabs>
          <w:tab w:val="left" w:pos="542"/>
        </w:tabs>
        <w:ind w:left="1276" w:right="99" w:hanging="283"/>
        <w:jc w:val="both"/>
        <w:rPr>
          <w:rFonts w:eastAsia="Arial" w:cs="Arial"/>
          <w:color w:val="002060"/>
          <w:lang w:val="fr-FR"/>
        </w:rPr>
      </w:pPr>
      <w:r w:rsidRPr="00682AE2">
        <w:rPr>
          <w:rFonts w:eastAsia="Arial" w:cs="Arial"/>
          <w:color w:val="002060"/>
          <w:lang w:val="fr-FR"/>
        </w:rPr>
        <w:t>Nos activités étant principalement axées sur la banque, l’assurance et la gestion d’actifs, nous nous exposons à certains risques typiques pour ces domaines financiers tels que, mais sans s’y limiter, les risques de défaut de crédit, les risques de contrepartie, le risque de concentration, les fluctuations des taux d’intérêt, les risques de change, les risques de liquidité et de financement, les risques d’assurance, l’évolution de la réglementation, les risques opérationnels, les litiges avec les clients, la concurrence d’autres acteurs et de nouveaux opérateurs ainsi que les risques économiques en général. Bien que surveillés de près et gérés par KBC dans le cadre strict de règles de gouvernance et limites, ces risques peuvent avoir une incidence négative sur la valeur des actifs ou occasionner des charges supplémentaires excédant les prévisions.</w:t>
      </w:r>
    </w:p>
    <w:p w:rsidR="00682AE2" w:rsidRPr="00682AE2" w:rsidRDefault="00682AE2" w:rsidP="00682AE2">
      <w:pPr>
        <w:pStyle w:val="ListParagraph"/>
        <w:numPr>
          <w:ilvl w:val="0"/>
          <w:numId w:val="1"/>
        </w:numPr>
        <w:tabs>
          <w:tab w:val="left" w:pos="542"/>
        </w:tabs>
        <w:ind w:left="1276" w:right="99" w:hanging="283"/>
        <w:jc w:val="both"/>
        <w:rPr>
          <w:rFonts w:eastAsia="Arial" w:cs="Arial"/>
          <w:color w:val="002060"/>
          <w:lang w:val="fr-FR"/>
        </w:rPr>
      </w:pPr>
      <w:r w:rsidRPr="00682AE2">
        <w:rPr>
          <w:color w:val="002060"/>
          <w:lang w:val="fr-FR"/>
        </w:rPr>
        <w:t xml:space="preserve">À l’heure actuelle, nous estimons qu’un certain nombre d’éléments constituent le principal défi pour le </w:t>
      </w:r>
      <w:r w:rsidRPr="00682AE2">
        <w:rPr>
          <w:color w:val="002060"/>
          <w:lang w:val="fr-FR"/>
        </w:rPr>
        <w:lastRenderedPageBreak/>
        <w:t xml:space="preserve">secteur financier en général et affectent en conséquence aussi KBC. Les exigences croissantes en matière de capital sont un thème majeur pour le secteur. D'importantes initiatives réglementaires concernent actuellement le risque de crédit, le risque opérationnel, le risque de trading, les risques ALM et la protection des consommateurs. Outre la réglementation, l’environnement de taux bas reste problématique. Si cette phase de faibles taux devait perdurer, la rentabilité à long terme des banques, et notamment des assureurs, serait soumise à de fortes pressions. Le secteur financier est par ailleurs confronté aux risques systémiques découlant des évolutions politiques et financières, telles que le </w:t>
      </w:r>
      <w:proofErr w:type="spellStart"/>
      <w:r w:rsidRPr="00682AE2">
        <w:rPr>
          <w:color w:val="002060"/>
          <w:lang w:val="fr-FR"/>
        </w:rPr>
        <w:t>Brexit</w:t>
      </w:r>
      <w:proofErr w:type="spellEnd"/>
      <w:r w:rsidRPr="00682AE2">
        <w:rPr>
          <w:color w:val="002060"/>
          <w:lang w:val="fr-FR"/>
        </w:rPr>
        <w:t xml:space="preserve"> ou les craintes entourant le secteur bancaire dans certains pays. Les écrans radar des risques des établissements financiers montrent que la technologie financière constitue un défi supplémentaire pour le modèle d'entreprise des institutions financières traditionnelles. Enfin, les cyber-risques sont devenus l’une des principales menaces ces dernières années, pas uniquement pour le secteur financier, mais pour l’ensemble de l’économie.</w:t>
      </w:r>
    </w:p>
    <w:p w:rsidR="00682AE2" w:rsidRPr="00682AE2" w:rsidRDefault="00682AE2" w:rsidP="00682AE2">
      <w:pPr>
        <w:pStyle w:val="ListParagraph"/>
        <w:numPr>
          <w:ilvl w:val="0"/>
          <w:numId w:val="1"/>
        </w:numPr>
        <w:tabs>
          <w:tab w:val="left" w:pos="542"/>
        </w:tabs>
        <w:ind w:left="1276" w:right="112" w:hanging="283"/>
        <w:jc w:val="both"/>
        <w:rPr>
          <w:rFonts w:eastAsia="Arial" w:cs="Arial"/>
          <w:color w:val="002060"/>
          <w:lang w:val="fr-FR"/>
        </w:rPr>
      </w:pPr>
      <w:r w:rsidRPr="00682AE2">
        <w:rPr>
          <w:color w:val="002060"/>
          <w:lang w:val="fr-FR"/>
        </w:rPr>
        <w:t xml:space="preserve">Les données relatives à la gestion des risques sont reproduites dans nos rapports annuels, les </w:t>
      </w:r>
      <w:r w:rsidRPr="00682AE2">
        <w:rPr>
          <w:i/>
          <w:color w:val="002060"/>
          <w:lang w:val="fr-FR"/>
        </w:rPr>
        <w:t xml:space="preserve">Extended </w:t>
      </w:r>
      <w:proofErr w:type="spellStart"/>
      <w:r w:rsidRPr="00682AE2">
        <w:rPr>
          <w:i/>
          <w:color w:val="002060"/>
          <w:lang w:val="fr-FR"/>
        </w:rPr>
        <w:t>quarterly</w:t>
      </w:r>
      <w:proofErr w:type="spellEnd"/>
      <w:r w:rsidRPr="00682AE2">
        <w:rPr>
          <w:i/>
          <w:color w:val="002060"/>
          <w:lang w:val="fr-FR"/>
        </w:rPr>
        <w:t xml:space="preserve"> reports</w:t>
      </w:r>
      <w:r w:rsidRPr="00682AE2">
        <w:rPr>
          <w:color w:val="002060"/>
          <w:lang w:val="fr-FR"/>
        </w:rPr>
        <w:t xml:space="preserve"> et les </w:t>
      </w:r>
      <w:proofErr w:type="spellStart"/>
      <w:r w:rsidRPr="00682AE2">
        <w:rPr>
          <w:i/>
          <w:color w:val="002060"/>
          <w:lang w:val="fr-FR"/>
        </w:rPr>
        <w:t>Risk</w:t>
      </w:r>
      <w:proofErr w:type="spellEnd"/>
      <w:r w:rsidRPr="00682AE2">
        <w:rPr>
          <w:i/>
          <w:color w:val="002060"/>
          <w:lang w:val="fr-FR"/>
        </w:rPr>
        <w:t xml:space="preserve"> reports</w:t>
      </w:r>
      <w:r w:rsidRPr="00682AE2">
        <w:rPr>
          <w:color w:val="002060"/>
          <w:lang w:val="fr-FR"/>
        </w:rPr>
        <w:t xml:space="preserve">, tous disponibles sur le site </w:t>
      </w:r>
      <w:hyperlink r:id="rId13">
        <w:r w:rsidRPr="00682AE2">
          <w:rPr>
            <w:color w:val="002060"/>
            <w:lang w:val="fr-FR"/>
          </w:rPr>
          <w:t>www.kbc.com.</w:t>
        </w:r>
      </w:hyperlink>
    </w:p>
    <w:p w:rsidR="00682AE2" w:rsidRPr="00682AE2" w:rsidRDefault="00682AE2" w:rsidP="00682AE2">
      <w:pPr>
        <w:pStyle w:val="ListParagraph"/>
        <w:numPr>
          <w:ilvl w:val="0"/>
          <w:numId w:val="1"/>
        </w:numPr>
        <w:tabs>
          <w:tab w:val="left" w:pos="542"/>
        </w:tabs>
        <w:ind w:left="1276" w:right="99" w:hanging="283"/>
        <w:jc w:val="both"/>
        <w:rPr>
          <w:rFonts w:eastAsia="Arial" w:cs="Arial"/>
          <w:color w:val="002060"/>
          <w:lang w:val="fr-FR"/>
        </w:rPr>
      </w:pPr>
      <w:r w:rsidRPr="00682AE2">
        <w:rPr>
          <w:rFonts w:eastAsia="Arial" w:cs="Arial"/>
          <w:color w:val="002060"/>
          <w:lang w:val="fr-FR"/>
        </w:rPr>
        <w:t xml:space="preserve">Sur le front macroéconomique, compte tenu des incertitudes suscitées par l'issue du référendum sur le </w:t>
      </w:r>
      <w:proofErr w:type="spellStart"/>
      <w:r w:rsidRPr="00682AE2">
        <w:rPr>
          <w:rFonts w:eastAsia="Arial" w:cs="Arial"/>
          <w:color w:val="002060"/>
          <w:lang w:val="fr-FR"/>
        </w:rPr>
        <w:t>Brexit</w:t>
      </w:r>
      <w:proofErr w:type="spellEnd"/>
      <w:r w:rsidRPr="00682AE2">
        <w:rPr>
          <w:rFonts w:eastAsia="Arial" w:cs="Arial"/>
          <w:color w:val="002060"/>
          <w:lang w:val="fr-FR"/>
        </w:rPr>
        <w:t xml:space="preserve"> le 23 juin, nous pensons que la Fed maintiendra son taux directeur en l'état en 2016 et ne le relèvera que progressivement en 2017, probablement en trois hausses de 25 points de base. Parallèlement, la BCE a annoncé qu'elle maintiendrait le taux d'intérêt de la facilité de dépôt en territoire négatif (voire qu'elle l'abaisserait davantage) pendant un certain temps encore après la fin de son programme d'achat d'actifs, actuellement prévue pour mars 2017. Elle ne commencera probablement à le relever qu'en 2018 au plus tôt. Compte tenu du mouvement de « fuite vers la qualité » observé sur les marchés financiers dans le sillage du vote sur le </w:t>
      </w:r>
      <w:proofErr w:type="spellStart"/>
      <w:r w:rsidRPr="00682AE2">
        <w:rPr>
          <w:rFonts w:eastAsia="Arial" w:cs="Arial"/>
          <w:color w:val="002060"/>
          <w:lang w:val="fr-FR"/>
        </w:rPr>
        <w:t>Brexit</w:t>
      </w:r>
      <w:proofErr w:type="spellEnd"/>
      <w:r w:rsidRPr="00682AE2">
        <w:rPr>
          <w:rFonts w:eastAsia="Arial" w:cs="Arial"/>
          <w:color w:val="002060"/>
          <w:lang w:val="fr-FR"/>
        </w:rPr>
        <w:t>, le dollar américain devrait s'apprécier modérément face à l'euro en 2016 et 2017. Les anticipations de poursuite de l'expansion économique aux États-Unis et de relèvement des taux par la Fed en 2017 devraient entraîner une légère hausse des rendements obligataires américains. Cela soutiendra également les taux allemands dans une certaine mesure, sur fond d'intégration mondiale des principaux marchés obligataires.</w:t>
      </w:r>
    </w:p>
    <w:p w:rsidR="00682AE2" w:rsidRPr="00682AE2" w:rsidRDefault="00682AE2" w:rsidP="00682AE2">
      <w:pPr>
        <w:pStyle w:val="ListParagraph"/>
        <w:numPr>
          <w:ilvl w:val="0"/>
          <w:numId w:val="1"/>
        </w:numPr>
        <w:tabs>
          <w:tab w:val="left" w:pos="542"/>
        </w:tabs>
        <w:ind w:left="1276" w:right="100" w:hanging="283"/>
        <w:jc w:val="both"/>
        <w:rPr>
          <w:rFonts w:eastAsia="Arial" w:cs="Arial"/>
          <w:color w:val="002060"/>
          <w:lang w:val="fr-FR"/>
        </w:rPr>
      </w:pPr>
      <w:r w:rsidRPr="00682AE2">
        <w:rPr>
          <w:color w:val="002060"/>
          <w:lang w:val="fr-FR"/>
        </w:rPr>
        <w:t xml:space="preserve">En dépit du deuxième trimestre relativement médiocre en termes macroéconomiques, ainsi que des incertitudes économiques et politiques supérieures à la moyenne découlant du </w:t>
      </w:r>
      <w:proofErr w:type="spellStart"/>
      <w:r w:rsidRPr="00682AE2">
        <w:rPr>
          <w:color w:val="002060"/>
          <w:lang w:val="fr-FR"/>
        </w:rPr>
        <w:t>Brexit</w:t>
      </w:r>
      <w:proofErr w:type="spellEnd"/>
      <w:r w:rsidRPr="00682AE2">
        <w:rPr>
          <w:color w:val="002060"/>
          <w:lang w:val="fr-FR"/>
        </w:rPr>
        <w:t xml:space="preserve">, des tensions politiques en Turquie, de la crise des réfugiés, des élections à venir en Europe et aux Etats-Unis ou encore de la fragilité des marchés émergents, nous estimons que le reste de l'année 2016 sera marqué par une croissance économique soutenue aussi bien dans la zone euro qu’aux États-Unis, pour les raisons fondamentales suivantes :  robustesse de la demande intérieure, en particulier au niveau de la consommation des ménages, politique budgétaire légèrement accommodante et reprise de la croissance des investissements, notamment aux États-Unis. Le commerce international ne devrait en revanche guère apporter de contribution significative à la croissance. Par conséquent, la croissance économique au sein de la zone euro et aux États-Unis ressortira à un niveau quelque peu inférieur à celui de 2015, et devrait repartir à la hausse en 2017. Nous continuons de faire preuve d'un optimisme prudent à l'égard de la croissance en Belgique, même si les chiffres pour 2016 et 2017 devraient rester inférieurs aux niveaux de la zone euro, compte tenu de l'austérité budgétaire persistante et de l'impact relativement plus important que prévu du </w:t>
      </w:r>
      <w:proofErr w:type="spellStart"/>
      <w:r w:rsidRPr="00682AE2">
        <w:rPr>
          <w:color w:val="002060"/>
          <w:lang w:val="fr-FR"/>
        </w:rPr>
        <w:t>Brexit</w:t>
      </w:r>
      <w:proofErr w:type="spellEnd"/>
      <w:r w:rsidRPr="00682AE2">
        <w:rPr>
          <w:color w:val="002060"/>
          <w:lang w:val="fr-FR"/>
        </w:rPr>
        <w:t>. En Europe centrale, la croissance vigoureuse du PIB devrait quelque peu se tasser en 2016, à mesure que l'impulsion donnée par les fonds de cohésion européens pour les investissements publics se dissipe.</w:t>
      </w:r>
    </w:p>
    <w:p w:rsidR="00682AE2" w:rsidRPr="006F1C7F" w:rsidRDefault="00682AE2" w:rsidP="006F1C7F">
      <w:pPr>
        <w:spacing w:after="0" w:line="240" w:lineRule="auto"/>
        <w:ind w:left="993"/>
        <w:rPr>
          <w:rFonts w:asciiTheme="minorHAnsi" w:hAnsiTheme="minorHAnsi" w:cs="Arial"/>
          <w:b/>
          <w:bCs/>
          <w:color w:val="003768"/>
          <w:lang w:val="fr-FR" w:eastAsia="nl-BE"/>
        </w:rPr>
      </w:pPr>
    </w:p>
    <w:p w:rsidR="00BB2980" w:rsidRDefault="00BB2980">
      <w:pPr>
        <w:spacing w:after="0" w:line="240" w:lineRule="auto"/>
        <w:rPr>
          <w:rFonts w:ascii="Rockwell" w:hAnsi="Rockwell" w:cs="Arial"/>
          <w:b/>
          <w:bCs/>
          <w:color w:val="003768"/>
          <w:sz w:val="28"/>
          <w:szCs w:val="28"/>
          <w:lang w:val="fr-FR" w:eastAsia="nl-BE"/>
        </w:rPr>
      </w:pPr>
      <w:r>
        <w:rPr>
          <w:rFonts w:ascii="Rockwell" w:hAnsi="Rockwell" w:cs="Arial"/>
          <w:b/>
          <w:bCs/>
          <w:color w:val="003768"/>
          <w:sz w:val="28"/>
          <w:szCs w:val="28"/>
          <w:lang w:val="fr-FR" w:eastAsia="nl-BE"/>
        </w:rPr>
        <w:br w:type="page"/>
      </w:r>
    </w:p>
    <w:p w:rsidR="00D14EBE" w:rsidRDefault="00D14EBE"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BB2980" w:rsidRDefault="00BB2980"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BB2980" w:rsidRDefault="00BB2980"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BB2980" w:rsidRDefault="00BB2980" w:rsidP="0077354C">
      <w:pPr>
        <w:autoSpaceDE w:val="0"/>
        <w:autoSpaceDN w:val="0"/>
        <w:adjustRightInd w:val="0"/>
        <w:spacing w:after="0" w:line="240" w:lineRule="auto"/>
        <w:ind w:left="993" w:right="4"/>
        <w:rPr>
          <w:rFonts w:ascii="Rockwell" w:hAnsi="Rockwell" w:cs="Arial"/>
          <w:b/>
          <w:bCs/>
          <w:color w:val="003768"/>
          <w:sz w:val="28"/>
          <w:szCs w:val="28"/>
          <w:lang w:val="fr-FR" w:eastAsia="nl-BE"/>
        </w:rPr>
      </w:pPr>
    </w:p>
    <w:p w:rsidR="003C1BF8" w:rsidRPr="00BB2980" w:rsidRDefault="0077354C" w:rsidP="003C1BF8">
      <w:pPr>
        <w:autoSpaceDE w:val="0"/>
        <w:autoSpaceDN w:val="0"/>
        <w:adjustRightInd w:val="0"/>
        <w:spacing w:after="120" w:line="240" w:lineRule="auto"/>
        <w:ind w:left="993" w:right="4"/>
        <w:rPr>
          <w:rFonts w:ascii="Rockwell" w:hAnsi="Rockwell" w:cs="Arial"/>
          <w:b/>
          <w:bCs/>
          <w:color w:val="003768"/>
          <w:szCs w:val="24"/>
          <w:lang w:val="fr-FR" w:eastAsia="nl-BE"/>
        </w:rPr>
      </w:pPr>
      <w:r w:rsidRPr="00BB2980">
        <w:rPr>
          <w:rFonts w:ascii="Rockwell" w:hAnsi="Rockwell" w:cs="Arial"/>
          <w:b/>
          <w:bCs/>
          <w:color w:val="003768"/>
          <w:szCs w:val="24"/>
          <w:lang w:val="fr-FR" w:eastAsia="nl-BE"/>
        </w:rPr>
        <w:t>Pour tout complément d’</w:t>
      </w:r>
      <w:r w:rsidR="003C1BF8" w:rsidRPr="00BB2980">
        <w:rPr>
          <w:rFonts w:ascii="Rockwell" w:hAnsi="Rockwell" w:cs="Arial"/>
          <w:b/>
          <w:bCs/>
          <w:color w:val="003768"/>
          <w:szCs w:val="24"/>
          <w:lang w:val="fr-FR" w:eastAsia="nl-BE"/>
        </w:rPr>
        <w:t xml:space="preserve">information, veuillez contacter </w:t>
      </w:r>
      <w:r w:rsidRPr="00BB2980">
        <w:rPr>
          <w:rFonts w:ascii="Rockwell" w:hAnsi="Rockwell" w:cs="Arial"/>
          <w:b/>
          <w:bCs/>
          <w:color w:val="003768"/>
          <w:szCs w:val="24"/>
          <w:lang w:val="fr-FR" w:eastAsia="nl-BE"/>
        </w:rPr>
        <w:t>:</w:t>
      </w:r>
    </w:p>
    <w:p w:rsidR="0077354C" w:rsidRPr="00BB2980" w:rsidRDefault="0077354C" w:rsidP="003C1BF8">
      <w:pPr>
        <w:autoSpaceDE w:val="0"/>
        <w:autoSpaceDN w:val="0"/>
        <w:adjustRightInd w:val="0"/>
        <w:spacing w:after="0" w:line="240" w:lineRule="auto"/>
        <w:ind w:left="993" w:right="4"/>
        <w:rPr>
          <w:rFonts w:ascii="Rockwell" w:hAnsi="Rockwell" w:cs="Arial"/>
          <w:b/>
          <w:bCs/>
          <w:color w:val="003768"/>
          <w:szCs w:val="24"/>
          <w:lang w:val="fr-FR" w:eastAsia="nl-BE"/>
        </w:rPr>
      </w:pPr>
      <w:r w:rsidRPr="00BB2980">
        <w:rPr>
          <w:color w:val="003768"/>
          <w:szCs w:val="24"/>
          <w:lang w:val="fr-FR" w:eastAsia="nl-BE"/>
        </w:rPr>
        <w:t xml:space="preserve">Wim Allegaert, Directeur </w:t>
      </w:r>
      <w:proofErr w:type="spellStart"/>
      <w:r w:rsidRPr="00BB2980">
        <w:rPr>
          <w:color w:val="003768"/>
          <w:szCs w:val="24"/>
          <w:lang w:val="fr-FR" w:eastAsia="nl-BE"/>
        </w:rPr>
        <w:t>Investor</w:t>
      </w:r>
      <w:proofErr w:type="spellEnd"/>
      <w:r w:rsidRPr="00BB2980">
        <w:rPr>
          <w:color w:val="003768"/>
          <w:szCs w:val="24"/>
          <w:lang w:val="fr-FR" w:eastAsia="nl-BE"/>
        </w:rPr>
        <w:t xml:space="preserve"> Relations, KBC Groupe</w:t>
      </w:r>
    </w:p>
    <w:p w:rsidR="00D57A50" w:rsidRPr="00BB2980" w:rsidRDefault="0077354C" w:rsidP="00D57A50">
      <w:pPr>
        <w:pStyle w:val="NoSpacing"/>
        <w:spacing w:after="120"/>
        <w:ind w:left="993"/>
        <w:rPr>
          <w:szCs w:val="24"/>
          <w:lang w:val="fr-FR"/>
        </w:rPr>
      </w:pPr>
      <w:r w:rsidRPr="00BB2980">
        <w:rPr>
          <w:color w:val="003768"/>
          <w:szCs w:val="24"/>
          <w:lang w:val="fr-FR"/>
        </w:rPr>
        <w:t>Tel +32 2 429 50 51  - E-mail :</w:t>
      </w:r>
      <w:r w:rsidRPr="00BB2980">
        <w:rPr>
          <w:szCs w:val="24"/>
          <w:lang w:val="fr-FR"/>
        </w:rPr>
        <w:t xml:space="preserve"> </w:t>
      </w:r>
      <w:hyperlink r:id="rId14" w:history="1">
        <w:r w:rsidRPr="00BB2980">
          <w:rPr>
            <w:rStyle w:val="Hyperlink"/>
            <w:rFonts w:cs="Arial"/>
            <w:color w:val="00AEEF"/>
            <w:szCs w:val="24"/>
            <w:lang w:val="fr-FR"/>
          </w:rPr>
          <w:t>wim.allegaert@kbc.be</w:t>
        </w:r>
      </w:hyperlink>
    </w:p>
    <w:p w:rsidR="0077354C" w:rsidRPr="00BB2980" w:rsidRDefault="0077354C" w:rsidP="00D57A50">
      <w:pPr>
        <w:pStyle w:val="NoSpacing"/>
        <w:ind w:left="993"/>
        <w:rPr>
          <w:color w:val="00AEEF"/>
          <w:szCs w:val="24"/>
          <w:lang w:val="fr-FR"/>
        </w:rPr>
      </w:pPr>
      <w:r w:rsidRPr="00BB2980">
        <w:rPr>
          <w:rFonts w:cs="Arial"/>
          <w:color w:val="003768"/>
          <w:szCs w:val="24"/>
          <w:lang w:val="fr-FR" w:eastAsia="nl-BE"/>
        </w:rPr>
        <w:t xml:space="preserve">Viviane Huybrecht, Directeur Communication </w:t>
      </w:r>
      <w:proofErr w:type="spellStart"/>
      <w:r w:rsidRPr="00BB2980">
        <w:rPr>
          <w:rFonts w:cs="Arial"/>
          <w:color w:val="003768"/>
          <w:szCs w:val="24"/>
          <w:lang w:val="fr-FR" w:eastAsia="nl-BE"/>
        </w:rPr>
        <w:t>Corporate</w:t>
      </w:r>
      <w:proofErr w:type="spellEnd"/>
      <w:r w:rsidRPr="00BB2980">
        <w:rPr>
          <w:rFonts w:cs="Arial"/>
          <w:color w:val="003768"/>
          <w:szCs w:val="24"/>
          <w:lang w:val="fr-FR" w:eastAsia="nl-BE"/>
        </w:rPr>
        <w:t xml:space="preserve"> / Porte-parole KBC Groupe</w:t>
      </w:r>
    </w:p>
    <w:p w:rsidR="0077354C" w:rsidRPr="00BB2980" w:rsidRDefault="0077354C" w:rsidP="00D57A50">
      <w:pPr>
        <w:autoSpaceDE w:val="0"/>
        <w:autoSpaceDN w:val="0"/>
        <w:adjustRightInd w:val="0"/>
        <w:spacing w:after="0" w:line="240" w:lineRule="auto"/>
        <w:ind w:left="993" w:right="4"/>
        <w:rPr>
          <w:rFonts w:cs="Arial"/>
          <w:szCs w:val="24"/>
          <w:lang w:val="de-DE"/>
        </w:rPr>
      </w:pPr>
      <w:r w:rsidRPr="00BB2980">
        <w:rPr>
          <w:rFonts w:cs="Arial"/>
          <w:color w:val="003768"/>
          <w:szCs w:val="24"/>
          <w:lang w:val="de-DE"/>
        </w:rPr>
        <w:t xml:space="preserve">Tel +32 2 429 85 45  - </w:t>
      </w:r>
      <w:proofErr w:type="spellStart"/>
      <w:r w:rsidRPr="00BB2980">
        <w:rPr>
          <w:rFonts w:cs="Arial"/>
          <w:color w:val="003768"/>
          <w:szCs w:val="24"/>
          <w:lang w:val="de-DE"/>
        </w:rPr>
        <w:t>E-mail</w:t>
      </w:r>
      <w:proofErr w:type="spellEnd"/>
      <w:r w:rsidRPr="00BB2980">
        <w:rPr>
          <w:rFonts w:cs="Arial"/>
          <w:color w:val="003768"/>
          <w:szCs w:val="24"/>
          <w:lang w:val="de-DE"/>
        </w:rPr>
        <w:t xml:space="preserve"> :</w:t>
      </w:r>
      <w:r w:rsidRPr="00BB2980">
        <w:rPr>
          <w:rFonts w:cs="Arial"/>
          <w:szCs w:val="24"/>
          <w:lang w:val="de-DE"/>
        </w:rPr>
        <w:t xml:space="preserve"> </w:t>
      </w:r>
      <w:hyperlink r:id="rId15" w:history="1">
        <w:r w:rsidRPr="00BB2980">
          <w:rPr>
            <w:rStyle w:val="Hyperlink"/>
            <w:rFonts w:cs="Arial"/>
            <w:color w:val="00AEEF"/>
            <w:szCs w:val="24"/>
            <w:lang w:val="de-DE"/>
          </w:rPr>
          <w:t>pressofficekbc@kbc.be</w:t>
        </w:r>
      </w:hyperlink>
    </w:p>
    <w:p w:rsidR="0077354C" w:rsidRDefault="0077354C" w:rsidP="0077354C">
      <w:pPr>
        <w:autoSpaceDE w:val="0"/>
        <w:autoSpaceDN w:val="0"/>
        <w:adjustRightInd w:val="0"/>
        <w:spacing w:after="0" w:line="240" w:lineRule="auto"/>
        <w:ind w:left="993" w:right="4"/>
        <w:rPr>
          <w:rFonts w:cs="Arial"/>
          <w:lang w:val="de-DE"/>
        </w:rPr>
      </w:pPr>
    </w:p>
    <w:p w:rsidR="00BB2980" w:rsidRDefault="00BB2980" w:rsidP="0077354C">
      <w:pPr>
        <w:autoSpaceDE w:val="0"/>
        <w:autoSpaceDN w:val="0"/>
        <w:adjustRightInd w:val="0"/>
        <w:spacing w:after="0" w:line="240" w:lineRule="auto"/>
        <w:ind w:left="993" w:right="4"/>
        <w:rPr>
          <w:rFonts w:cs="Arial"/>
          <w:lang w:val="de-DE"/>
        </w:rPr>
      </w:pPr>
    </w:p>
    <w:p w:rsidR="00BB2980" w:rsidRDefault="00BB2980" w:rsidP="0077354C">
      <w:pPr>
        <w:autoSpaceDE w:val="0"/>
        <w:autoSpaceDN w:val="0"/>
        <w:adjustRightInd w:val="0"/>
        <w:spacing w:after="0" w:line="240" w:lineRule="auto"/>
        <w:ind w:left="993" w:right="4"/>
        <w:rPr>
          <w:rFonts w:cs="Arial"/>
          <w:lang w:val="de-DE"/>
        </w:rPr>
      </w:pPr>
    </w:p>
    <w:p w:rsidR="00BB2980" w:rsidRDefault="00BB2980" w:rsidP="0077354C">
      <w:pPr>
        <w:autoSpaceDE w:val="0"/>
        <w:autoSpaceDN w:val="0"/>
        <w:adjustRightInd w:val="0"/>
        <w:spacing w:after="0" w:line="240" w:lineRule="auto"/>
        <w:ind w:left="993" w:right="4"/>
        <w:rPr>
          <w:rFonts w:cs="Arial"/>
          <w:lang w:val="de-DE"/>
        </w:rPr>
      </w:pPr>
    </w:p>
    <w:p w:rsidR="00BB2980" w:rsidRDefault="00BB2980" w:rsidP="0077354C">
      <w:pPr>
        <w:autoSpaceDE w:val="0"/>
        <w:autoSpaceDN w:val="0"/>
        <w:adjustRightInd w:val="0"/>
        <w:spacing w:after="0" w:line="240" w:lineRule="auto"/>
        <w:ind w:left="993" w:right="4"/>
        <w:rPr>
          <w:rFonts w:cs="Arial"/>
          <w:lang w:val="de-DE"/>
        </w:rPr>
      </w:pPr>
    </w:p>
    <w:p w:rsidR="00BB2980" w:rsidRPr="00017FD1" w:rsidRDefault="00BB2980" w:rsidP="0077354C">
      <w:pPr>
        <w:autoSpaceDE w:val="0"/>
        <w:autoSpaceDN w:val="0"/>
        <w:adjustRightInd w:val="0"/>
        <w:spacing w:after="0" w:line="240" w:lineRule="auto"/>
        <w:ind w:left="993" w:right="4"/>
        <w:rPr>
          <w:rFonts w:cs="Arial"/>
          <w:lang w:val="de-DE"/>
        </w:rPr>
      </w:pPr>
    </w:p>
    <w:tbl>
      <w:tblPr>
        <w:tblW w:w="9780" w:type="dxa"/>
        <w:tblInd w:w="1008" w:type="dxa"/>
        <w:tblBorders>
          <w:top w:val="single" w:sz="2" w:space="0" w:color="00B0F0"/>
          <w:bottom w:val="single" w:sz="2" w:space="0" w:color="00B0F0"/>
          <w:insideH w:val="single" w:sz="2" w:space="0" w:color="00B0F0"/>
        </w:tblBorders>
        <w:tblCellMar>
          <w:left w:w="0" w:type="dxa"/>
          <w:right w:w="0" w:type="dxa"/>
        </w:tblCellMar>
        <w:tblLook w:val="04A0" w:firstRow="1" w:lastRow="0" w:firstColumn="1" w:lastColumn="0" w:noHBand="0" w:noVBand="1"/>
      </w:tblPr>
      <w:tblGrid>
        <w:gridCol w:w="3400"/>
        <w:gridCol w:w="3400"/>
        <w:gridCol w:w="2980"/>
      </w:tblGrid>
      <w:tr w:rsidR="00CE168D" w:rsidRPr="008F6600" w:rsidTr="00020337">
        <w:trPr>
          <w:trHeight w:val="356"/>
        </w:trPr>
        <w:tc>
          <w:tcPr>
            <w:tcW w:w="9780" w:type="dxa"/>
            <w:gridSpan w:val="3"/>
            <w:shd w:val="clear" w:color="auto" w:fill="FFFFFF"/>
            <w:tcMar>
              <w:top w:w="15" w:type="dxa"/>
              <w:left w:w="15" w:type="dxa"/>
              <w:bottom w:w="0" w:type="dxa"/>
              <w:right w:w="15" w:type="dxa"/>
            </w:tcMar>
            <w:vAlign w:val="center"/>
            <w:hideMark/>
          </w:tcPr>
          <w:p w:rsidR="00CE168D" w:rsidRPr="00EF1A60" w:rsidRDefault="00B74BE8" w:rsidP="00EF1A60">
            <w:pPr>
              <w:autoSpaceDE w:val="0"/>
              <w:autoSpaceDN w:val="0"/>
              <w:adjustRightInd w:val="0"/>
              <w:spacing w:after="0" w:line="240" w:lineRule="auto"/>
              <w:rPr>
                <w:b/>
                <w:bCs/>
                <w:color w:val="003768"/>
                <w:sz w:val="18"/>
                <w:szCs w:val="18"/>
                <w:lang w:val="fr-FR"/>
              </w:rPr>
            </w:pPr>
            <w:r>
              <w:rPr>
                <w:noProof/>
              </w:rPr>
              <mc:AlternateContent>
                <mc:Choice Requires="wps">
                  <w:drawing>
                    <wp:anchor distT="0" distB="0" distL="114300" distR="114300" simplePos="0" relativeHeight="251657728" behindDoc="0" locked="0" layoutInCell="1" allowOverlap="1">
                      <wp:simplePos x="0" y="0"/>
                      <wp:positionH relativeFrom="column">
                        <wp:posOffset>652145</wp:posOffset>
                      </wp:positionH>
                      <wp:positionV relativeFrom="paragraph">
                        <wp:posOffset>111760</wp:posOffset>
                      </wp:positionV>
                      <wp:extent cx="6134735" cy="219710"/>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2296B" w:rsidRPr="006917E1" w:rsidRDefault="0082296B" w:rsidP="006917E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1.35pt;margin-top:8.8pt;width:483.05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IgLECAACwBQAADgAAAGRycy9lMm9Eb2MueG1srFTbjpswEH2v1H+w/M4CCbmAllS7SagqbS/S&#10;bj/AwSZYNTa1ncC26r93bEKyl5eqLQ/WYI/PnJk5nut3fSPQkWnDlcxxfBVhxGSpKJf7HH99KIIl&#10;RsYSSYlQkuX4kRn8bvX2zXXXZmyiaiUo0whApMm6Nse1tW0WhqasWUPMlWqZhMNK6YZY+NX7kGrS&#10;AXojwkkUzcNOadpqVTJjYHczHOKVx68qVtrPVWWYRSLHwM36Vft159ZwdU2yvSZtzcsTDfIXLBrC&#10;JQQ9Q22IJeig+SuohpdaGVXZq1I1oaoqXjKfA2QTRy+yua9Jy3wuUBzTnstk/h9s+en4RSNOczzD&#10;SJIGWvTAeotuVY9mrjpdazJwum/BzfawDV32mZr2TpXfDJJqXRO5Zzdaq65mhAK72N0Mn1wdcIwD&#10;2XUfFYUw5GCVB+or3bjSQTEQoEOXHs+dcVRK2JzH02QxBYolnE3idBH71oUkG2+32tj3TDXIGTnW&#10;0HmPTo53xjo2JBtdXDCpCi6E776QzzbAcdiB2HDVnTkWvpk/0yjdLrfLJEgm822QRJQGN8U6CeZF&#10;vJhtppv1ehP/cnHjJKs5pUy6MKOw4uTPGneS+CCJs7SMEpw6OEfJ6P1uLTQ6EhB24T9fczi5uIXP&#10;afgiQC4vUoonSXQ7SYNivlwESZXMgnQRLYMoTm/TeZSkyaZ4ntIdl+zfU0JdjqdQtUFMF9Ivcov8&#10;9zo3kjXcwugQvMnx8uxEMifBraS+tZZwMdhPSuHoX0oB7R4b7QXrNDqo1fa73r8Mr2Yn5p2ij6Bg&#10;rUBgIFMYe2DUSv/AqIMRkmPz/UA0w0h8kPAK3LwZDT0au9EgsoSrObYYDebaDnPp0Gq+rwF5eGdS&#10;3cBLqbgX8YXF6X3BWPC5nEaYmztP/73XZdCufgMAAP//AwBQSwMEFAAGAAgAAAAhAEC3/YzcAAAA&#10;CgEAAA8AAABkcnMvZG93bnJldi54bWxMj01LxDAQhu+C/yGM4M1NrGxbatNFBC9eiqvodbZJPzCZ&#10;lCa7W/+9sye9zcs8vB/1bvVOnOwSp0Aa7jcKhKUumIkGDR/vL3cliJiQDLpAVsOPjbBrrq9qrEw4&#10;05s97dMg2IRihRrGlOZKytiN1mPchNkS//qweEwsl0GaBc9s7p3MlMqlx4k4YcTZPo+2+94fvQYq&#10;t5166F+x/QqfUzG3feFMq/Xtzfr0CCLZNf3BcKnP1aHhTodwJBOFY62yglE+ihzEBVB5yWMOGrZZ&#10;BrKp5f8JzS8AAAD//wMAUEsBAi0AFAAGAAgAAAAhAOSZw8D7AAAA4QEAABMAAAAAAAAAAAAAAAAA&#10;AAAAAFtDb250ZW50X1R5cGVzXS54bWxQSwECLQAUAAYACAAAACEAI7Jq4dcAAACUAQAACwAAAAAA&#10;AAAAAAAAAAAsAQAAX3JlbHMvLnJlbHNQSwECLQAUAAYACAAAACEA5Z+IgLECAACwBQAADgAAAAAA&#10;AAAAAAAAAAAsAgAAZHJzL2Uyb0RvYy54bWxQSwECLQAUAAYACAAAACEAQLf9jNwAAAAKAQAADwAA&#10;AAAAAAAAAAAAAAAJBQAAZHJzL2Rvd25yZXYueG1sUEsFBgAAAAAEAAQA8wAAABIGAAAAAA==&#10;" filled="f" stroked="f" strokeweight=".25pt">
                      <v:textbox inset="0,0,0,0">
                        <w:txbxContent>
                          <w:p w:rsidR="0082296B" w:rsidRPr="006917E1" w:rsidRDefault="0082296B" w:rsidP="006917E1"/>
                        </w:txbxContent>
                      </v:textbox>
                    </v:shape>
                  </w:pict>
                </mc:Fallback>
              </mc:AlternateContent>
            </w:r>
            <w:r w:rsidR="00EF1A60" w:rsidRPr="00EF1A60">
              <w:rPr>
                <w:rFonts w:ascii="Rockwell" w:hAnsi="Rockwell" w:cs="Rockwell"/>
                <w:color w:val="003768"/>
                <w:sz w:val="18"/>
                <w:szCs w:val="18"/>
                <w:lang w:val="fr-FR" w:eastAsia="nl-BE"/>
              </w:rPr>
              <w:t>* Ce communiqué contient des informations soumises à la réglementation sur la transparence des entreprises cotées en Bourse.</w:t>
            </w:r>
          </w:p>
        </w:tc>
      </w:tr>
      <w:tr w:rsidR="00CE168D" w:rsidRPr="008F6600" w:rsidTr="00020337">
        <w:trPr>
          <w:trHeight w:val="913"/>
        </w:trPr>
        <w:tc>
          <w:tcPr>
            <w:tcW w:w="3400" w:type="dxa"/>
            <w:shd w:val="clear" w:color="auto" w:fill="FFFFFF"/>
            <w:tcMar>
              <w:top w:w="15" w:type="dxa"/>
              <w:left w:w="15" w:type="dxa"/>
              <w:bottom w:w="0" w:type="dxa"/>
              <w:right w:w="15" w:type="dxa"/>
            </w:tcMar>
            <w:hideMark/>
          </w:tcPr>
          <w:p w:rsidR="00CE168D" w:rsidRPr="00EF1A60" w:rsidRDefault="00CE168D" w:rsidP="0064576A">
            <w:pPr>
              <w:pStyle w:val="Footer"/>
              <w:tabs>
                <w:tab w:val="bar" w:pos="-2709"/>
              </w:tabs>
              <w:rPr>
                <w:bCs/>
                <w:color w:val="00B0F0"/>
                <w:sz w:val="4"/>
                <w:szCs w:val="4"/>
                <w:lang w:val="fr-FR"/>
              </w:rPr>
            </w:pPr>
          </w:p>
          <w:p w:rsidR="00CE168D" w:rsidRPr="00D01FB0" w:rsidRDefault="00D57A50" w:rsidP="0064576A">
            <w:pPr>
              <w:pStyle w:val="Footer"/>
              <w:tabs>
                <w:tab w:val="bar" w:pos="-2709"/>
              </w:tabs>
              <w:rPr>
                <w:rFonts w:ascii="Rockwell" w:hAnsi="Rockwell"/>
                <w:color w:val="00B0F0"/>
                <w:sz w:val="18"/>
                <w:szCs w:val="18"/>
                <w:lang w:val="fr-FR"/>
              </w:rPr>
            </w:pPr>
            <w:r>
              <w:rPr>
                <w:rFonts w:ascii="Rockwell" w:hAnsi="Rockwell"/>
                <w:b/>
                <w:bCs/>
                <w:color w:val="00B0F0"/>
                <w:sz w:val="18"/>
                <w:szCs w:val="18"/>
                <w:lang w:val="fr-FR"/>
              </w:rPr>
              <w:t>KBC Grou</w:t>
            </w:r>
            <w:r w:rsidR="00CE168D" w:rsidRPr="00D01FB0">
              <w:rPr>
                <w:rFonts w:ascii="Rockwell" w:hAnsi="Rockwell"/>
                <w:b/>
                <w:bCs/>
                <w:color w:val="00B0F0"/>
                <w:sz w:val="18"/>
                <w:szCs w:val="18"/>
                <w:lang w:val="fr-FR"/>
              </w:rPr>
              <w:t>p</w:t>
            </w:r>
            <w:r>
              <w:rPr>
                <w:rFonts w:ascii="Rockwell" w:hAnsi="Rockwell"/>
                <w:b/>
                <w:bCs/>
                <w:color w:val="00B0F0"/>
                <w:sz w:val="18"/>
                <w:szCs w:val="18"/>
                <w:lang w:val="fr-FR"/>
              </w:rPr>
              <w:t>e</w:t>
            </w:r>
            <w:r w:rsidR="00CE168D" w:rsidRPr="00D01FB0">
              <w:rPr>
                <w:rFonts w:ascii="Rockwell" w:hAnsi="Rockwell"/>
                <w:b/>
                <w:bCs/>
                <w:color w:val="00B0F0"/>
                <w:sz w:val="18"/>
                <w:szCs w:val="18"/>
                <w:lang w:val="fr-FR"/>
              </w:rPr>
              <w:t xml:space="preserve"> </w:t>
            </w:r>
            <w:r>
              <w:rPr>
                <w:rFonts w:ascii="Rockwell" w:hAnsi="Rockwell"/>
                <w:b/>
                <w:bCs/>
                <w:color w:val="00B0F0"/>
                <w:sz w:val="18"/>
                <w:szCs w:val="18"/>
                <w:lang w:val="fr-FR"/>
              </w:rPr>
              <w:t>SA</w:t>
            </w:r>
          </w:p>
          <w:p w:rsidR="00CE168D" w:rsidRPr="001E36E6" w:rsidRDefault="00A9543A" w:rsidP="0064576A">
            <w:pPr>
              <w:pStyle w:val="Footer"/>
              <w:tabs>
                <w:tab w:val="bar" w:pos="-2709"/>
              </w:tabs>
              <w:rPr>
                <w:color w:val="002060"/>
                <w:sz w:val="14"/>
                <w:szCs w:val="14"/>
                <w:lang w:val="fr-FR"/>
              </w:rPr>
            </w:pPr>
            <w:r w:rsidRPr="001E36E6">
              <w:rPr>
                <w:rFonts w:cs="Arial"/>
                <w:b/>
                <w:bCs/>
                <w:color w:val="003768"/>
                <w:sz w:val="14"/>
                <w:szCs w:val="14"/>
                <w:lang w:val="fr-FR" w:eastAsia="nl-BE"/>
              </w:rPr>
              <w:t>Av. Du Port 2</w:t>
            </w:r>
            <w:r w:rsidRPr="001E36E6">
              <w:rPr>
                <w:b/>
                <w:bCs/>
                <w:color w:val="002060"/>
                <w:sz w:val="14"/>
                <w:szCs w:val="14"/>
                <w:lang w:val="fr-FR"/>
              </w:rPr>
              <w:t xml:space="preserve"> </w:t>
            </w:r>
            <w:r w:rsidR="00340775" w:rsidRPr="001E36E6">
              <w:rPr>
                <w:b/>
                <w:bCs/>
                <w:color w:val="002060"/>
                <w:sz w:val="14"/>
                <w:szCs w:val="14"/>
                <w:lang w:val="fr-FR"/>
              </w:rPr>
              <w:t>– 1080 Brux</w:t>
            </w:r>
            <w:r w:rsidR="00CE168D" w:rsidRPr="001E36E6">
              <w:rPr>
                <w:b/>
                <w:bCs/>
                <w:color w:val="002060"/>
                <w:sz w:val="14"/>
                <w:szCs w:val="14"/>
                <w:lang w:val="fr-FR"/>
              </w:rPr>
              <w:t>el</w:t>
            </w:r>
            <w:r w:rsidR="00340775" w:rsidRPr="001E36E6">
              <w:rPr>
                <w:b/>
                <w:bCs/>
                <w:color w:val="002060"/>
                <w:sz w:val="14"/>
                <w:szCs w:val="14"/>
                <w:lang w:val="fr-FR"/>
              </w:rPr>
              <w:t>le</w:t>
            </w:r>
            <w:r w:rsidR="00CE168D" w:rsidRPr="001E36E6">
              <w:rPr>
                <w:b/>
                <w:bCs/>
                <w:color w:val="002060"/>
                <w:sz w:val="14"/>
                <w:szCs w:val="14"/>
                <w:lang w:val="fr-FR"/>
              </w:rPr>
              <w:t>s</w:t>
            </w:r>
          </w:p>
          <w:p w:rsidR="00CE168D" w:rsidRPr="001E36E6" w:rsidRDefault="00CE168D" w:rsidP="0064576A">
            <w:pPr>
              <w:pStyle w:val="Footer"/>
              <w:tabs>
                <w:tab w:val="bar" w:pos="-2709"/>
              </w:tabs>
              <w:rPr>
                <w:color w:val="002060"/>
                <w:sz w:val="14"/>
                <w:szCs w:val="14"/>
                <w:lang w:val="fr-FR"/>
              </w:rPr>
            </w:pPr>
            <w:r w:rsidRPr="001E36E6">
              <w:rPr>
                <w:b/>
                <w:bCs/>
                <w:color w:val="002060"/>
                <w:sz w:val="14"/>
                <w:szCs w:val="14"/>
                <w:lang w:val="fr-FR"/>
              </w:rPr>
              <w:t>Viviane Huybrecht</w:t>
            </w:r>
          </w:p>
          <w:p w:rsidR="00EF1A60" w:rsidRPr="00340775" w:rsidRDefault="00340775" w:rsidP="00EF1A60">
            <w:pPr>
              <w:autoSpaceDE w:val="0"/>
              <w:autoSpaceDN w:val="0"/>
              <w:adjustRightInd w:val="0"/>
              <w:spacing w:after="0" w:line="240" w:lineRule="auto"/>
              <w:rPr>
                <w:rFonts w:cs="Arial"/>
                <w:b/>
                <w:color w:val="003768"/>
                <w:sz w:val="14"/>
                <w:szCs w:val="14"/>
                <w:lang w:val="fr-FR" w:eastAsia="nl-BE"/>
              </w:rPr>
            </w:pPr>
            <w:r>
              <w:rPr>
                <w:rFonts w:cs="Arial"/>
                <w:b/>
                <w:color w:val="003768"/>
                <w:sz w:val="14"/>
                <w:szCs w:val="14"/>
                <w:lang w:val="fr-FR" w:eastAsia="nl-BE"/>
              </w:rPr>
              <w:t>D</w:t>
            </w:r>
            <w:r w:rsidR="00EF1A60" w:rsidRPr="00340775">
              <w:rPr>
                <w:rFonts w:cs="Arial"/>
                <w:b/>
                <w:color w:val="003768"/>
                <w:sz w:val="14"/>
                <w:szCs w:val="14"/>
                <w:lang w:val="fr-FR" w:eastAsia="nl-BE"/>
              </w:rPr>
              <w:t>irecteur</w:t>
            </w:r>
          </w:p>
          <w:p w:rsidR="00EF1A60" w:rsidRPr="00340775" w:rsidRDefault="00D57A50" w:rsidP="00EF1A60">
            <w:pPr>
              <w:autoSpaceDE w:val="0"/>
              <w:autoSpaceDN w:val="0"/>
              <w:adjustRightInd w:val="0"/>
              <w:spacing w:after="0" w:line="240" w:lineRule="auto"/>
              <w:rPr>
                <w:rFonts w:cs="Arial"/>
                <w:b/>
                <w:color w:val="003768"/>
                <w:sz w:val="14"/>
                <w:szCs w:val="14"/>
                <w:lang w:val="fr-FR" w:eastAsia="nl-BE"/>
              </w:rPr>
            </w:pPr>
            <w:r>
              <w:rPr>
                <w:rFonts w:cs="Arial"/>
                <w:b/>
                <w:color w:val="003768"/>
                <w:sz w:val="14"/>
                <w:szCs w:val="14"/>
                <w:lang w:val="fr-FR" w:eastAsia="nl-BE"/>
              </w:rPr>
              <w:t xml:space="preserve">Communication </w:t>
            </w:r>
            <w:proofErr w:type="spellStart"/>
            <w:r>
              <w:rPr>
                <w:rFonts w:cs="Arial"/>
                <w:b/>
                <w:color w:val="003768"/>
                <w:sz w:val="14"/>
                <w:szCs w:val="14"/>
                <w:lang w:val="fr-FR" w:eastAsia="nl-BE"/>
              </w:rPr>
              <w:t>Corporate</w:t>
            </w:r>
            <w:proofErr w:type="spellEnd"/>
            <w:r w:rsidR="00C608CE">
              <w:rPr>
                <w:rFonts w:cs="Arial"/>
                <w:b/>
                <w:color w:val="003768"/>
                <w:sz w:val="14"/>
                <w:szCs w:val="14"/>
                <w:lang w:val="fr-FR" w:eastAsia="nl-BE"/>
              </w:rPr>
              <w:t>/</w:t>
            </w:r>
            <w:r w:rsidR="00EF1A60" w:rsidRPr="00340775">
              <w:rPr>
                <w:rFonts w:cs="Arial"/>
                <w:b/>
                <w:color w:val="003768"/>
                <w:sz w:val="14"/>
                <w:szCs w:val="14"/>
                <w:lang w:val="fr-FR" w:eastAsia="nl-BE"/>
              </w:rPr>
              <w:t xml:space="preserve"> </w:t>
            </w:r>
          </w:p>
          <w:p w:rsidR="00340775" w:rsidRPr="00340775" w:rsidRDefault="00EF1A60" w:rsidP="00EF1A60">
            <w:pPr>
              <w:pStyle w:val="Footer"/>
              <w:tabs>
                <w:tab w:val="bar" w:pos="-2709"/>
              </w:tabs>
              <w:rPr>
                <w:rFonts w:cs="Arial"/>
                <w:b/>
                <w:color w:val="003768"/>
                <w:sz w:val="14"/>
                <w:szCs w:val="14"/>
                <w:lang w:val="fr-FR" w:eastAsia="nl-BE"/>
              </w:rPr>
            </w:pPr>
            <w:r w:rsidRPr="00340775">
              <w:rPr>
                <w:rFonts w:cs="Arial"/>
                <w:b/>
                <w:color w:val="003768"/>
                <w:sz w:val="14"/>
                <w:szCs w:val="14"/>
                <w:lang w:val="fr-FR" w:eastAsia="nl-BE"/>
              </w:rPr>
              <w:t>Porte-parole</w:t>
            </w:r>
          </w:p>
          <w:p w:rsidR="00CE168D" w:rsidRPr="00D01FB0" w:rsidRDefault="00CE168D" w:rsidP="00EF1A60">
            <w:pPr>
              <w:pStyle w:val="Footer"/>
              <w:tabs>
                <w:tab w:val="bar" w:pos="-2709"/>
              </w:tabs>
              <w:rPr>
                <w:b/>
                <w:bCs/>
                <w:color w:val="002060"/>
                <w:sz w:val="14"/>
                <w:szCs w:val="14"/>
                <w:lang w:val="fr-FR"/>
              </w:rPr>
            </w:pPr>
            <w:r w:rsidRPr="00D01FB0">
              <w:rPr>
                <w:b/>
                <w:bCs/>
                <w:color w:val="002060"/>
                <w:sz w:val="14"/>
                <w:szCs w:val="14"/>
                <w:lang w:val="fr-FR"/>
              </w:rPr>
              <w:t>Tel. +32 2 429 85 45</w:t>
            </w:r>
          </w:p>
          <w:p w:rsidR="00CE168D" w:rsidRPr="00D01FB0" w:rsidRDefault="00CE168D" w:rsidP="0064576A">
            <w:pPr>
              <w:pStyle w:val="Footer"/>
              <w:tabs>
                <w:tab w:val="bar" w:pos="-2709"/>
              </w:tabs>
              <w:rPr>
                <w:b/>
                <w:bCs/>
                <w:color w:val="002060"/>
                <w:sz w:val="4"/>
                <w:szCs w:val="4"/>
                <w:lang w:val="fr-FR"/>
              </w:rPr>
            </w:pPr>
          </w:p>
        </w:tc>
        <w:tc>
          <w:tcPr>
            <w:tcW w:w="3400" w:type="dxa"/>
            <w:shd w:val="clear" w:color="auto" w:fill="FFFFFF"/>
            <w:tcMar>
              <w:top w:w="15" w:type="dxa"/>
              <w:left w:w="15" w:type="dxa"/>
              <w:bottom w:w="0" w:type="dxa"/>
              <w:right w:w="15" w:type="dxa"/>
            </w:tcMar>
            <w:hideMark/>
          </w:tcPr>
          <w:p w:rsidR="00CE168D" w:rsidRPr="00D01FB0" w:rsidRDefault="00CE168D" w:rsidP="0064576A">
            <w:pPr>
              <w:pStyle w:val="Footer"/>
              <w:tabs>
                <w:tab w:val="bar" w:pos="-2709"/>
              </w:tabs>
              <w:rPr>
                <w:b/>
                <w:bCs/>
                <w:color w:val="002060"/>
                <w:sz w:val="4"/>
                <w:szCs w:val="4"/>
                <w:lang w:val="fr-FR"/>
              </w:rPr>
            </w:pPr>
          </w:p>
          <w:p w:rsidR="00CE168D" w:rsidRPr="00D01FB0" w:rsidRDefault="00CE168D" w:rsidP="0064576A">
            <w:pPr>
              <w:pStyle w:val="Footer"/>
              <w:tabs>
                <w:tab w:val="bar" w:pos="-2709"/>
              </w:tabs>
              <w:rPr>
                <w:rFonts w:ascii="Rockwell" w:hAnsi="Rockwell"/>
                <w:b/>
                <w:bCs/>
                <w:color w:val="002060"/>
                <w:sz w:val="18"/>
                <w:szCs w:val="18"/>
                <w:lang w:val="fr-FR"/>
              </w:rPr>
            </w:pPr>
          </w:p>
          <w:p w:rsidR="00A9543A" w:rsidRPr="00D01FB0" w:rsidRDefault="00A9543A" w:rsidP="0064576A">
            <w:pPr>
              <w:pStyle w:val="Footer"/>
              <w:tabs>
                <w:tab w:val="bar" w:pos="-2709"/>
              </w:tabs>
              <w:rPr>
                <w:rFonts w:cs="Arial"/>
                <w:b/>
                <w:color w:val="003768"/>
                <w:sz w:val="14"/>
                <w:szCs w:val="14"/>
                <w:lang w:val="fr-FR" w:eastAsia="nl-BE"/>
              </w:rPr>
            </w:pPr>
            <w:r w:rsidRPr="00D01FB0">
              <w:rPr>
                <w:rFonts w:cs="Arial"/>
                <w:b/>
                <w:color w:val="003768"/>
                <w:sz w:val="14"/>
                <w:szCs w:val="14"/>
                <w:lang w:val="fr-FR" w:eastAsia="nl-BE"/>
              </w:rPr>
              <w:t>Service Presse</w:t>
            </w:r>
          </w:p>
          <w:p w:rsidR="00CE168D" w:rsidRPr="00D01FB0" w:rsidRDefault="00CE168D" w:rsidP="0064576A">
            <w:pPr>
              <w:pStyle w:val="Footer"/>
              <w:tabs>
                <w:tab w:val="bar" w:pos="-2709"/>
              </w:tabs>
              <w:rPr>
                <w:color w:val="002060"/>
                <w:sz w:val="14"/>
                <w:szCs w:val="14"/>
                <w:lang w:val="fr-FR"/>
              </w:rPr>
            </w:pPr>
            <w:r w:rsidRPr="00D01FB0">
              <w:rPr>
                <w:b/>
                <w:bCs/>
                <w:color w:val="002060"/>
                <w:sz w:val="14"/>
                <w:szCs w:val="14"/>
                <w:lang w:val="fr-FR"/>
              </w:rPr>
              <w:t>Tel. +32 2 429 65 01</w:t>
            </w:r>
            <w:r w:rsidR="00612175">
              <w:rPr>
                <w:b/>
                <w:bCs/>
                <w:color w:val="002060"/>
                <w:sz w:val="14"/>
                <w:szCs w:val="14"/>
                <w:lang w:val="fr-FR"/>
              </w:rPr>
              <w:t xml:space="preserve"> Stef Leunens</w:t>
            </w:r>
          </w:p>
          <w:p w:rsidR="00191CF8" w:rsidRPr="00C608CE" w:rsidRDefault="00191CF8" w:rsidP="0064576A">
            <w:pPr>
              <w:pStyle w:val="Footer"/>
              <w:tabs>
                <w:tab w:val="bar" w:pos="-2709"/>
              </w:tabs>
              <w:rPr>
                <w:b/>
                <w:bCs/>
                <w:color w:val="002060"/>
                <w:sz w:val="14"/>
                <w:szCs w:val="14"/>
                <w:lang w:val="fr-FR"/>
              </w:rPr>
            </w:pPr>
            <w:r w:rsidRPr="00C608CE">
              <w:rPr>
                <w:b/>
                <w:bCs/>
                <w:color w:val="002060"/>
                <w:sz w:val="14"/>
                <w:szCs w:val="14"/>
                <w:lang w:val="fr-FR"/>
              </w:rPr>
              <w:t>Tel. +32 2 429 29 15</w:t>
            </w:r>
            <w:r w:rsidR="00612175">
              <w:rPr>
                <w:b/>
                <w:bCs/>
                <w:color w:val="002060"/>
                <w:sz w:val="14"/>
                <w:szCs w:val="14"/>
                <w:lang w:val="fr-FR"/>
              </w:rPr>
              <w:t xml:space="preserve"> Ilse De Muyer</w:t>
            </w:r>
          </w:p>
          <w:p w:rsidR="00CE168D" w:rsidRPr="00C608CE" w:rsidRDefault="00CE168D" w:rsidP="0064576A">
            <w:pPr>
              <w:pStyle w:val="Footer"/>
              <w:tabs>
                <w:tab w:val="bar" w:pos="-2709"/>
              </w:tabs>
              <w:rPr>
                <w:color w:val="002060"/>
                <w:sz w:val="14"/>
                <w:szCs w:val="14"/>
                <w:lang w:val="fr-FR"/>
              </w:rPr>
            </w:pPr>
            <w:r w:rsidRPr="00D01FB0">
              <w:rPr>
                <w:b/>
                <w:bCs/>
                <w:color w:val="002060"/>
                <w:sz w:val="14"/>
                <w:szCs w:val="14"/>
                <w:lang w:val="fr-FR"/>
              </w:rPr>
              <w:t>Fax +32 2 429 81 60</w:t>
            </w:r>
          </w:p>
          <w:p w:rsidR="00CE168D" w:rsidRPr="00C608CE" w:rsidRDefault="001E36E6" w:rsidP="0064576A">
            <w:pPr>
              <w:pStyle w:val="Footer"/>
              <w:tabs>
                <w:tab w:val="bar" w:pos="-2709"/>
              </w:tabs>
              <w:rPr>
                <w:lang w:val="fr-FR"/>
              </w:rPr>
            </w:pPr>
            <w:r w:rsidRPr="00C608CE">
              <w:rPr>
                <w:b/>
                <w:bCs/>
                <w:color w:val="002060"/>
                <w:sz w:val="14"/>
                <w:szCs w:val="14"/>
                <w:lang w:val="fr-FR"/>
              </w:rPr>
              <w:t xml:space="preserve">E-Mail </w:t>
            </w:r>
            <w:r w:rsidR="00CE168D" w:rsidRPr="00C608CE">
              <w:rPr>
                <w:b/>
                <w:bCs/>
                <w:color w:val="002060"/>
                <w:sz w:val="14"/>
                <w:szCs w:val="14"/>
                <w:lang w:val="fr-FR"/>
              </w:rPr>
              <w:t xml:space="preserve">: </w:t>
            </w:r>
            <w:hyperlink r:id="rId16" w:history="1">
              <w:r w:rsidR="00C879D4" w:rsidRPr="00C608CE">
                <w:rPr>
                  <w:rStyle w:val="Hyperlink"/>
                  <w:b/>
                  <w:bCs/>
                  <w:color w:val="00AEEF"/>
                  <w:sz w:val="14"/>
                  <w:szCs w:val="14"/>
                  <w:lang w:val="fr-FR"/>
                </w:rPr>
                <w:t>pressofficekbc@kbc.be</w:t>
              </w:r>
            </w:hyperlink>
          </w:p>
        </w:tc>
        <w:tc>
          <w:tcPr>
            <w:tcW w:w="2980" w:type="dxa"/>
            <w:shd w:val="clear" w:color="auto" w:fill="FFFFFF"/>
            <w:tcMar>
              <w:top w:w="15" w:type="dxa"/>
              <w:left w:w="15" w:type="dxa"/>
              <w:bottom w:w="0" w:type="dxa"/>
              <w:right w:w="15" w:type="dxa"/>
            </w:tcMar>
            <w:hideMark/>
          </w:tcPr>
          <w:p w:rsidR="00CE168D" w:rsidRPr="00C608CE" w:rsidRDefault="00CE168D" w:rsidP="0064576A">
            <w:pPr>
              <w:pStyle w:val="Footer"/>
              <w:tabs>
                <w:tab w:val="bar" w:pos="-2709"/>
              </w:tabs>
              <w:rPr>
                <w:b/>
                <w:bCs/>
                <w:color w:val="002060"/>
                <w:sz w:val="4"/>
                <w:szCs w:val="4"/>
                <w:lang w:val="fr-FR"/>
              </w:rPr>
            </w:pPr>
          </w:p>
          <w:p w:rsidR="00CE168D" w:rsidRPr="00C608CE" w:rsidRDefault="00CE168D" w:rsidP="0064576A">
            <w:pPr>
              <w:pStyle w:val="Footer"/>
              <w:tabs>
                <w:tab w:val="bar" w:pos="-2709"/>
              </w:tabs>
              <w:rPr>
                <w:b/>
                <w:bCs/>
                <w:color w:val="002060"/>
                <w:sz w:val="18"/>
                <w:szCs w:val="18"/>
                <w:lang w:val="fr-FR"/>
              </w:rPr>
            </w:pPr>
          </w:p>
          <w:p w:rsidR="00A9543A" w:rsidRPr="00A9543A" w:rsidRDefault="00A9543A" w:rsidP="00A9543A">
            <w:pPr>
              <w:autoSpaceDE w:val="0"/>
              <w:autoSpaceDN w:val="0"/>
              <w:adjustRightInd w:val="0"/>
              <w:spacing w:after="0" w:line="240" w:lineRule="auto"/>
              <w:rPr>
                <w:rFonts w:cs="Arial"/>
                <w:b/>
                <w:color w:val="003768"/>
                <w:sz w:val="14"/>
                <w:szCs w:val="14"/>
                <w:lang w:val="fr-FR" w:eastAsia="nl-BE"/>
              </w:rPr>
            </w:pPr>
            <w:r w:rsidRPr="00A9543A">
              <w:rPr>
                <w:rFonts w:cs="Arial"/>
                <w:b/>
                <w:color w:val="003768"/>
                <w:sz w:val="14"/>
                <w:szCs w:val="14"/>
                <w:lang w:val="fr-FR" w:eastAsia="nl-BE"/>
              </w:rPr>
              <w:t>Les communiqués de presse KBC peuvent être</w:t>
            </w:r>
          </w:p>
          <w:p w:rsidR="00A9543A" w:rsidRPr="00A9543A" w:rsidRDefault="00A9543A" w:rsidP="00A9543A">
            <w:pPr>
              <w:autoSpaceDE w:val="0"/>
              <w:autoSpaceDN w:val="0"/>
              <w:adjustRightInd w:val="0"/>
              <w:spacing w:after="0" w:line="240" w:lineRule="auto"/>
              <w:rPr>
                <w:rFonts w:cs="Arial"/>
                <w:b/>
                <w:color w:val="003768"/>
                <w:sz w:val="14"/>
                <w:szCs w:val="14"/>
                <w:lang w:val="fr-FR" w:eastAsia="nl-BE"/>
              </w:rPr>
            </w:pPr>
            <w:r w:rsidRPr="00A9543A">
              <w:rPr>
                <w:rFonts w:cs="Arial"/>
                <w:b/>
                <w:color w:val="003768"/>
                <w:sz w:val="14"/>
                <w:szCs w:val="14"/>
                <w:lang w:val="fr-FR" w:eastAsia="nl-BE"/>
              </w:rPr>
              <w:t xml:space="preserve">consultés sur </w:t>
            </w:r>
            <w:hyperlink r:id="rId17" w:history="1">
              <w:r w:rsidR="00CE168D" w:rsidRPr="00A9543A">
                <w:rPr>
                  <w:rStyle w:val="Hyperlink"/>
                  <w:b/>
                  <w:bCs/>
                  <w:color w:val="00B0F0"/>
                  <w:sz w:val="14"/>
                  <w:szCs w:val="14"/>
                  <w:lang w:val="fr-FR"/>
                </w:rPr>
                <w:t>www.kbc.com</w:t>
              </w:r>
            </w:hyperlink>
            <w:r w:rsidR="00CE168D" w:rsidRPr="00A9543A">
              <w:rPr>
                <w:b/>
                <w:bCs/>
                <w:color w:val="002060"/>
                <w:sz w:val="14"/>
                <w:szCs w:val="14"/>
                <w:lang w:val="fr-FR"/>
              </w:rPr>
              <w:t xml:space="preserve"> </w:t>
            </w:r>
            <w:r>
              <w:rPr>
                <w:rFonts w:cs="Arial"/>
                <w:b/>
                <w:color w:val="003768"/>
                <w:sz w:val="14"/>
                <w:szCs w:val="14"/>
                <w:lang w:val="fr-FR" w:eastAsia="nl-BE"/>
              </w:rPr>
              <w:t xml:space="preserve">ou obtenus </w:t>
            </w:r>
            <w:r w:rsidRPr="00A9543A">
              <w:rPr>
                <w:rFonts w:cs="Arial"/>
                <w:b/>
                <w:color w:val="003768"/>
                <w:sz w:val="14"/>
                <w:szCs w:val="14"/>
                <w:lang w:val="fr-FR" w:eastAsia="nl-BE"/>
              </w:rPr>
              <w:t>en</w:t>
            </w:r>
          </w:p>
          <w:p w:rsidR="00CE168D" w:rsidRPr="00A9543A" w:rsidRDefault="00A9543A" w:rsidP="00A9543A">
            <w:pPr>
              <w:pStyle w:val="Footer"/>
              <w:tabs>
                <w:tab w:val="bar" w:pos="-2709"/>
              </w:tabs>
              <w:spacing w:after="120"/>
              <w:rPr>
                <w:color w:val="002060"/>
                <w:sz w:val="14"/>
                <w:szCs w:val="14"/>
                <w:lang w:val="fr-FR"/>
              </w:rPr>
            </w:pPr>
            <w:r w:rsidRPr="00A9543A">
              <w:rPr>
                <w:rFonts w:cs="Arial"/>
                <w:b/>
                <w:color w:val="003768"/>
                <w:sz w:val="14"/>
                <w:szCs w:val="14"/>
                <w:lang w:val="fr-FR" w:eastAsia="nl-BE"/>
              </w:rPr>
              <w:t>envoyant un courriel à</w:t>
            </w:r>
            <w:r>
              <w:rPr>
                <w:rFonts w:cs="Arial"/>
                <w:b/>
                <w:color w:val="003768"/>
                <w:sz w:val="14"/>
                <w:szCs w:val="14"/>
                <w:lang w:val="fr-FR" w:eastAsia="nl-BE"/>
              </w:rPr>
              <w:t xml:space="preserve"> </w:t>
            </w:r>
            <w:r w:rsidR="00CE168D" w:rsidRPr="00A9543A">
              <w:rPr>
                <w:b/>
                <w:bCs/>
                <w:color w:val="003768"/>
                <w:sz w:val="14"/>
                <w:szCs w:val="14"/>
                <w:lang w:val="fr-FR"/>
              </w:rPr>
              <w:t xml:space="preserve"> </w:t>
            </w:r>
            <w:hyperlink r:id="rId18" w:history="1">
              <w:r w:rsidR="00CE168D" w:rsidRPr="00A9543A">
                <w:rPr>
                  <w:rStyle w:val="Hyperlink"/>
                  <w:b/>
                  <w:bCs/>
                  <w:color w:val="00B0F0"/>
                  <w:sz w:val="14"/>
                  <w:szCs w:val="14"/>
                  <w:lang w:val="fr-FR"/>
                </w:rPr>
                <w:t>pressofficekbc@kbc.be</w:t>
              </w:r>
            </w:hyperlink>
          </w:p>
          <w:p w:rsidR="00CE168D" w:rsidRPr="00A9543A" w:rsidRDefault="00A9543A" w:rsidP="0064576A">
            <w:pPr>
              <w:pStyle w:val="Footer"/>
              <w:tabs>
                <w:tab w:val="bar" w:pos="-2709"/>
              </w:tabs>
              <w:spacing w:after="120"/>
              <w:rPr>
                <w:color w:val="002060"/>
                <w:lang w:val="fr-FR"/>
              </w:rPr>
            </w:pPr>
            <w:r w:rsidRPr="00A9543A">
              <w:rPr>
                <w:rFonts w:cs="Calibri"/>
                <w:b/>
                <w:color w:val="003768"/>
                <w:sz w:val="14"/>
                <w:szCs w:val="14"/>
                <w:lang w:val="fr-FR" w:eastAsia="nl-BE"/>
              </w:rPr>
              <w:t>Suivez nous</w:t>
            </w:r>
            <w:r w:rsidR="00D01FB0">
              <w:rPr>
                <w:rFonts w:cs="Calibri"/>
                <w:b/>
                <w:color w:val="003768"/>
                <w:sz w:val="14"/>
                <w:szCs w:val="14"/>
                <w:lang w:val="fr-FR" w:eastAsia="nl-BE"/>
              </w:rPr>
              <w:t xml:space="preserve"> sur</w:t>
            </w:r>
            <w:r w:rsidRPr="00A9543A">
              <w:rPr>
                <w:lang w:val="fr-FR"/>
              </w:rPr>
              <w:t xml:space="preserve"> </w:t>
            </w:r>
            <w:hyperlink r:id="rId19" w:history="1">
              <w:r w:rsidR="00CE168D" w:rsidRPr="00A9543A">
                <w:rPr>
                  <w:rStyle w:val="Hyperlink"/>
                  <w:b/>
                  <w:bCs/>
                  <w:color w:val="00B0F0"/>
                  <w:sz w:val="14"/>
                  <w:szCs w:val="14"/>
                  <w:lang w:val="fr-FR"/>
                </w:rPr>
                <w:t>www.twitter.com/kbc_group</w:t>
              </w:r>
            </w:hyperlink>
          </w:p>
        </w:tc>
      </w:tr>
    </w:tbl>
    <w:p w:rsidR="004278B1" w:rsidRDefault="00B74BE8" w:rsidP="00020337">
      <w:pPr>
        <w:pStyle w:val="NoSpacing"/>
        <w:ind w:left="993" w:right="664"/>
      </w:pPr>
      <w:r>
        <w:rPr>
          <w:noProof/>
        </w:rPr>
        <mc:AlternateContent>
          <mc:Choice Requires="wps">
            <w:drawing>
              <wp:anchor distT="0" distB="0" distL="114300" distR="114300" simplePos="0" relativeHeight="251658752" behindDoc="0" locked="0" layoutInCell="1" allowOverlap="1">
                <wp:simplePos x="0" y="0"/>
                <wp:positionH relativeFrom="column">
                  <wp:align>left</wp:align>
                </wp:positionH>
                <wp:positionV relativeFrom="paragraph">
                  <wp:posOffset>6477000</wp:posOffset>
                </wp:positionV>
                <wp:extent cx="958215" cy="139065"/>
                <wp:effectExtent l="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96B" w:rsidRDefault="008229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0;margin-top:510pt;width:75.45pt;height:10.95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Cm27ACAACwBQAADgAAAGRycy9lMm9Eb2MueG1srFTtbpswFP0/ae9g+T/loyQFVFK1SZgmdR9S&#10;uwdwsAnWwGa2E+imvfuuTUiTVpOmbfywLvb1uR/n+F7fDG2D9kxpLkWOw4sAIyZKSbnY5vjLY+El&#10;GGlDBCWNFCzHT0zjm8XbN9d9l7FI1rKhTCEAETrruxzXxnSZ7+uyZi3RF7JjAg4rqVpi4FdtfapI&#10;D+ht40dBMPd7qWinZMm0ht3VeIgXDr+qWGk+VZVmBjU5htyMW5VbN3b1F9ck2yrS1bw8pEH+IouW&#10;cAFBj1ArYgjaKf4KquWlklpW5qKUrS+ripfM1QDVhMGLah5q0jFXCzRHd8c26f8HW37cf1aI0xxf&#10;YiRICxQ9ssGgOzmg0LWn73QGXg8d+JkB9oFmV6ru7mX5VSMhlzURW3arlOxrRiikF9rG+idXLSE6&#10;0xZk03+QFOKQnZEOaKhUa3sH3UCADjQ9HamxuZSwmc6SKJxhVMJReJkG85mLQLLpcqe0ecdki6yR&#10;YwXMO3Cyv9fGJkOyycXGErLgTePYb8TZBjiOOxAartozm4Qj80capOtkncReHM3XXhxQ6t0Wy9ib&#10;F+HVbHW5Wi5X4U8bN4yzmlPKhA0zCSuM/4y4g8RHSRylpWXDqYWzKWm13SwbhfYEhF2479CQEzf/&#10;PA3XBKjlRUlhFAd3UeoV8+TKi6t45qVXQeIFYXqXzoM4jVfFeUn3XLB/Lwn1ltVoNmrpt7UF7ntd&#10;G8labmB0NLzNcXJ0IplV4FpQR60hvBntk1bY9J9bAXRPRDu9WomOYjXDZnAvI7LRrXw3kj6BgJUE&#10;gYFKYeyBUUv1HaMeRkiO9bcdUQyj5r2AR2DnzWSoydhMBhElXM2xwWg0l2acS7tO8W0NyOMzE/IW&#10;HkrFnYifszg8LxgLrpbDCLNz5/TfeT0P2sUvAAAA//8DAFBLAwQUAAYACAAAACEAO0UNv90AAAAK&#10;AQAADwAAAGRycy9kb3ducmV2LnhtbEyPwU7DMBBE70j9B2srcaN2EVQkxKkqBCckRBoOHJ1km1iN&#10;1yF22/D3bE70uDOrmTfZdnK9OOMYrCcN65UCgVT7xlKr4at8u3sCEaKhxvSeUMMvBtjmi5vMpI2/&#10;UIHnfWwFh1BIjYYuxiGVMtQdOhNWfkBi7+BHZyKfYyub0Vw43PXyXqmNdMYSN3RmwJcO6+P+5DTs&#10;vql4tT8f1WdxKGxZJoreN0etb5fT7hlExCn+P8OMz+iQM1PlT9QE0WvgIZFVxS0gZv9RJSCqWXpY&#10;JyDzTF5PyP8AAAD//wMAUEsBAi0AFAAGAAgAAAAhAOSZw8D7AAAA4QEAABMAAAAAAAAAAAAAAAAA&#10;AAAAAFtDb250ZW50X1R5cGVzXS54bWxQSwECLQAUAAYACAAAACEAI7Jq4dcAAACUAQAACwAAAAAA&#10;AAAAAAAAAAAsAQAAX3JlbHMvLnJlbHNQSwECLQAUAAYACAAAACEAOVCm27ACAACwBQAADgAAAAAA&#10;AAAAAAAAAAAsAgAAZHJzL2Uyb0RvYy54bWxQSwECLQAUAAYACAAAACEAO0UNv90AAAAKAQAADwAA&#10;AAAAAAAAAAAAAAAIBQAAZHJzL2Rvd25yZXYueG1sUEsFBgAAAAAEAAQA8wAAABIGAAAAAA==&#10;" filled="f" stroked="f">
                <v:textbox inset="0,0,0,0">
                  <w:txbxContent>
                    <w:p w:rsidR="0082296B" w:rsidRDefault="0082296B"/>
                  </w:txbxContent>
                </v:textbox>
              </v:shape>
            </w:pict>
          </mc:Fallback>
        </mc:AlternateContent>
      </w:r>
    </w:p>
    <w:sectPr w:rsidR="004278B1" w:rsidSect="00020337">
      <w:footerReference w:type="default" r:id="rId20"/>
      <w:pgSz w:w="11907" w:h="16840" w:code="9"/>
      <w:pgMar w:top="567" w:right="992" w:bottom="567" w:left="232"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6B" w:rsidRDefault="0082296B" w:rsidP="0077354C">
      <w:pPr>
        <w:spacing w:after="0" w:line="240" w:lineRule="auto"/>
      </w:pPr>
      <w:r>
        <w:separator/>
      </w:r>
    </w:p>
  </w:endnote>
  <w:endnote w:type="continuationSeparator" w:id="0">
    <w:p w:rsidR="0082296B" w:rsidRDefault="0082296B" w:rsidP="0077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Rockwell">
    <w:panose1 w:val="02060603020205020403"/>
    <w:charset w:val="00"/>
    <w:family w:val="auto"/>
    <w:pitch w:val="variable"/>
    <w:sig w:usb0="00000003" w:usb1="00000000" w:usb2="00000000" w:usb3="00000000" w:csb0="00000001" w:csb1="00000000"/>
  </w:font>
  <w:font w:name="Rockwell,Bold">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96B" w:rsidRDefault="0082296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32FE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32FED">
      <w:rPr>
        <w:b/>
        <w:noProof/>
      </w:rPr>
      <w:t>11</w:t>
    </w:r>
    <w:r>
      <w:rPr>
        <w:b/>
        <w:sz w:val="24"/>
        <w:szCs w:val="24"/>
      </w:rPr>
      <w:fldChar w:fldCharType="end"/>
    </w:r>
  </w:p>
  <w:p w:rsidR="0082296B" w:rsidRDefault="008229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6B" w:rsidRDefault="0082296B" w:rsidP="0077354C">
      <w:pPr>
        <w:spacing w:after="0" w:line="240" w:lineRule="auto"/>
      </w:pPr>
      <w:r>
        <w:separator/>
      </w:r>
    </w:p>
  </w:footnote>
  <w:footnote w:type="continuationSeparator" w:id="0">
    <w:p w:rsidR="0082296B" w:rsidRDefault="0082296B" w:rsidP="007735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21F4B"/>
    <w:multiLevelType w:val="hybridMultilevel"/>
    <w:tmpl w:val="1A720B4A"/>
    <w:lvl w:ilvl="0" w:tplc="9AFA0C8E">
      <w:numFmt w:val="bullet"/>
      <w:lvlText w:val="-"/>
      <w:lvlJc w:val="left"/>
      <w:pPr>
        <w:ind w:left="1353" w:hanging="360"/>
      </w:pPr>
      <w:rPr>
        <w:rFonts w:ascii="Calibri" w:eastAsia="Calibri" w:hAnsi="Calibri" w:cs="Aria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
    <w:nsid w:val="455E724E"/>
    <w:multiLevelType w:val="hybridMultilevel"/>
    <w:tmpl w:val="CE30B028"/>
    <w:lvl w:ilvl="0" w:tplc="D46CED08">
      <w:start w:val="1"/>
      <w:numFmt w:val="bullet"/>
      <w:lvlText w:val="•"/>
      <w:lvlJc w:val="left"/>
      <w:pPr>
        <w:ind w:left="1137" w:hanging="360"/>
      </w:pPr>
      <w:rPr>
        <w:rFonts w:hint="default"/>
      </w:rPr>
    </w:lvl>
    <w:lvl w:ilvl="1" w:tplc="08130003" w:tentative="1">
      <w:start w:val="1"/>
      <w:numFmt w:val="bullet"/>
      <w:lvlText w:val="o"/>
      <w:lvlJc w:val="left"/>
      <w:pPr>
        <w:ind w:left="1857" w:hanging="360"/>
      </w:pPr>
      <w:rPr>
        <w:rFonts w:ascii="Courier New" w:hAnsi="Courier New" w:cs="Courier New" w:hint="default"/>
      </w:rPr>
    </w:lvl>
    <w:lvl w:ilvl="2" w:tplc="08130005" w:tentative="1">
      <w:start w:val="1"/>
      <w:numFmt w:val="bullet"/>
      <w:lvlText w:val=""/>
      <w:lvlJc w:val="left"/>
      <w:pPr>
        <w:ind w:left="2577" w:hanging="360"/>
      </w:pPr>
      <w:rPr>
        <w:rFonts w:ascii="Wingdings" w:hAnsi="Wingdings" w:hint="default"/>
      </w:rPr>
    </w:lvl>
    <w:lvl w:ilvl="3" w:tplc="08130001" w:tentative="1">
      <w:start w:val="1"/>
      <w:numFmt w:val="bullet"/>
      <w:lvlText w:val=""/>
      <w:lvlJc w:val="left"/>
      <w:pPr>
        <w:ind w:left="3297" w:hanging="360"/>
      </w:pPr>
      <w:rPr>
        <w:rFonts w:ascii="Symbol" w:hAnsi="Symbol" w:hint="default"/>
      </w:rPr>
    </w:lvl>
    <w:lvl w:ilvl="4" w:tplc="08130003" w:tentative="1">
      <w:start w:val="1"/>
      <w:numFmt w:val="bullet"/>
      <w:lvlText w:val="o"/>
      <w:lvlJc w:val="left"/>
      <w:pPr>
        <w:ind w:left="4017" w:hanging="360"/>
      </w:pPr>
      <w:rPr>
        <w:rFonts w:ascii="Courier New" w:hAnsi="Courier New" w:cs="Courier New" w:hint="default"/>
      </w:rPr>
    </w:lvl>
    <w:lvl w:ilvl="5" w:tplc="08130005" w:tentative="1">
      <w:start w:val="1"/>
      <w:numFmt w:val="bullet"/>
      <w:lvlText w:val=""/>
      <w:lvlJc w:val="left"/>
      <w:pPr>
        <w:ind w:left="4737" w:hanging="360"/>
      </w:pPr>
      <w:rPr>
        <w:rFonts w:ascii="Wingdings" w:hAnsi="Wingdings" w:hint="default"/>
      </w:rPr>
    </w:lvl>
    <w:lvl w:ilvl="6" w:tplc="08130001" w:tentative="1">
      <w:start w:val="1"/>
      <w:numFmt w:val="bullet"/>
      <w:lvlText w:val=""/>
      <w:lvlJc w:val="left"/>
      <w:pPr>
        <w:ind w:left="5457" w:hanging="360"/>
      </w:pPr>
      <w:rPr>
        <w:rFonts w:ascii="Symbol" w:hAnsi="Symbol" w:hint="default"/>
      </w:rPr>
    </w:lvl>
    <w:lvl w:ilvl="7" w:tplc="08130003" w:tentative="1">
      <w:start w:val="1"/>
      <w:numFmt w:val="bullet"/>
      <w:lvlText w:val="o"/>
      <w:lvlJc w:val="left"/>
      <w:pPr>
        <w:ind w:left="6177" w:hanging="360"/>
      </w:pPr>
      <w:rPr>
        <w:rFonts w:ascii="Courier New" w:hAnsi="Courier New" w:cs="Courier New" w:hint="default"/>
      </w:rPr>
    </w:lvl>
    <w:lvl w:ilvl="8" w:tplc="08130005" w:tentative="1">
      <w:start w:val="1"/>
      <w:numFmt w:val="bullet"/>
      <w:lvlText w:val=""/>
      <w:lvlJc w:val="left"/>
      <w:pPr>
        <w:ind w:left="6897" w:hanging="360"/>
      </w:pPr>
      <w:rPr>
        <w:rFonts w:ascii="Wingdings" w:hAnsi="Wingdings" w:hint="default"/>
      </w:rPr>
    </w:lvl>
  </w:abstractNum>
  <w:abstractNum w:abstractNumId="2">
    <w:nsid w:val="763E79AA"/>
    <w:multiLevelType w:val="hybridMultilevel"/>
    <w:tmpl w:val="8AAC4AE8"/>
    <w:lvl w:ilvl="0" w:tplc="3668917C">
      <w:start w:val="1"/>
      <w:numFmt w:val="bullet"/>
      <w:lvlText w:val=""/>
      <w:lvlJc w:val="left"/>
      <w:pPr>
        <w:ind w:left="397" w:hanging="284"/>
      </w:pPr>
      <w:rPr>
        <w:rFonts w:ascii="Symbol" w:eastAsia="Symbol" w:hAnsi="Symbol" w:hint="default"/>
        <w:w w:val="100"/>
        <w:sz w:val="18"/>
        <w:szCs w:val="18"/>
      </w:rPr>
    </w:lvl>
    <w:lvl w:ilvl="1" w:tplc="D46CED08">
      <w:start w:val="1"/>
      <w:numFmt w:val="bullet"/>
      <w:lvlText w:val="•"/>
      <w:lvlJc w:val="left"/>
      <w:pPr>
        <w:ind w:left="1402" w:hanging="284"/>
      </w:pPr>
      <w:rPr>
        <w:rFonts w:hint="default"/>
      </w:rPr>
    </w:lvl>
    <w:lvl w:ilvl="2" w:tplc="0BAE67FA">
      <w:start w:val="1"/>
      <w:numFmt w:val="bullet"/>
      <w:lvlText w:val="•"/>
      <w:lvlJc w:val="left"/>
      <w:pPr>
        <w:ind w:left="2405" w:hanging="284"/>
      </w:pPr>
      <w:rPr>
        <w:rFonts w:hint="default"/>
      </w:rPr>
    </w:lvl>
    <w:lvl w:ilvl="3" w:tplc="6772F8DC">
      <w:start w:val="1"/>
      <w:numFmt w:val="bullet"/>
      <w:lvlText w:val="•"/>
      <w:lvlJc w:val="left"/>
      <w:pPr>
        <w:ind w:left="3407" w:hanging="284"/>
      </w:pPr>
      <w:rPr>
        <w:rFonts w:hint="default"/>
      </w:rPr>
    </w:lvl>
    <w:lvl w:ilvl="4" w:tplc="ACBE9684">
      <w:start w:val="1"/>
      <w:numFmt w:val="bullet"/>
      <w:lvlText w:val="•"/>
      <w:lvlJc w:val="left"/>
      <w:pPr>
        <w:ind w:left="4410" w:hanging="284"/>
      </w:pPr>
      <w:rPr>
        <w:rFonts w:hint="default"/>
      </w:rPr>
    </w:lvl>
    <w:lvl w:ilvl="5" w:tplc="B0A64B4C">
      <w:start w:val="1"/>
      <w:numFmt w:val="bullet"/>
      <w:lvlText w:val="•"/>
      <w:lvlJc w:val="left"/>
      <w:pPr>
        <w:ind w:left="5413" w:hanging="284"/>
      </w:pPr>
      <w:rPr>
        <w:rFonts w:hint="default"/>
      </w:rPr>
    </w:lvl>
    <w:lvl w:ilvl="6" w:tplc="3B7E9EF6">
      <w:start w:val="1"/>
      <w:numFmt w:val="bullet"/>
      <w:lvlText w:val="•"/>
      <w:lvlJc w:val="left"/>
      <w:pPr>
        <w:ind w:left="6415" w:hanging="284"/>
      </w:pPr>
      <w:rPr>
        <w:rFonts w:hint="default"/>
      </w:rPr>
    </w:lvl>
    <w:lvl w:ilvl="7" w:tplc="C33434DC">
      <w:start w:val="1"/>
      <w:numFmt w:val="bullet"/>
      <w:lvlText w:val="•"/>
      <w:lvlJc w:val="left"/>
      <w:pPr>
        <w:ind w:left="7418" w:hanging="284"/>
      </w:pPr>
      <w:rPr>
        <w:rFonts w:hint="default"/>
      </w:rPr>
    </w:lvl>
    <w:lvl w:ilvl="8" w:tplc="481A7C50">
      <w:start w:val="1"/>
      <w:numFmt w:val="bullet"/>
      <w:lvlText w:val="•"/>
      <w:lvlJc w:val="left"/>
      <w:pPr>
        <w:ind w:left="8421" w:hanging="2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C4"/>
    <w:rsid w:val="00001188"/>
    <w:rsid w:val="00017FD1"/>
    <w:rsid w:val="00020337"/>
    <w:rsid w:val="00067351"/>
    <w:rsid w:val="0007720A"/>
    <w:rsid w:val="001044FC"/>
    <w:rsid w:val="001458D9"/>
    <w:rsid w:val="00145E8E"/>
    <w:rsid w:val="001572F2"/>
    <w:rsid w:val="00191CF8"/>
    <w:rsid w:val="001E36E6"/>
    <w:rsid w:val="00222803"/>
    <w:rsid w:val="00262D1E"/>
    <w:rsid w:val="00281858"/>
    <w:rsid w:val="00286C63"/>
    <w:rsid w:val="002D59DA"/>
    <w:rsid w:val="00326CB0"/>
    <w:rsid w:val="00334465"/>
    <w:rsid w:val="00340775"/>
    <w:rsid w:val="00377026"/>
    <w:rsid w:val="0038316D"/>
    <w:rsid w:val="0038517C"/>
    <w:rsid w:val="003915CA"/>
    <w:rsid w:val="003A10F4"/>
    <w:rsid w:val="003A54AC"/>
    <w:rsid w:val="003C1BF8"/>
    <w:rsid w:val="003C3F4A"/>
    <w:rsid w:val="003C61B4"/>
    <w:rsid w:val="004278B1"/>
    <w:rsid w:val="0047091F"/>
    <w:rsid w:val="004F7511"/>
    <w:rsid w:val="004F75DC"/>
    <w:rsid w:val="0052230C"/>
    <w:rsid w:val="005235E3"/>
    <w:rsid w:val="00574F3C"/>
    <w:rsid w:val="005B005E"/>
    <w:rsid w:val="005B5013"/>
    <w:rsid w:val="00612175"/>
    <w:rsid w:val="0064576A"/>
    <w:rsid w:val="00673D3E"/>
    <w:rsid w:val="00682AE2"/>
    <w:rsid w:val="006917E1"/>
    <w:rsid w:val="006A6C5E"/>
    <w:rsid w:val="006A73EA"/>
    <w:rsid w:val="006C3542"/>
    <w:rsid w:val="006F1C7F"/>
    <w:rsid w:val="006F3BB7"/>
    <w:rsid w:val="007571D2"/>
    <w:rsid w:val="00770C2F"/>
    <w:rsid w:val="0077354C"/>
    <w:rsid w:val="00775C2F"/>
    <w:rsid w:val="00777C89"/>
    <w:rsid w:val="007E3194"/>
    <w:rsid w:val="0082296B"/>
    <w:rsid w:val="00830F8B"/>
    <w:rsid w:val="00856602"/>
    <w:rsid w:val="008F6600"/>
    <w:rsid w:val="009C1678"/>
    <w:rsid w:val="009C4391"/>
    <w:rsid w:val="009F3CE5"/>
    <w:rsid w:val="00A20B2F"/>
    <w:rsid w:val="00A42FB1"/>
    <w:rsid w:val="00A73521"/>
    <w:rsid w:val="00A9543A"/>
    <w:rsid w:val="00AC7A25"/>
    <w:rsid w:val="00B74BE8"/>
    <w:rsid w:val="00B7736D"/>
    <w:rsid w:val="00B97593"/>
    <w:rsid w:val="00BA3603"/>
    <w:rsid w:val="00BB2980"/>
    <w:rsid w:val="00BE46FD"/>
    <w:rsid w:val="00C54513"/>
    <w:rsid w:val="00C608CE"/>
    <w:rsid w:val="00C879D4"/>
    <w:rsid w:val="00CE168D"/>
    <w:rsid w:val="00D01FB0"/>
    <w:rsid w:val="00D14EBE"/>
    <w:rsid w:val="00D57A50"/>
    <w:rsid w:val="00D61FE6"/>
    <w:rsid w:val="00D651BD"/>
    <w:rsid w:val="00E32FED"/>
    <w:rsid w:val="00E65043"/>
    <w:rsid w:val="00EA7DF4"/>
    <w:rsid w:val="00EC6509"/>
    <w:rsid w:val="00EF1A60"/>
    <w:rsid w:val="00F429C0"/>
    <w:rsid w:val="00F5543C"/>
    <w:rsid w:val="00F56CC4"/>
    <w:rsid w:val="00F83524"/>
    <w:rsid w:val="00F8611A"/>
    <w:rsid w:val="00FC36C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enu v:ext="edit" fill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C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EC6509"/>
    <w:pPr>
      <w:widowControl w:val="0"/>
      <w:spacing w:after="0" w:line="240" w:lineRule="auto"/>
      <w:ind w:left="113"/>
      <w:outlineLvl w:val="2"/>
    </w:pPr>
    <w:rPr>
      <w:rFonts w:ascii="Arial" w:eastAsia="Arial" w:hAnsi="Arial"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unhideWhenUsed/>
    <w:rsid w:val="0077354C"/>
    <w:pPr>
      <w:tabs>
        <w:tab w:val="center" w:pos="4536"/>
        <w:tab w:val="right" w:pos="9072"/>
      </w:tabs>
    </w:pPr>
  </w:style>
  <w:style w:type="character" w:customStyle="1" w:styleId="HeaderChar">
    <w:name w:val="Header Char"/>
    <w:basedOn w:val="DefaultParagraphFont"/>
    <w:link w:val="Header"/>
    <w:uiPriority w:val="99"/>
    <w:rsid w:val="0077354C"/>
    <w:rPr>
      <w:sz w:val="22"/>
      <w:szCs w:val="22"/>
      <w:lang w:val="en-US" w:eastAsia="en-US"/>
    </w:rPr>
  </w:style>
  <w:style w:type="paragraph" w:styleId="BodyText">
    <w:name w:val="Body Text"/>
    <w:basedOn w:val="Normal"/>
    <w:link w:val="BodyTextChar"/>
    <w:uiPriority w:val="1"/>
    <w:qFormat/>
    <w:rsid w:val="008F6600"/>
    <w:pPr>
      <w:widowControl w:val="0"/>
      <w:spacing w:after="0" w:line="240" w:lineRule="auto"/>
      <w:ind w:left="541" w:hanging="425"/>
    </w:pPr>
    <w:rPr>
      <w:rFonts w:ascii="Arial" w:eastAsia="Arial" w:hAnsi="Arial" w:cstheme="minorBidi"/>
      <w:sz w:val="18"/>
      <w:szCs w:val="18"/>
    </w:rPr>
  </w:style>
  <w:style w:type="character" w:customStyle="1" w:styleId="BodyTextChar">
    <w:name w:val="Body Text Char"/>
    <w:basedOn w:val="DefaultParagraphFont"/>
    <w:link w:val="BodyText"/>
    <w:uiPriority w:val="1"/>
    <w:rsid w:val="008F6600"/>
    <w:rPr>
      <w:rFonts w:ascii="Arial" w:eastAsia="Arial" w:hAnsi="Arial" w:cstheme="minorBidi"/>
      <w:sz w:val="18"/>
      <w:szCs w:val="18"/>
      <w:lang w:val="en-US" w:eastAsia="en-US"/>
    </w:rPr>
  </w:style>
  <w:style w:type="table" w:customStyle="1" w:styleId="TableNormal1">
    <w:name w:val="Table Normal1"/>
    <w:uiPriority w:val="2"/>
    <w:semiHidden/>
    <w:unhideWhenUsed/>
    <w:qFormat/>
    <w:rsid w:val="008F660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600"/>
    <w:pPr>
      <w:widowControl w:val="0"/>
      <w:spacing w:after="0" w:line="240" w:lineRule="auto"/>
    </w:pPr>
    <w:rPr>
      <w:rFonts w:asciiTheme="minorHAnsi" w:eastAsiaTheme="minorHAnsi" w:hAnsiTheme="minorHAnsi" w:cstheme="minorBidi"/>
    </w:rPr>
  </w:style>
  <w:style w:type="character" w:customStyle="1" w:styleId="Heading3Char">
    <w:name w:val="Heading 3 Char"/>
    <w:basedOn w:val="DefaultParagraphFont"/>
    <w:link w:val="Heading3"/>
    <w:uiPriority w:val="1"/>
    <w:rsid w:val="00EC6509"/>
    <w:rPr>
      <w:rFonts w:ascii="Arial" w:eastAsia="Arial" w:hAnsi="Arial" w:cstheme="minorBidi"/>
      <w:sz w:val="22"/>
      <w:szCs w:val="22"/>
      <w:lang w:val="en-US" w:eastAsia="en-US"/>
    </w:rPr>
  </w:style>
  <w:style w:type="paragraph" w:styleId="ListParagraph">
    <w:name w:val="List Paragraph"/>
    <w:basedOn w:val="Normal"/>
    <w:uiPriority w:val="34"/>
    <w:qFormat/>
    <w:rsid w:val="00EC6509"/>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F1C7F"/>
    <w:rPr>
      <w:rFonts w:asciiTheme="majorHAnsi" w:eastAsiaTheme="majorEastAsia" w:hAnsiTheme="majorHAnsi" w:cstheme="majorBidi"/>
      <w:color w:val="365F91" w:themeColor="accent1" w:themeShade="BF"/>
      <w:sz w:val="32"/>
      <w:szCs w:val="3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9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C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EC6509"/>
    <w:pPr>
      <w:widowControl w:val="0"/>
      <w:spacing w:after="0" w:line="240" w:lineRule="auto"/>
      <w:ind w:left="113"/>
      <w:outlineLvl w:val="2"/>
    </w:pPr>
    <w:rPr>
      <w:rFonts w:ascii="Arial" w:eastAsia="Arial" w:hAnsi="Arial"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C4"/>
    <w:rPr>
      <w:rFonts w:ascii="Tahoma" w:hAnsi="Tahoma" w:cs="Tahoma"/>
      <w:sz w:val="16"/>
      <w:szCs w:val="16"/>
    </w:rPr>
  </w:style>
  <w:style w:type="paragraph" w:styleId="NoSpacing">
    <w:name w:val="No Spacing"/>
    <w:uiPriority w:val="1"/>
    <w:qFormat/>
    <w:rsid w:val="00F56CC4"/>
    <w:rPr>
      <w:sz w:val="22"/>
      <w:szCs w:val="22"/>
      <w:lang w:val="en-US" w:eastAsia="en-US"/>
    </w:rPr>
  </w:style>
  <w:style w:type="character" w:styleId="Hyperlink">
    <w:name w:val="Hyperlink"/>
    <w:basedOn w:val="DefaultParagraphFont"/>
    <w:uiPriority w:val="99"/>
    <w:unhideWhenUsed/>
    <w:rsid w:val="00A20B2F"/>
    <w:rPr>
      <w:color w:val="0000FF"/>
      <w:u w:val="single"/>
    </w:rPr>
  </w:style>
  <w:style w:type="paragraph" w:styleId="Footer">
    <w:name w:val="footer"/>
    <w:basedOn w:val="Normal"/>
    <w:link w:val="FooterChar"/>
    <w:uiPriority w:val="99"/>
    <w:unhideWhenUsed/>
    <w:rsid w:val="00AC7A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A25"/>
  </w:style>
  <w:style w:type="paragraph" w:styleId="Header">
    <w:name w:val="header"/>
    <w:basedOn w:val="Normal"/>
    <w:link w:val="HeaderChar"/>
    <w:uiPriority w:val="99"/>
    <w:unhideWhenUsed/>
    <w:rsid w:val="0077354C"/>
    <w:pPr>
      <w:tabs>
        <w:tab w:val="center" w:pos="4536"/>
        <w:tab w:val="right" w:pos="9072"/>
      </w:tabs>
    </w:pPr>
  </w:style>
  <w:style w:type="character" w:customStyle="1" w:styleId="HeaderChar">
    <w:name w:val="Header Char"/>
    <w:basedOn w:val="DefaultParagraphFont"/>
    <w:link w:val="Header"/>
    <w:uiPriority w:val="99"/>
    <w:rsid w:val="0077354C"/>
    <w:rPr>
      <w:sz w:val="22"/>
      <w:szCs w:val="22"/>
      <w:lang w:val="en-US" w:eastAsia="en-US"/>
    </w:rPr>
  </w:style>
  <w:style w:type="paragraph" w:styleId="BodyText">
    <w:name w:val="Body Text"/>
    <w:basedOn w:val="Normal"/>
    <w:link w:val="BodyTextChar"/>
    <w:uiPriority w:val="1"/>
    <w:qFormat/>
    <w:rsid w:val="008F6600"/>
    <w:pPr>
      <w:widowControl w:val="0"/>
      <w:spacing w:after="0" w:line="240" w:lineRule="auto"/>
      <w:ind w:left="541" w:hanging="425"/>
    </w:pPr>
    <w:rPr>
      <w:rFonts w:ascii="Arial" w:eastAsia="Arial" w:hAnsi="Arial" w:cstheme="minorBidi"/>
      <w:sz w:val="18"/>
      <w:szCs w:val="18"/>
    </w:rPr>
  </w:style>
  <w:style w:type="character" w:customStyle="1" w:styleId="BodyTextChar">
    <w:name w:val="Body Text Char"/>
    <w:basedOn w:val="DefaultParagraphFont"/>
    <w:link w:val="BodyText"/>
    <w:uiPriority w:val="1"/>
    <w:rsid w:val="008F6600"/>
    <w:rPr>
      <w:rFonts w:ascii="Arial" w:eastAsia="Arial" w:hAnsi="Arial" w:cstheme="minorBidi"/>
      <w:sz w:val="18"/>
      <w:szCs w:val="18"/>
      <w:lang w:val="en-US" w:eastAsia="en-US"/>
    </w:rPr>
  </w:style>
  <w:style w:type="table" w:customStyle="1" w:styleId="TableNormal1">
    <w:name w:val="Table Normal1"/>
    <w:uiPriority w:val="2"/>
    <w:semiHidden/>
    <w:unhideWhenUsed/>
    <w:qFormat/>
    <w:rsid w:val="008F660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600"/>
    <w:pPr>
      <w:widowControl w:val="0"/>
      <w:spacing w:after="0" w:line="240" w:lineRule="auto"/>
    </w:pPr>
    <w:rPr>
      <w:rFonts w:asciiTheme="minorHAnsi" w:eastAsiaTheme="minorHAnsi" w:hAnsiTheme="minorHAnsi" w:cstheme="minorBidi"/>
    </w:rPr>
  </w:style>
  <w:style w:type="character" w:customStyle="1" w:styleId="Heading3Char">
    <w:name w:val="Heading 3 Char"/>
    <w:basedOn w:val="DefaultParagraphFont"/>
    <w:link w:val="Heading3"/>
    <w:uiPriority w:val="1"/>
    <w:rsid w:val="00EC6509"/>
    <w:rPr>
      <w:rFonts w:ascii="Arial" w:eastAsia="Arial" w:hAnsi="Arial" w:cstheme="minorBidi"/>
      <w:sz w:val="22"/>
      <w:szCs w:val="22"/>
      <w:lang w:val="en-US" w:eastAsia="en-US"/>
    </w:rPr>
  </w:style>
  <w:style w:type="paragraph" w:styleId="ListParagraph">
    <w:name w:val="List Paragraph"/>
    <w:basedOn w:val="Normal"/>
    <w:uiPriority w:val="34"/>
    <w:qFormat/>
    <w:rsid w:val="00EC6509"/>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F1C7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www.kbc.com/" TargetMode="External"/><Relationship Id="rId14" Type="http://schemas.openxmlformats.org/officeDocument/2006/relationships/hyperlink" Target="mailto:wim.allegaert@kbc.be" TargetMode="External"/><Relationship Id="rId15" Type="http://schemas.openxmlformats.org/officeDocument/2006/relationships/hyperlink" Target="mailto:pressofficekbc@kbc.be" TargetMode="External"/><Relationship Id="rId16" Type="http://schemas.openxmlformats.org/officeDocument/2006/relationships/hyperlink" Target="mailto:pressofficekbc@kbc.be" TargetMode="External"/><Relationship Id="rId17" Type="http://schemas.openxmlformats.org/officeDocument/2006/relationships/hyperlink" Target="http://www.kbc.com/" TargetMode="External"/><Relationship Id="rId18" Type="http://schemas.openxmlformats.org/officeDocument/2006/relationships/hyperlink" Target="mailto:pressofficekbc@kbc.be" TargetMode="External"/><Relationship Id="rId19" Type="http://schemas.openxmlformats.org/officeDocument/2006/relationships/hyperlink" Target="http://www.twitter.com/kbc_grou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5982</Words>
  <Characters>34099</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40001</CharactersWithSpaces>
  <SharedDoc>false</SharedDoc>
  <HLinks>
    <vt:vector size="36" baseType="variant">
      <vt:variant>
        <vt:i4>5111906</vt:i4>
      </vt:variant>
      <vt:variant>
        <vt:i4>15</vt:i4>
      </vt:variant>
      <vt:variant>
        <vt:i4>0</vt:i4>
      </vt:variant>
      <vt:variant>
        <vt:i4>5</vt:i4>
      </vt:variant>
      <vt:variant>
        <vt:lpwstr>http://www.twitter.com/kbc_group</vt:lpwstr>
      </vt:variant>
      <vt:variant>
        <vt:lpwstr/>
      </vt:variant>
      <vt:variant>
        <vt:i4>6619203</vt:i4>
      </vt:variant>
      <vt:variant>
        <vt:i4>12</vt:i4>
      </vt:variant>
      <vt:variant>
        <vt:i4>0</vt:i4>
      </vt:variant>
      <vt:variant>
        <vt:i4>5</vt:i4>
      </vt:variant>
      <vt:variant>
        <vt:lpwstr>mailto:pressofficekbc@kbc.be</vt:lpwstr>
      </vt:variant>
      <vt:variant>
        <vt:lpwstr/>
      </vt:variant>
      <vt:variant>
        <vt:i4>2949235</vt:i4>
      </vt:variant>
      <vt:variant>
        <vt:i4>9</vt:i4>
      </vt:variant>
      <vt:variant>
        <vt:i4>0</vt:i4>
      </vt:variant>
      <vt:variant>
        <vt:i4>5</vt:i4>
      </vt:variant>
      <vt:variant>
        <vt:lpwstr>http://www.kbc.com/</vt:lpwstr>
      </vt:variant>
      <vt:variant>
        <vt:lpwstr/>
      </vt:variant>
      <vt:variant>
        <vt:i4>6619203</vt:i4>
      </vt:variant>
      <vt:variant>
        <vt:i4>6</vt:i4>
      </vt:variant>
      <vt:variant>
        <vt:i4>0</vt:i4>
      </vt:variant>
      <vt:variant>
        <vt:i4>5</vt:i4>
      </vt:variant>
      <vt:variant>
        <vt:lpwstr>mailto:pressofficekbc@kbc.be</vt:lpwstr>
      </vt:variant>
      <vt:variant>
        <vt:lpwstr/>
      </vt:variant>
      <vt:variant>
        <vt:i4>6619203</vt:i4>
      </vt:variant>
      <vt:variant>
        <vt:i4>3</vt:i4>
      </vt:variant>
      <vt:variant>
        <vt:i4>0</vt:i4>
      </vt:variant>
      <vt:variant>
        <vt:i4>5</vt:i4>
      </vt:variant>
      <vt:variant>
        <vt:lpwstr>mailto:pressofficekbc@kbc.be</vt:lpwstr>
      </vt:variant>
      <vt:variant>
        <vt:lpwstr/>
      </vt:variant>
      <vt:variant>
        <vt:i4>6881307</vt:i4>
      </vt:variant>
      <vt:variant>
        <vt:i4>0</vt:i4>
      </vt:variant>
      <vt:variant>
        <vt:i4>0</vt:i4>
      </vt:variant>
      <vt:variant>
        <vt:i4>5</vt:i4>
      </vt:variant>
      <vt:variant>
        <vt:lpwstr>mailto:wim.allegaert@kbc.be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JD30767</dc:creator>
  <cp:lastModifiedBy>Guest User</cp:lastModifiedBy>
  <cp:revision>2</cp:revision>
  <cp:lastPrinted>2016-08-10T18:58:00Z</cp:lastPrinted>
  <dcterms:created xsi:type="dcterms:W3CDTF">2016-08-11T09:04:00Z</dcterms:created>
  <dcterms:modified xsi:type="dcterms:W3CDTF">2016-08-11T09:04:00Z</dcterms:modified>
</cp:coreProperties>
</file>