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E2" w:rsidRPr="00CD5F05" w:rsidRDefault="00CD5F05" w:rsidP="00CD5F05">
      <w:pPr>
        <w:jc w:val="center"/>
        <w:rPr>
          <w:rFonts w:cstheme="minorHAnsi"/>
          <w:b/>
          <w:bCs/>
          <w:sz w:val="20"/>
          <w:szCs w:val="20"/>
          <w:u w:val="single"/>
        </w:rPr>
      </w:pPr>
      <w:r w:rsidRPr="00CD5F05">
        <w:rPr>
          <w:rFonts w:cstheme="minorHAnsi"/>
          <w:b/>
          <w:bCs/>
          <w:sz w:val="20"/>
          <w:szCs w:val="20"/>
          <w:u w:val="single"/>
        </w:rPr>
        <w:t>28 FEBBRAIO, GIORNATA DELLE MALATTIE RARE</w:t>
      </w:r>
    </w:p>
    <w:p w:rsidR="004E1A49" w:rsidRPr="00CD5F05" w:rsidRDefault="00736646" w:rsidP="003D3D5F">
      <w:pPr>
        <w:jc w:val="center"/>
        <w:rPr>
          <w:rFonts w:cstheme="minorHAnsi"/>
          <w:b/>
          <w:bCs/>
          <w:sz w:val="24"/>
          <w:szCs w:val="24"/>
        </w:rPr>
      </w:pPr>
      <w:r w:rsidRPr="00CD5F05">
        <w:rPr>
          <w:rFonts w:cstheme="minorHAnsi"/>
          <w:b/>
          <w:bCs/>
          <w:sz w:val="24"/>
          <w:szCs w:val="24"/>
        </w:rPr>
        <w:t>MALATTIE RARE</w:t>
      </w:r>
      <w:r w:rsidR="00292F69" w:rsidRPr="00CD5F05">
        <w:rPr>
          <w:rFonts w:cstheme="minorHAnsi"/>
          <w:b/>
          <w:bCs/>
          <w:sz w:val="24"/>
          <w:szCs w:val="24"/>
        </w:rPr>
        <w:t>, TRA LE PRIME CAUSE DI SORDOCECITA’ E PLURIMINORAZIONE</w:t>
      </w:r>
    </w:p>
    <w:p w:rsidR="00EA364F" w:rsidRPr="00CD5F05" w:rsidRDefault="00EA364F" w:rsidP="00C634E5">
      <w:pPr>
        <w:jc w:val="center"/>
        <w:rPr>
          <w:rFonts w:cstheme="minorHAnsi"/>
          <w:bCs/>
          <w:i/>
        </w:rPr>
      </w:pPr>
      <w:r w:rsidRPr="00CD5F05">
        <w:rPr>
          <w:rFonts w:cstheme="minorHAnsi"/>
          <w:bCs/>
          <w:i/>
        </w:rPr>
        <w:t>Le</w:t>
      </w:r>
      <w:r w:rsidR="00476C1C">
        <w:rPr>
          <w:rFonts w:cstheme="minorHAnsi"/>
          <w:bCs/>
          <w:i/>
        </w:rPr>
        <w:t xml:space="preserve"> malattie rare (che colpiscono circa</w:t>
      </w:r>
      <w:r w:rsidRPr="00CD5F05">
        <w:rPr>
          <w:rFonts w:cstheme="minorHAnsi"/>
          <w:bCs/>
          <w:i/>
        </w:rPr>
        <w:t xml:space="preserve"> un nuovo nato su 2mila), </w:t>
      </w:r>
      <w:r w:rsidR="00CD5F05" w:rsidRPr="00CD5F05">
        <w:rPr>
          <w:rFonts w:cstheme="minorHAnsi"/>
          <w:bCs/>
          <w:i/>
        </w:rPr>
        <w:t>di cui si celeb</w:t>
      </w:r>
      <w:r w:rsidR="00CC6B1B">
        <w:rPr>
          <w:rFonts w:cstheme="minorHAnsi"/>
          <w:bCs/>
          <w:i/>
        </w:rPr>
        <w:t>ra quest’anno la decima edizio</w:t>
      </w:r>
      <w:r w:rsidR="005C63EC">
        <w:rPr>
          <w:rFonts w:cstheme="minorHAnsi"/>
          <w:bCs/>
          <w:i/>
        </w:rPr>
        <w:t>n</w:t>
      </w:r>
      <w:r w:rsidR="00CC6B1B">
        <w:rPr>
          <w:rFonts w:cstheme="minorHAnsi"/>
          <w:bCs/>
          <w:i/>
        </w:rPr>
        <w:t>e,</w:t>
      </w:r>
      <w:r w:rsidR="00CD5F05" w:rsidRPr="00CD5F05">
        <w:rPr>
          <w:rFonts w:cstheme="minorHAnsi"/>
          <w:bCs/>
          <w:i/>
        </w:rPr>
        <w:t xml:space="preserve"> </w:t>
      </w:r>
      <w:r w:rsidRPr="00CD5F05">
        <w:rPr>
          <w:rFonts w:cstheme="minorHAnsi"/>
          <w:bCs/>
          <w:i/>
        </w:rPr>
        <w:t xml:space="preserve">ormai sono diventate tra le prime cause di </w:t>
      </w:r>
      <w:proofErr w:type="spellStart"/>
      <w:r w:rsidRPr="00CD5F05">
        <w:rPr>
          <w:rFonts w:cstheme="minorHAnsi"/>
          <w:bCs/>
          <w:i/>
        </w:rPr>
        <w:t>sordocecità</w:t>
      </w:r>
      <w:proofErr w:type="spellEnd"/>
      <w:r w:rsidRPr="00CD5F05">
        <w:rPr>
          <w:rFonts w:cstheme="minorHAnsi"/>
          <w:bCs/>
          <w:i/>
        </w:rPr>
        <w:t xml:space="preserve"> e </w:t>
      </w:r>
      <w:proofErr w:type="spellStart"/>
      <w:r w:rsidRPr="00CD5F05">
        <w:rPr>
          <w:rFonts w:cstheme="minorHAnsi"/>
          <w:bCs/>
          <w:i/>
        </w:rPr>
        <w:t>pluriminorazioni</w:t>
      </w:r>
      <w:proofErr w:type="spellEnd"/>
      <w:r w:rsidRPr="00CD5F05">
        <w:rPr>
          <w:rFonts w:cstheme="minorHAnsi"/>
          <w:bCs/>
          <w:i/>
        </w:rPr>
        <w:t xml:space="preserve"> tra </w:t>
      </w:r>
      <w:r w:rsidR="00CD5F05" w:rsidRPr="00CD5F05">
        <w:rPr>
          <w:rFonts w:cstheme="minorHAnsi"/>
          <w:bCs/>
          <w:i/>
        </w:rPr>
        <w:t xml:space="preserve">gli utenti </w:t>
      </w:r>
      <w:r w:rsidR="00591735">
        <w:rPr>
          <w:rFonts w:cstheme="minorHAnsi"/>
          <w:bCs/>
          <w:i/>
        </w:rPr>
        <w:t xml:space="preserve">seguiti </w:t>
      </w:r>
      <w:r w:rsidR="00CD5F05" w:rsidRPr="00CD5F05">
        <w:rPr>
          <w:rFonts w:cstheme="minorHAnsi"/>
          <w:bCs/>
          <w:i/>
        </w:rPr>
        <w:t>d</w:t>
      </w:r>
      <w:r w:rsidRPr="00CD5F05">
        <w:rPr>
          <w:rFonts w:cstheme="minorHAnsi"/>
          <w:bCs/>
          <w:i/>
        </w:rPr>
        <w:t>alla Lega del Filo d’Oro</w:t>
      </w:r>
    </w:p>
    <w:p w:rsidR="008E37C9" w:rsidRDefault="008E37C9" w:rsidP="00605ED1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Nel 2016, delle 291 persone </w:t>
      </w:r>
      <w:r w:rsidR="00EC5301">
        <w:rPr>
          <w:rFonts w:cstheme="minorHAnsi"/>
          <w:bCs/>
        </w:rPr>
        <w:t xml:space="preserve">trattate al </w:t>
      </w:r>
      <w:r>
        <w:rPr>
          <w:rFonts w:cstheme="minorHAnsi"/>
          <w:bCs/>
        </w:rPr>
        <w:t>Centro nazionale di Osimo della Lega del Filo d’Oro</w:t>
      </w:r>
      <w:r w:rsidR="00CC6B1B">
        <w:rPr>
          <w:rFonts w:cstheme="minorHAnsi"/>
          <w:bCs/>
        </w:rPr>
        <w:t>,</w:t>
      </w:r>
      <w:r>
        <w:rPr>
          <w:rFonts w:cstheme="minorHAnsi"/>
          <w:bCs/>
        </w:rPr>
        <w:t xml:space="preserve"> il 34% è affetto da malattie rare</w:t>
      </w:r>
      <w:r>
        <w:rPr>
          <w:rStyle w:val="Rimandonotaapidipagina"/>
          <w:rFonts w:cstheme="minorHAnsi"/>
          <w:bCs/>
        </w:rPr>
        <w:footnoteReference w:id="1"/>
      </w:r>
      <w:r>
        <w:rPr>
          <w:rFonts w:cstheme="minorHAnsi"/>
          <w:bCs/>
        </w:rPr>
        <w:t xml:space="preserve">, di cui oltre il 60% ha un’età compresa tra i 5 e i 18 anni, </w:t>
      </w:r>
      <w:r w:rsidR="00EC5301">
        <w:rPr>
          <w:rFonts w:cstheme="minorHAnsi"/>
          <w:bCs/>
        </w:rPr>
        <w:t>l’11% ha un’</w:t>
      </w:r>
      <w:r>
        <w:rPr>
          <w:rFonts w:cstheme="minorHAnsi"/>
          <w:bCs/>
        </w:rPr>
        <w:t xml:space="preserve">età compresa tra 0 </w:t>
      </w:r>
      <w:r w:rsidR="00EC5301">
        <w:rPr>
          <w:rFonts w:cstheme="minorHAnsi"/>
          <w:bCs/>
        </w:rPr>
        <w:t xml:space="preserve">e 4 anni e </w:t>
      </w:r>
      <w:r>
        <w:rPr>
          <w:rFonts w:cstheme="minorHAnsi"/>
          <w:bCs/>
        </w:rPr>
        <w:t>poco meno del 20%</w:t>
      </w:r>
      <w:r w:rsidR="00EC5301">
        <w:rPr>
          <w:rFonts w:cstheme="minorHAnsi"/>
          <w:bCs/>
        </w:rPr>
        <w:t xml:space="preserve"> sono adulti e</w:t>
      </w:r>
      <w:r>
        <w:rPr>
          <w:rFonts w:cstheme="minorHAnsi"/>
          <w:bCs/>
        </w:rPr>
        <w:t xml:space="preserve"> ha</w:t>
      </w:r>
      <w:r w:rsidR="00EC5301">
        <w:rPr>
          <w:rFonts w:cstheme="minorHAnsi"/>
          <w:bCs/>
        </w:rPr>
        <w:t>nno un</w:t>
      </w:r>
      <w:r w:rsidR="00680E81">
        <w:rPr>
          <w:rFonts w:cstheme="minorHAnsi"/>
          <w:bCs/>
        </w:rPr>
        <w:t>’</w:t>
      </w:r>
      <w:r w:rsidR="00EC5301">
        <w:rPr>
          <w:rFonts w:cstheme="minorHAnsi"/>
          <w:bCs/>
        </w:rPr>
        <w:t>età superiore ai 26 anni</w:t>
      </w:r>
      <w:r>
        <w:rPr>
          <w:rFonts w:cstheme="minorHAnsi"/>
          <w:bCs/>
        </w:rPr>
        <w:t xml:space="preserve">. </w:t>
      </w:r>
      <w:r w:rsidR="00C27DD5">
        <w:rPr>
          <w:rFonts w:cstheme="minorHAnsi"/>
          <w:bCs/>
        </w:rPr>
        <w:t>Le malattie rare h</w:t>
      </w:r>
      <w:r>
        <w:rPr>
          <w:rFonts w:cstheme="minorHAnsi"/>
          <w:bCs/>
        </w:rPr>
        <w:t>anno nomi difficili,</w:t>
      </w:r>
      <w:r w:rsidR="00A85C04" w:rsidRPr="00CD5F05">
        <w:rPr>
          <w:rFonts w:cstheme="minorHAnsi"/>
          <w:bCs/>
        </w:rPr>
        <w:t xml:space="preserve"> </w:t>
      </w:r>
      <w:r w:rsidR="00A85C04" w:rsidRPr="00CD5F05">
        <w:rPr>
          <w:rFonts w:cstheme="minorHAnsi"/>
          <w:b/>
          <w:bCs/>
        </w:rPr>
        <w:t>colpiscono</w:t>
      </w:r>
      <w:r w:rsidR="00476C1C">
        <w:rPr>
          <w:rFonts w:cstheme="minorHAnsi"/>
          <w:b/>
          <w:bCs/>
        </w:rPr>
        <w:t xml:space="preserve"> circa</w:t>
      </w:r>
      <w:r w:rsidR="00A85C04" w:rsidRPr="00CD5F05">
        <w:rPr>
          <w:rFonts w:cstheme="minorHAnsi"/>
          <w:b/>
          <w:bCs/>
        </w:rPr>
        <w:t xml:space="preserve"> 1 nato su 2000,</w:t>
      </w:r>
      <w:r w:rsidRPr="008E37C9">
        <w:rPr>
          <w:rFonts w:cstheme="minorHAnsi"/>
          <w:bCs/>
        </w:rPr>
        <w:t xml:space="preserve"> non esist</w:t>
      </w:r>
      <w:r w:rsidR="00476C1C">
        <w:rPr>
          <w:rFonts w:cstheme="minorHAnsi"/>
          <w:bCs/>
        </w:rPr>
        <w:t>ono sufficienti studi clinici,</w:t>
      </w:r>
      <w:r>
        <w:rPr>
          <w:rFonts w:cstheme="minorHAnsi"/>
          <w:bCs/>
        </w:rPr>
        <w:t xml:space="preserve"> </w:t>
      </w:r>
      <w:r w:rsidRPr="008E37C9">
        <w:rPr>
          <w:rFonts w:cstheme="minorHAnsi"/>
          <w:bCs/>
        </w:rPr>
        <w:t>present</w:t>
      </w:r>
      <w:r w:rsidR="00C27DD5">
        <w:rPr>
          <w:rFonts w:cstheme="minorHAnsi"/>
          <w:bCs/>
        </w:rPr>
        <w:t>a</w:t>
      </w:r>
      <w:r w:rsidR="00476C1C">
        <w:rPr>
          <w:rFonts w:cstheme="minorHAnsi"/>
          <w:bCs/>
        </w:rPr>
        <w:t xml:space="preserve">no caratteristiche particolari e </w:t>
      </w:r>
      <w:r w:rsidR="00A85C04" w:rsidRPr="00CD5F05">
        <w:rPr>
          <w:rFonts w:cstheme="minorHAnsi"/>
          <w:b/>
          <w:bCs/>
        </w:rPr>
        <w:t xml:space="preserve">sono tra le prime cause di </w:t>
      </w:r>
      <w:proofErr w:type="spellStart"/>
      <w:r w:rsidR="00A85C04" w:rsidRPr="00CD5F05">
        <w:rPr>
          <w:rFonts w:cstheme="minorHAnsi"/>
          <w:b/>
          <w:bCs/>
        </w:rPr>
        <w:t>sordocecità</w:t>
      </w:r>
      <w:proofErr w:type="spellEnd"/>
      <w:r w:rsidR="00A85C04" w:rsidRPr="00CD5F05">
        <w:rPr>
          <w:rFonts w:cstheme="minorHAnsi"/>
          <w:b/>
          <w:bCs/>
        </w:rPr>
        <w:t xml:space="preserve"> e </w:t>
      </w:r>
      <w:proofErr w:type="spellStart"/>
      <w:r w:rsidR="00A85C04" w:rsidRPr="00CD5F05">
        <w:rPr>
          <w:rFonts w:cstheme="minorHAnsi"/>
          <w:b/>
          <w:bCs/>
        </w:rPr>
        <w:t>pluriminorazioni</w:t>
      </w:r>
      <w:proofErr w:type="spellEnd"/>
      <w:r w:rsidR="00CF3584">
        <w:rPr>
          <w:rFonts w:cstheme="minorHAnsi"/>
          <w:b/>
          <w:bCs/>
        </w:rPr>
        <w:t xml:space="preserve"> psicosensoriali</w:t>
      </w:r>
      <w:r w:rsidR="00A85C04" w:rsidRPr="00CD5F05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</w:p>
    <w:p w:rsidR="00476C1C" w:rsidRDefault="00476C1C" w:rsidP="00476C1C">
      <w:pPr>
        <w:spacing w:line="360" w:lineRule="auto"/>
        <w:jc w:val="both"/>
        <w:rPr>
          <w:rFonts w:cstheme="minorHAnsi"/>
          <w:bCs/>
        </w:rPr>
      </w:pPr>
      <w:r w:rsidRPr="008E37C9">
        <w:rPr>
          <w:rFonts w:cstheme="minorHAnsi"/>
          <w:bCs/>
        </w:rPr>
        <w:t xml:space="preserve">Nel loro insieme </w:t>
      </w:r>
      <w:r>
        <w:rPr>
          <w:rFonts w:cstheme="minorHAnsi"/>
          <w:bCs/>
        </w:rPr>
        <w:t>le malattie rare</w:t>
      </w:r>
      <w:r w:rsidRPr="008E37C9">
        <w:rPr>
          <w:rFonts w:cstheme="minorHAnsi"/>
          <w:bCs/>
        </w:rPr>
        <w:t xml:space="preserve"> sono molto numerose, infatti l'Organizzazione Mondiale della Sanità ha stimato che</w:t>
      </w:r>
      <w:r>
        <w:rPr>
          <w:rFonts w:cstheme="minorHAnsi"/>
          <w:bCs/>
        </w:rPr>
        <w:t xml:space="preserve"> ne</w:t>
      </w:r>
      <w:r w:rsidRPr="008E37C9">
        <w:rPr>
          <w:rFonts w:cstheme="minorHAnsi"/>
          <w:bCs/>
        </w:rPr>
        <w:t xml:space="preserve"> esistono tra 6.000 e 7.000 distinte e colpiscono complessivamente circa il 3% della popolazione</w:t>
      </w:r>
      <w:r w:rsidR="004F1548">
        <w:rPr>
          <w:rStyle w:val="Rimandonotaapidipagina"/>
          <w:rFonts w:cstheme="minorHAnsi"/>
          <w:bCs/>
        </w:rPr>
        <w:footnoteReference w:id="2"/>
      </w:r>
      <w:r w:rsidRPr="008E37C9">
        <w:rPr>
          <w:rFonts w:cstheme="minorHAnsi"/>
          <w:bCs/>
        </w:rPr>
        <w:t xml:space="preserve">. In totale si stimano tra 27 e 36 milioni di persone coinvolte nella sola Unione Europea di cui </w:t>
      </w:r>
      <w:r w:rsidRPr="00A93EFA">
        <w:rPr>
          <w:rFonts w:cstheme="minorHAnsi"/>
          <w:b/>
          <w:bCs/>
        </w:rPr>
        <w:t>circa 1-2 milioni in Italia</w:t>
      </w:r>
      <w:r w:rsidRPr="008E37C9">
        <w:rPr>
          <w:rFonts w:cstheme="minorHAnsi"/>
          <w:bCs/>
        </w:rPr>
        <w:t xml:space="preserve">.  </w:t>
      </w:r>
      <w:r>
        <w:rPr>
          <w:rFonts w:cstheme="minorHAnsi"/>
          <w:bCs/>
        </w:rPr>
        <w:t xml:space="preserve"> </w:t>
      </w:r>
    </w:p>
    <w:p w:rsidR="00605ED1" w:rsidRPr="008E37C9" w:rsidRDefault="00605ED1" w:rsidP="00605ED1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 xml:space="preserve">In </w:t>
      </w:r>
      <w:r w:rsidRPr="00605ED1">
        <w:rPr>
          <w:rFonts w:cstheme="minorHAnsi"/>
          <w:bCs/>
        </w:rPr>
        <w:t>particolar modo,</w:t>
      </w:r>
      <w:r w:rsidR="00C27DD5">
        <w:rPr>
          <w:rFonts w:cstheme="minorHAnsi"/>
          <w:bCs/>
        </w:rPr>
        <w:t xml:space="preserve"> tra le persone sordocieche e pluriminorate psicosensoriali</w:t>
      </w:r>
      <w:r w:rsidRPr="00605ED1">
        <w:rPr>
          <w:rFonts w:cstheme="minorHAnsi"/>
          <w:bCs/>
        </w:rPr>
        <w:t xml:space="preserve"> si riscontrano la </w:t>
      </w:r>
      <w:r w:rsidRPr="00605ED1">
        <w:rPr>
          <w:rFonts w:cstheme="minorHAnsi"/>
          <w:b/>
          <w:bCs/>
        </w:rPr>
        <w:t xml:space="preserve">sindrome di </w:t>
      </w:r>
      <w:proofErr w:type="spellStart"/>
      <w:r w:rsidRPr="00605ED1">
        <w:rPr>
          <w:rFonts w:cstheme="minorHAnsi"/>
          <w:b/>
          <w:bCs/>
        </w:rPr>
        <w:t>Charge</w:t>
      </w:r>
      <w:proofErr w:type="spellEnd"/>
      <w:r w:rsidR="00680E81">
        <w:rPr>
          <w:rFonts w:cstheme="minorHAnsi"/>
          <w:b/>
          <w:bCs/>
        </w:rPr>
        <w:t xml:space="preserve">, </w:t>
      </w:r>
      <w:r w:rsidR="00680E81" w:rsidRPr="00680E81">
        <w:rPr>
          <w:rFonts w:cstheme="minorHAnsi"/>
          <w:bCs/>
        </w:rPr>
        <w:t>di cui la Lega del Filo d’Oro è punto di riferimento in Italia</w:t>
      </w:r>
      <w:r w:rsidRPr="00605ED1">
        <w:rPr>
          <w:rFonts w:cstheme="minorHAnsi"/>
          <w:bCs/>
        </w:rPr>
        <w:t xml:space="preserve"> – un’anomalia congenita rara che può colpire diverse parti del corpo e coinvolgere, oltre alla struttura oculare e dell'orecchio, il cuore, uno o entrambe le cavità nasali, i genitali e causare inoltre un ritardo nella crescita e nello sviluppo – e quella </w:t>
      </w:r>
      <w:r w:rsidRPr="00605ED1">
        <w:rPr>
          <w:rFonts w:cstheme="minorHAnsi"/>
          <w:b/>
          <w:bCs/>
        </w:rPr>
        <w:t xml:space="preserve">di </w:t>
      </w:r>
      <w:proofErr w:type="spellStart"/>
      <w:r w:rsidRPr="00605ED1">
        <w:rPr>
          <w:rFonts w:cstheme="minorHAnsi"/>
          <w:b/>
          <w:bCs/>
        </w:rPr>
        <w:t>Usher</w:t>
      </w:r>
      <w:proofErr w:type="spellEnd"/>
      <w:r w:rsidRPr="00605ED1">
        <w:rPr>
          <w:rFonts w:cstheme="minorHAnsi"/>
          <w:bCs/>
        </w:rPr>
        <w:t xml:space="preserve"> – una malattia congenita a causa della quale chi ne è colpito nasce </w:t>
      </w:r>
      <w:r w:rsidR="00E0372A">
        <w:rPr>
          <w:rFonts w:cstheme="minorHAnsi"/>
          <w:bCs/>
        </w:rPr>
        <w:t>con disabilità uditiva</w:t>
      </w:r>
      <w:r w:rsidRPr="00605ED1">
        <w:rPr>
          <w:rFonts w:cstheme="minorHAnsi"/>
          <w:bCs/>
        </w:rPr>
        <w:t xml:space="preserve"> e perde la vista successivamente, per un deterioramento della retina </w:t>
      </w:r>
      <w:r w:rsidR="00C27DD5">
        <w:rPr>
          <w:rFonts w:cstheme="minorHAnsi"/>
          <w:bCs/>
        </w:rPr>
        <w:t>noto come “retinite pigmentosa” – e</w:t>
      </w:r>
      <w:r w:rsidR="00C27DD5" w:rsidRPr="00C27DD5">
        <w:rPr>
          <w:rFonts w:cstheme="minorHAnsi"/>
          <w:b/>
          <w:bCs/>
        </w:rPr>
        <w:t xml:space="preserve"> </w:t>
      </w:r>
      <w:r w:rsidR="00E0372A">
        <w:rPr>
          <w:rFonts w:cstheme="minorHAnsi"/>
          <w:b/>
          <w:bCs/>
        </w:rPr>
        <w:t>incidono fortemente sulla qualità di vita di chi è affetto dalla malattia e dell’intero nucleo familiare</w:t>
      </w:r>
      <w:r w:rsidR="00C27DD5" w:rsidRPr="00605ED1">
        <w:rPr>
          <w:rFonts w:cstheme="minorHAnsi"/>
          <w:b/>
          <w:bCs/>
        </w:rPr>
        <w:t>.</w:t>
      </w:r>
    </w:p>
    <w:p w:rsidR="00B27FF7" w:rsidRPr="00B27FF7" w:rsidRDefault="00B27FF7" w:rsidP="00B27FF7">
      <w:pPr>
        <w:spacing w:line="360" w:lineRule="auto"/>
        <w:jc w:val="both"/>
        <w:rPr>
          <w:rFonts w:cstheme="minorHAnsi"/>
          <w:bCs/>
        </w:rPr>
      </w:pPr>
      <w:r w:rsidRPr="00B27FF7">
        <w:rPr>
          <w:rFonts w:cstheme="minorHAnsi"/>
          <w:b/>
          <w:bCs/>
        </w:rPr>
        <w:t xml:space="preserve">Non esistendo un approccio </w:t>
      </w:r>
      <w:r>
        <w:rPr>
          <w:rFonts w:cstheme="minorHAnsi"/>
          <w:b/>
          <w:bCs/>
        </w:rPr>
        <w:t xml:space="preserve">riabilitativo </w:t>
      </w:r>
      <w:r w:rsidRPr="00B27FF7">
        <w:rPr>
          <w:rFonts w:cstheme="minorHAnsi"/>
          <w:b/>
          <w:bCs/>
        </w:rPr>
        <w:t xml:space="preserve">standard </w:t>
      </w:r>
      <w:r w:rsidRPr="00B27FF7">
        <w:rPr>
          <w:rFonts w:cstheme="minorHAnsi"/>
          <w:bCs/>
        </w:rPr>
        <w:t>a questi tipi di disabilità,</w:t>
      </w:r>
      <w:r w:rsidRPr="00B27FF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l’</w:t>
      </w:r>
      <w:r w:rsidRPr="00B27FF7">
        <w:rPr>
          <w:rFonts w:cstheme="minorHAnsi"/>
          <w:b/>
          <w:bCs/>
        </w:rPr>
        <w:t xml:space="preserve">equipe </w:t>
      </w:r>
      <w:r w:rsidRPr="00B27FF7">
        <w:rPr>
          <w:rFonts w:cstheme="minorHAnsi"/>
          <w:bCs/>
        </w:rPr>
        <w:t>della Lega del Filo d’Oro</w:t>
      </w:r>
      <w:r w:rsidRPr="00B27FF7">
        <w:rPr>
          <w:rFonts w:cstheme="minorHAnsi"/>
          <w:b/>
          <w:bCs/>
        </w:rPr>
        <w:t xml:space="preserve"> è impegnata a costruirlo di volta in volta, a seconda </w:t>
      </w:r>
      <w:r w:rsidRPr="00A93EFA">
        <w:rPr>
          <w:rFonts w:cstheme="minorHAnsi"/>
          <w:b/>
          <w:bCs/>
        </w:rPr>
        <w:t>dell’utente</w:t>
      </w:r>
      <w:r w:rsidRPr="00B27FF7">
        <w:rPr>
          <w:rFonts w:cstheme="minorHAnsi"/>
          <w:bCs/>
        </w:rPr>
        <w:t xml:space="preserve"> che </w:t>
      </w:r>
      <w:r>
        <w:rPr>
          <w:rFonts w:cstheme="minorHAnsi"/>
          <w:bCs/>
        </w:rPr>
        <w:t>arriva al Centro</w:t>
      </w:r>
      <w:r w:rsidRPr="00B27FF7">
        <w:rPr>
          <w:rFonts w:cstheme="minorHAnsi"/>
          <w:bCs/>
        </w:rPr>
        <w:t xml:space="preserve">, del grado e della combinazione delle minorazioni, del momento e delle cause della loro insorgenza e anche dell’ambiente socio-familiare. Così per ognuno – </w:t>
      </w:r>
      <w:r w:rsidRPr="00B27FF7">
        <w:rPr>
          <w:rFonts w:cstheme="minorHAnsi"/>
          <w:b/>
          <w:bCs/>
        </w:rPr>
        <w:t xml:space="preserve">dopo un’approfondita analisi delle abilità residue e delle cause principali di </w:t>
      </w:r>
      <w:proofErr w:type="spellStart"/>
      <w:r w:rsidRPr="00B27FF7">
        <w:rPr>
          <w:rFonts w:cstheme="minorHAnsi"/>
          <w:b/>
          <w:bCs/>
        </w:rPr>
        <w:t>sordocecità</w:t>
      </w:r>
      <w:proofErr w:type="spellEnd"/>
      <w:r w:rsidRPr="00B27FF7">
        <w:rPr>
          <w:rFonts w:cstheme="minorHAnsi"/>
          <w:b/>
          <w:bCs/>
        </w:rPr>
        <w:t xml:space="preserve"> e </w:t>
      </w:r>
      <w:proofErr w:type="spellStart"/>
      <w:r w:rsidRPr="00B27FF7">
        <w:rPr>
          <w:rFonts w:cstheme="minorHAnsi"/>
          <w:b/>
          <w:bCs/>
        </w:rPr>
        <w:t>pluriminorazioni</w:t>
      </w:r>
      <w:proofErr w:type="spellEnd"/>
      <w:r w:rsidRPr="00B27FF7">
        <w:rPr>
          <w:rFonts w:cstheme="minorHAnsi"/>
          <w:b/>
          <w:bCs/>
        </w:rPr>
        <w:t xml:space="preserve"> psicosensoriali</w:t>
      </w:r>
      <w:r w:rsidRPr="00B27FF7">
        <w:rPr>
          <w:rFonts w:cstheme="minorHAnsi"/>
          <w:bCs/>
        </w:rPr>
        <w:t xml:space="preserve"> – viene messo a punto </w:t>
      </w:r>
      <w:r w:rsidRPr="00B27FF7">
        <w:rPr>
          <w:rFonts w:cstheme="minorHAnsi"/>
          <w:b/>
          <w:bCs/>
        </w:rPr>
        <w:t>un piano di intervento riabilitativo personalizzato</w:t>
      </w:r>
      <w:r w:rsidRPr="00B27FF7">
        <w:rPr>
          <w:rFonts w:cstheme="minorHAnsi"/>
          <w:bCs/>
        </w:rPr>
        <w:t xml:space="preserve">, attuato sempre con il coinvolgimento delle famiglie, delle istituzioni e dei territori: solo in questo modo si può, infatti, realizzare pienamente il reinserimento nella società. </w:t>
      </w:r>
    </w:p>
    <w:p w:rsidR="00736646" w:rsidRPr="00CD5F05" w:rsidRDefault="00A85C04" w:rsidP="003D3D5F">
      <w:pPr>
        <w:spacing w:line="360" w:lineRule="auto"/>
        <w:jc w:val="both"/>
        <w:rPr>
          <w:rFonts w:cstheme="minorHAnsi"/>
          <w:bCs/>
        </w:rPr>
      </w:pPr>
      <w:r w:rsidRPr="00CD5F05">
        <w:rPr>
          <w:rFonts w:cstheme="minorHAnsi"/>
          <w:bCs/>
        </w:rPr>
        <w:lastRenderedPageBreak/>
        <w:t>«</w:t>
      </w:r>
      <w:r w:rsidRPr="00CD5F05">
        <w:rPr>
          <w:rFonts w:cstheme="minorHAnsi"/>
          <w:bCs/>
          <w:i/>
        </w:rPr>
        <w:t xml:space="preserve">È importante che attorno ai genitori di bambini affetti da sindromi rare ci sia una rete di professionisti e persone dal volto amico che offrano accoglienza e </w:t>
      </w:r>
      <w:r w:rsidR="00F34783" w:rsidRPr="00CD5F05">
        <w:rPr>
          <w:rFonts w:cstheme="minorHAnsi"/>
          <w:bCs/>
          <w:i/>
        </w:rPr>
        <w:t>sostegno</w:t>
      </w:r>
      <w:r w:rsidR="00F34783" w:rsidRPr="00CD5F05">
        <w:rPr>
          <w:rFonts w:cstheme="minorHAnsi"/>
          <w:bCs/>
        </w:rPr>
        <w:t xml:space="preserve">», </w:t>
      </w:r>
      <w:r w:rsidR="00736646" w:rsidRPr="00CD5F05">
        <w:rPr>
          <w:rFonts w:cstheme="minorHAnsi"/>
          <w:bCs/>
        </w:rPr>
        <w:t>sostiene</w:t>
      </w:r>
      <w:r w:rsidRPr="00CD5F05">
        <w:rPr>
          <w:rFonts w:cstheme="minorHAnsi"/>
          <w:bCs/>
        </w:rPr>
        <w:t xml:space="preserve"> </w:t>
      </w:r>
      <w:r w:rsidRPr="00CD5F05">
        <w:rPr>
          <w:rFonts w:cstheme="minorHAnsi"/>
          <w:b/>
          <w:bCs/>
        </w:rPr>
        <w:t>Patrizia Ceccarani</w:t>
      </w:r>
      <w:r w:rsidRPr="00CD5F05">
        <w:rPr>
          <w:rFonts w:cstheme="minorHAnsi"/>
          <w:bCs/>
        </w:rPr>
        <w:t>, Direttore Tecnico Scientifico della Lega</w:t>
      </w:r>
      <w:r w:rsidR="00F34783" w:rsidRPr="00CD5F05">
        <w:rPr>
          <w:rFonts w:cstheme="minorHAnsi"/>
          <w:bCs/>
        </w:rPr>
        <w:t xml:space="preserve"> del Filo d’Oro</w:t>
      </w:r>
      <w:r w:rsidRPr="00CD5F05">
        <w:rPr>
          <w:rFonts w:cstheme="minorHAnsi"/>
          <w:bCs/>
        </w:rPr>
        <w:t>. «</w:t>
      </w:r>
      <w:r w:rsidRPr="00CD5F05">
        <w:rPr>
          <w:rFonts w:cstheme="minorHAnsi"/>
          <w:bCs/>
          <w:i/>
        </w:rPr>
        <w:t xml:space="preserve">Anche perché la famiglia, insieme alla guida di esperti, è cruciale per lo sviluppo di un bambino affetto da queste malattie; quando un genitore riesce a comprendere le difficoltà del figlio, si trova nella condizione migliore per </w:t>
      </w:r>
      <w:r w:rsidR="00973AF9">
        <w:rPr>
          <w:rFonts w:cstheme="minorHAnsi"/>
          <w:bCs/>
          <w:i/>
        </w:rPr>
        <w:t>prendersene cura</w:t>
      </w:r>
      <w:r w:rsidRPr="00CD5F05">
        <w:rPr>
          <w:rFonts w:cstheme="minorHAnsi"/>
          <w:bCs/>
          <w:i/>
        </w:rPr>
        <w:t xml:space="preserve"> e facilitare lo sviluppo delle sue potenzialità</w:t>
      </w:r>
      <w:r w:rsidRPr="00CD5F05">
        <w:rPr>
          <w:rFonts w:cstheme="minorHAnsi"/>
          <w:bCs/>
        </w:rPr>
        <w:t xml:space="preserve">». </w:t>
      </w:r>
    </w:p>
    <w:p w:rsidR="00736646" w:rsidRDefault="00A85C04" w:rsidP="003D3D5F">
      <w:pPr>
        <w:spacing w:line="360" w:lineRule="auto"/>
        <w:jc w:val="both"/>
        <w:rPr>
          <w:rFonts w:cstheme="minorHAnsi"/>
          <w:bCs/>
        </w:rPr>
      </w:pPr>
      <w:r w:rsidRPr="00CD5F05">
        <w:rPr>
          <w:rFonts w:cstheme="minorHAnsi"/>
          <w:bCs/>
        </w:rPr>
        <w:t>Altro elemento decisivo è l’intervento precoce, entro il primo anno di vita, o comunque appena si raggiunge una diagnosi certa. «</w:t>
      </w:r>
      <w:r w:rsidRPr="00CD5F05">
        <w:rPr>
          <w:rFonts w:cstheme="minorHAnsi"/>
          <w:bCs/>
          <w:i/>
        </w:rPr>
        <w:t xml:space="preserve">Nell’intervento precoce si </w:t>
      </w:r>
      <w:r w:rsidRPr="00A93EFA">
        <w:rPr>
          <w:rFonts w:cstheme="minorHAnsi"/>
          <w:bCs/>
          <w:i/>
        </w:rPr>
        <w:t>cerca di far utilizzare</w:t>
      </w:r>
      <w:r w:rsidRPr="00CD5F05">
        <w:rPr>
          <w:rFonts w:cstheme="minorHAnsi"/>
          <w:bCs/>
          <w:i/>
        </w:rPr>
        <w:t xml:space="preserve"> al meglio le risorse residue e di sviluppare strategie alternative</w:t>
      </w:r>
      <w:r w:rsidR="00680E81">
        <w:rPr>
          <w:rFonts w:cstheme="minorHAnsi"/>
          <w:bCs/>
        </w:rPr>
        <w:t>», continua la dottoressa</w:t>
      </w:r>
      <w:r w:rsidR="00476C1C" w:rsidRPr="00476C1C">
        <w:rPr>
          <w:rFonts w:cstheme="minorHAnsi"/>
          <w:b/>
          <w:bCs/>
        </w:rPr>
        <w:t xml:space="preserve"> </w:t>
      </w:r>
      <w:r w:rsidRPr="00476C1C">
        <w:rPr>
          <w:rFonts w:cstheme="minorHAnsi"/>
          <w:b/>
          <w:bCs/>
        </w:rPr>
        <w:t>Ceccarani</w:t>
      </w:r>
      <w:r w:rsidRPr="00CD5F05">
        <w:rPr>
          <w:rFonts w:cstheme="minorHAnsi"/>
          <w:bCs/>
        </w:rPr>
        <w:t>. «</w:t>
      </w:r>
      <w:r w:rsidRPr="00CD5F05">
        <w:rPr>
          <w:rFonts w:cstheme="minorHAnsi"/>
          <w:bCs/>
          <w:i/>
        </w:rPr>
        <w:t>La presa in carico è globale, mirata a far acquisire al piccolo la comunicazione, l’utilizzo dei residui visivi o uditivi e degli altri sensi, lo sviluppo delle abilità motorie, psicomotorie e cognitive, le autonomie personali e il gioco</w:t>
      </w:r>
      <w:r w:rsidRPr="00CD5F05">
        <w:rPr>
          <w:rFonts w:cstheme="minorHAnsi"/>
          <w:bCs/>
        </w:rPr>
        <w:t xml:space="preserve">». </w:t>
      </w:r>
    </w:p>
    <w:p w:rsidR="00476C1C" w:rsidRPr="00476C1C" w:rsidRDefault="00476C1C" w:rsidP="003D3D5F">
      <w:pPr>
        <w:spacing w:line="360" w:lineRule="auto"/>
        <w:jc w:val="both"/>
        <w:rPr>
          <w:rFonts w:cstheme="minorHAnsi"/>
          <w:b/>
          <w:bCs/>
        </w:rPr>
      </w:pPr>
      <w:r w:rsidRPr="00476C1C">
        <w:rPr>
          <w:rFonts w:cstheme="minorHAnsi"/>
          <w:b/>
          <w:bCs/>
        </w:rPr>
        <w:t>L’APPROCCIO INTERDISCIPLINARE PER TRATTAMENTI RIABILITATIVI PERSONALIZZATI</w:t>
      </w:r>
    </w:p>
    <w:p w:rsidR="0057336D" w:rsidRPr="00CD5F05" w:rsidRDefault="00A85C04" w:rsidP="003D3D5F">
      <w:pPr>
        <w:spacing w:line="360" w:lineRule="auto"/>
        <w:jc w:val="both"/>
        <w:rPr>
          <w:rFonts w:cstheme="minorHAnsi"/>
          <w:bCs/>
        </w:rPr>
      </w:pPr>
      <w:r w:rsidRPr="00CD5F05">
        <w:rPr>
          <w:rFonts w:cstheme="minorHAnsi"/>
          <w:bCs/>
        </w:rPr>
        <w:t>Quali comportamenti comunicativi possiede il bambino? Come sollecitare l’espressione di bisogni e desideri? In che misura potrà partecipare attivamente e in modo autonomo alla vita sociale? Sono queste le domande a cui risponde un team comp</w:t>
      </w:r>
      <w:r w:rsidR="00973AF9">
        <w:rPr>
          <w:rFonts w:cstheme="minorHAnsi"/>
          <w:bCs/>
        </w:rPr>
        <w:t>osto da insegnanti, educatori, operatori e terapisti</w:t>
      </w:r>
      <w:r w:rsidRPr="00CD5F05">
        <w:rPr>
          <w:rFonts w:cstheme="minorHAnsi"/>
          <w:bCs/>
        </w:rPr>
        <w:t xml:space="preserve"> che lavora in modo interdisciplinare sviluppando trattamenti educativo-riabilitativi personalizzati portati avanti in varie aree e integrati con sedute di fisiochinesiterapia, </w:t>
      </w:r>
      <w:proofErr w:type="spellStart"/>
      <w:r w:rsidRPr="00CD5F05">
        <w:rPr>
          <w:rFonts w:cstheme="minorHAnsi"/>
          <w:bCs/>
        </w:rPr>
        <w:t>idrochinesiterapia</w:t>
      </w:r>
      <w:proofErr w:type="spellEnd"/>
      <w:r w:rsidRPr="00CD5F05">
        <w:rPr>
          <w:rFonts w:cstheme="minorHAnsi"/>
          <w:bCs/>
        </w:rPr>
        <w:t xml:space="preserve">, musicoterapia, logopedia, </w:t>
      </w:r>
      <w:proofErr w:type="spellStart"/>
      <w:r w:rsidRPr="00CD5F05">
        <w:rPr>
          <w:rFonts w:cstheme="minorHAnsi"/>
          <w:bCs/>
        </w:rPr>
        <w:t>deglutologia</w:t>
      </w:r>
      <w:proofErr w:type="spellEnd"/>
      <w:r w:rsidRPr="00CD5F05">
        <w:rPr>
          <w:rFonts w:cstheme="minorHAnsi"/>
          <w:bCs/>
        </w:rPr>
        <w:t xml:space="preserve">, orientamento e mobilità. </w:t>
      </w:r>
      <w:r w:rsidR="00476C1C">
        <w:rPr>
          <w:rFonts w:cstheme="minorHAnsi"/>
          <w:bCs/>
        </w:rPr>
        <w:t xml:space="preserve"> </w:t>
      </w:r>
      <w:r w:rsidR="00680E81">
        <w:rPr>
          <w:rFonts w:cstheme="minorHAnsi"/>
          <w:bCs/>
        </w:rPr>
        <w:t>La L</w:t>
      </w:r>
      <w:r w:rsidR="0057336D" w:rsidRPr="00CD5F05">
        <w:rPr>
          <w:rFonts w:cstheme="minorHAnsi"/>
          <w:bCs/>
        </w:rPr>
        <w:t>ega del Filo d’Oro, infatti, individua di volta in volta, per ogni ospite, la terapia più adeguata</w:t>
      </w:r>
      <w:r w:rsidR="00A93EE0" w:rsidRPr="00CD5F05">
        <w:rPr>
          <w:rFonts w:cstheme="minorHAnsi"/>
          <w:bCs/>
        </w:rPr>
        <w:t xml:space="preserve"> e il </w:t>
      </w:r>
      <w:r w:rsidR="0057336D" w:rsidRPr="00CD5F05">
        <w:rPr>
          <w:rFonts w:cstheme="minorHAnsi"/>
          <w:bCs/>
        </w:rPr>
        <w:t xml:space="preserve">linguaggio più adatto al fine di penetrare quel muro fatto di buio e silenzio in cui vivono le persone sordocieche.  Inoltre, da oltre 20 anni il Comitato Tecnico Scientifico ed Etico dell’Associazione </w:t>
      </w:r>
      <w:r w:rsidR="00680E81">
        <w:rPr>
          <w:rFonts w:cstheme="minorHAnsi"/>
          <w:bCs/>
        </w:rPr>
        <w:t>svolge</w:t>
      </w:r>
      <w:r w:rsidR="0057336D" w:rsidRPr="00CD5F05">
        <w:rPr>
          <w:rFonts w:cstheme="minorHAnsi"/>
          <w:bCs/>
        </w:rPr>
        <w:t xml:space="preserve"> un’intensa attività di ricerca riabilitativa per valutare </w:t>
      </w:r>
      <w:r w:rsidR="00680E81">
        <w:rPr>
          <w:rFonts w:cstheme="minorHAnsi"/>
          <w:bCs/>
        </w:rPr>
        <w:t>gli interventi</w:t>
      </w:r>
      <w:r w:rsidR="0057336D" w:rsidRPr="00CD5F05">
        <w:rPr>
          <w:rFonts w:cstheme="minorHAnsi"/>
          <w:bCs/>
        </w:rPr>
        <w:t xml:space="preserve"> più efficaci da mettere in atto.</w:t>
      </w:r>
    </w:p>
    <w:p w:rsidR="00CD5F05" w:rsidRDefault="00CD5F05" w:rsidP="003D3D5F">
      <w:pPr>
        <w:spacing w:line="360" w:lineRule="auto"/>
        <w:jc w:val="both"/>
        <w:rPr>
          <w:rFonts w:cstheme="minorHAnsi"/>
          <w:bCs/>
        </w:rPr>
      </w:pPr>
    </w:p>
    <w:p w:rsidR="00F87E7C" w:rsidRPr="00CD5F05" w:rsidRDefault="00F87E7C" w:rsidP="003D3D5F">
      <w:pPr>
        <w:spacing w:line="360" w:lineRule="auto"/>
        <w:jc w:val="both"/>
        <w:rPr>
          <w:rFonts w:cstheme="minorHAnsi"/>
          <w:bCs/>
        </w:rPr>
      </w:pPr>
      <w:bookmarkStart w:id="0" w:name="_GoBack"/>
      <w:bookmarkEnd w:id="0"/>
    </w:p>
    <w:p w:rsidR="00F87E7C" w:rsidRPr="00F87E7C" w:rsidRDefault="00F87E7C" w:rsidP="00F87E7C">
      <w:pPr>
        <w:spacing w:after="0" w:line="240" w:lineRule="auto"/>
        <w:rPr>
          <w:rFonts w:ascii="Century Gothic" w:eastAsia="Times New Roman" w:hAnsi="Century Gothic" w:cs="Calibri"/>
          <w:b/>
          <w:sz w:val="16"/>
          <w:szCs w:val="16"/>
          <w:lang w:eastAsia="it-IT"/>
        </w:rPr>
      </w:pPr>
    </w:p>
    <w:p w:rsidR="00F87E7C" w:rsidRPr="00F87E7C" w:rsidRDefault="00F87E7C" w:rsidP="00F87E7C">
      <w:pPr>
        <w:spacing w:after="0" w:line="240" w:lineRule="auto"/>
        <w:rPr>
          <w:rFonts w:ascii="Century Gothic" w:eastAsia="Times New Roman" w:hAnsi="Century Gothic" w:cs="Calibri"/>
          <w:b/>
          <w:sz w:val="16"/>
          <w:szCs w:val="16"/>
          <w:lang w:eastAsia="it-IT"/>
        </w:rPr>
      </w:pPr>
      <w:r w:rsidRPr="00F87E7C">
        <w:rPr>
          <w:rFonts w:ascii="Century Gothic" w:eastAsia="Times New Roman" w:hAnsi="Century Gothic" w:cs="Calibri"/>
          <w:b/>
          <w:sz w:val="16"/>
          <w:szCs w:val="16"/>
          <w:lang w:eastAsia="it-IT"/>
        </w:rPr>
        <w:t>Ufficio stampa LEGA DEL FILO D’ORO c/o INC- Istituto Nazionale per la Comunicazione</w:t>
      </w:r>
    </w:p>
    <w:p w:rsidR="00F87E7C" w:rsidRPr="00F87E7C" w:rsidRDefault="00F87E7C" w:rsidP="00F87E7C">
      <w:pPr>
        <w:spacing w:after="0" w:line="240" w:lineRule="auto"/>
        <w:rPr>
          <w:rFonts w:ascii="Century Gothic" w:eastAsia="Times New Roman" w:hAnsi="Century Gothic" w:cs="Calibri"/>
          <w:b/>
          <w:sz w:val="16"/>
          <w:szCs w:val="16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F87E7C" w:rsidRPr="00F87E7C" w:rsidTr="00414B52">
        <w:tc>
          <w:tcPr>
            <w:tcW w:w="3199" w:type="dxa"/>
            <w:shd w:val="clear" w:color="auto" w:fill="auto"/>
          </w:tcPr>
          <w:p w:rsidR="00F87E7C" w:rsidRPr="00F87E7C" w:rsidRDefault="00F87E7C" w:rsidP="00F87E7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16"/>
                <w:szCs w:val="16"/>
                <w:lang w:eastAsia="it-IT"/>
              </w:rPr>
            </w:pPr>
            <w:r w:rsidRPr="00F87E7C">
              <w:rPr>
                <w:rFonts w:ascii="Century Gothic" w:eastAsia="Times New Roman" w:hAnsi="Century Gothic" w:cs="Calibri"/>
                <w:sz w:val="16"/>
                <w:szCs w:val="16"/>
                <w:lang w:eastAsia="it-IT"/>
              </w:rPr>
              <w:t xml:space="preserve">Francesca Riccardi          </w:t>
            </w:r>
          </w:p>
        </w:tc>
        <w:tc>
          <w:tcPr>
            <w:tcW w:w="3196" w:type="dxa"/>
            <w:shd w:val="clear" w:color="auto" w:fill="auto"/>
          </w:tcPr>
          <w:p w:rsidR="00F87E7C" w:rsidRPr="00F87E7C" w:rsidRDefault="00F87E7C" w:rsidP="00F87E7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16"/>
                <w:szCs w:val="16"/>
                <w:lang w:eastAsia="it-IT"/>
              </w:rPr>
            </w:pPr>
            <w:r w:rsidRPr="00F87E7C">
              <w:rPr>
                <w:rFonts w:ascii="Century Gothic" w:eastAsia="Times New Roman" w:hAnsi="Century Gothic" w:cs="Calibri"/>
                <w:sz w:val="16"/>
                <w:szCs w:val="16"/>
                <w:lang w:eastAsia="it-IT"/>
              </w:rPr>
              <w:t xml:space="preserve">06 44160887 - 335 7251741   </w:t>
            </w:r>
          </w:p>
        </w:tc>
        <w:tc>
          <w:tcPr>
            <w:tcW w:w="3243" w:type="dxa"/>
            <w:shd w:val="clear" w:color="auto" w:fill="auto"/>
          </w:tcPr>
          <w:p w:rsidR="00F87E7C" w:rsidRPr="00F87E7C" w:rsidRDefault="00F87E7C" w:rsidP="00F87E7C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it-IT"/>
              </w:rPr>
            </w:pPr>
            <w:hyperlink r:id="rId7" w:history="1">
              <w:r w:rsidRPr="00F87E7C">
                <w:rPr>
                  <w:rFonts w:ascii="Century Gothic" w:eastAsia="Times New Roman" w:hAnsi="Century Gothic" w:cs="Calibri"/>
                  <w:color w:val="0000FF"/>
                  <w:sz w:val="16"/>
                  <w:szCs w:val="16"/>
                  <w:u w:val="single"/>
                  <w:lang w:eastAsia="it-IT"/>
                </w:rPr>
                <w:t>f.riccardi@inc-comunicazione.it</w:t>
              </w:r>
            </w:hyperlink>
            <w:r w:rsidRPr="00F87E7C">
              <w:rPr>
                <w:rFonts w:ascii="Century Gothic" w:eastAsia="Times New Roman" w:hAnsi="Century Gothic" w:cs="Calibri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F87E7C" w:rsidRPr="00F87E7C" w:rsidTr="00414B52">
        <w:tc>
          <w:tcPr>
            <w:tcW w:w="3199" w:type="dxa"/>
            <w:shd w:val="clear" w:color="auto" w:fill="auto"/>
          </w:tcPr>
          <w:p w:rsidR="00F87E7C" w:rsidRPr="00F87E7C" w:rsidRDefault="00F87E7C" w:rsidP="00F87E7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16"/>
                <w:szCs w:val="16"/>
                <w:lang w:eastAsia="it-IT"/>
              </w:rPr>
            </w:pPr>
            <w:r w:rsidRPr="00F87E7C">
              <w:rPr>
                <w:rFonts w:ascii="Century Gothic" w:eastAsia="Times New Roman" w:hAnsi="Century Gothic" w:cs="Calibri"/>
                <w:sz w:val="16"/>
                <w:szCs w:val="16"/>
                <w:lang w:eastAsia="it-IT"/>
              </w:rPr>
              <w:t>Barbara Cimino</w:t>
            </w:r>
            <w:r w:rsidRPr="00F87E7C">
              <w:rPr>
                <w:rFonts w:ascii="Century Gothic" w:eastAsia="Times New Roman" w:hAnsi="Century Gothic" w:cs="Calibri"/>
                <w:sz w:val="16"/>
                <w:szCs w:val="16"/>
                <w:lang w:eastAsia="it-IT"/>
              </w:rPr>
              <w:tab/>
            </w:r>
          </w:p>
        </w:tc>
        <w:tc>
          <w:tcPr>
            <w:tcW w:w="3196" w:type="dxa"/>
            <w:shd w:val="clear" w:color="auto" w:fill="auto"/>
          </w:tcPr>
          <w:p w:rsidR="00F87E7C" w:rsidRPr="00F87E7C" w:rsidRDefault="00F87E7C" w:rsidP="00F87E7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16"/>
                <w:szCs w:val="16"/>
                <w:lang w:eastAsia="it-IT"/>
              </w:rPr>
            </w:pPr>
            <w:r w:rsidRPr="00F87E7C">
              <w:rPr>
                <w:rFonts w:ascii="Century Gothic" w:eastAsia="Times New Roman" w:hAnsi="Century Gothic" w:cs="Calibri"/>
                <w:sz w:val="16"/>
                <w:szCs w:val="16"/>
                <w:lang w:eastAsia="it-IT"/>
              </w:rPr>
              <w:t xml:space="preserve">06 44160884 – 335 5445420  </w:t>
            </w:r>
          </w:p>
        </w:tc>
        <w:tc>
          <w:tcPr>
            <w:tcW w:w="3243" w:type="dxa"/>
            <w:shd w:val="clear" w:color="auto" w:fill="auto"/>
          </w:tcPr>
          <w:p w:rsidR="00F87E7C" w:rsidRPr="00F87E7C" w:rsidRDefault="00F87E7C" w:rsidP="00F87E7C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it-IT"/>
              </w:rPr>
            </w:pPr>
            <w:hyperlink r:id="rId8" w:history="1">
              <w:r w:rsidRPr="00F87E7C">
                <w:rPr>
                  <w:rFonts w:ascii="Century Gothic" w:eastAsia="Times New Roman" w:hAnsi="Century Gothic" w:cs="Calibri"/>
                  <w:color w:val="0000FF"/>
                  <w:sz w:val="16"/>
                  <w:szCs w:val="16"/>
                  <w:u w:val="single"/>
                  <w:lang w:eastAsia="it-IT"/>
                </w:rPr>
                <w:t>b.cimino@inc-comunicazione.it</w:t>
              </w:r>
            </w:hyperlink>
            <w:r w:rsidRPr="00F87E7C">
              <w:rPr>
                <w:rFonts w:ascii="Century Gothic" w:eastAsia="Times New Roman" w:hAnsi="Century Gothic" w:cs="Calibri"/>
                <w:sz w:val="16"/>
                <w:szCs w:val="16"/>
                <w:lang w:eastAsia="it-IT"/>
              </w:rPr>
              <w:t xml:space="preserve">  </w:t>
            </w:r>
          </w:p>
        </w:tc>
      </w:tr>
      <w:tr w:rsidR="00F87E7C" w:rsidRPr="00F87E7C" w:rsidTr="00414B52">
        <w:trPr>
          <w:trHeight w:val="226"/>
        </w:trPr>
        <w:tc>
          <w:tcPr>
            <w:tcW w:w="3199" w:type="dxa"/>
            <w:shd w:val="clear" w:color="auto" w:fill="auto"/>
          </w:tcPr>
          <w:p w:rsidR="00F87E7C" w:rsidRPr="00F87E7C" w:rsidRDefault="00F87E7C" w:rsidP="00F87E7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16"/>
                <w:szCs w:val="16"/>
                <w:lang w:eastAsia="it-IT"/>
              </w:rPr>
            </w:pPr>
            <w:r w:rsidRPr="00F87E7C">
              <w:rPr>
                <w:rFonts w:ascii="Century Gothic" w:eastAsia="Times New Roman" w:hAnsi="Century Gothic" w:cs="Calibri"/>
                <w:sz w:val="16"/>
                <w:szCs w:val="16"/>
                <w:lang w:eastAsia="it-IT"/>
              </w:rPr>
              <w:t xml:space="preserve">Chiara Ambrogini            </w:t>
            </w:r>
          </w:p>
        </w:tc>
        <w:tc>
          <w:tcPr>
            <w:tcW w:w="3196" w:type="dxa"/>
            <w:shd w:val="clear" w:color="auto" w:fill="auto"/>
          </w:tcPr>
          <w:p w:rsidR="00F87E7C" w:rsidRPr="00F87E7C" w:rsidRDefault="00F87E7C" w:rsidP="00F87E7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16"/>
                <w:szCs w:val="16"/>
                <w:lang w:eastAsia="it-IT"/>
              </w:rPr>
            </w:pPr>
            <w:r w:rsidRPr="00F87E7C"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  <w:t>071 72451 – 338 7802398</w:t>
            </w:r>
          </w:p>
        </w:tc>
        <w:tc>
          <w:tcPr>
            <w:tcW w:w="3243" w:type="dxa"/>
            <w:shd w:val="clear" w:color="auto" w:fill="auto"/>
          </w:tcPr>
          <w:p w:rsidR="00F87E7C" w:rsidRPr="00F87E7C" w:rsidRDefault="00F87E7C" w:rsidP="00F87E7C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it-IT"/>
              </w:rPr>
            </w:pPr>
            <w:hyperlink r:id="rId9" w:history="1">
              <w:r w:rsidRPr="00F87E7C">
                <w:rPr>
                  <w:rFonts w:ascii="Century Gothic" w:eastAsia="Times New Roman" w:hAnsi="Century Gothic" w:cs="Calibri"/>
                  <w:color w:val="0000FF"/>
                  <w:sz w:val="16"/>
                  <w:szCs w:val="16"/>
                  <w:u w:val="single"/>
                  <w:lang w:eastAsia="it-IT"/>
                </w:rPr>
                <w:t>ambrogini.c@legadelfilodoro.it</w:t>
              </w:r>
            </w:hyperlink>
          </w:p>
        </w:tc>
      </w:tr>
    </w:tbl>
    <w:p w:rsidR="00F87E7C" w:rsidRPr="00F87E7C" w:rsidRDefault="00F87E7C" w:rsidP="00F87E7C">
      <w:pPr>
        <w:pBdr>
          <w:bottom w:val="single" w:sz="6" w:space="1" w:color="auto"/>
        </w:pBd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F87E7C" w:rsidRPr="00F87E7C" w:rsidRDefault="00F87E7C" w:rsidP="00F87E7C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F87E7C" w:rsidRPr="00F87E7C" w:rsidRDefault="00F87E7C" w:rsidP="00F87E7C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F87E7C">
        <w:rPr>
          <w:rFonts w:ascii="Century Gothic" w:eastAsia="Times New Roman" w:hAnsi="Century Gothic" w:cs="Arial"/>
          <w:b/>
          <w:sz w:val="20"/>
          <w:szCs w:val="20"/>
          <w:lang w:eastAsia="it-IT"/>
        </w:rPr>
        <w:t>LEGA DEL FILO D’ORO</w:t>
      </w:r>
    </w:p>
    <w:p w:rsidR="00F87E7C" w:rsidRPr="00F87E7C" w:rsidRDefault="00F87E7C" w:rsidP="00F87E7C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87E7C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Oggi la Lega del Filo d’Oro è presente in otto regioni e segue ogni anno oltre 800 utenti provenienti da tutta Italia svolgendo le sue attività di assistenza, educazione e riabilitazione delle persone sordocieche e pluriminorate psicosensoriali nei Centri e Servizi Territoriali di Osimo (AN), Sede principale dell'Ente, Lesmo (MB), Modena, Molfetta (BA) e Termini Imerese (PA) e nelle Sedi territoriali di Padova, Roma e Napoli. </w:t>
      </w:r>
      <w:r w:rsidRPr="00F87E7C">
        <w:rPr>
          <w:rFonts w:ascii="Century Gothic" w:eastAsia="Times New Roman" w:hAnsi="Century Gothic" w:cs="Calibri"/>
          <w:sz w:val="20"/>
          <w:szCs w:val="20"/>
          <w:lang w:eastAsia="it-IT"/>
        </w:rPr>
        <w:t>Per maggiori informazioni visita:</w:t>
      </w:r>
      <w:r w:rsidRPr="00F87E7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hyperlink r:id="rId10" w:history="1">
        <w:r w:rsidRPr="00F87E7C">
          <w:rPr>
            <w:rFonts w:ascii="Century Gothic" w:eastAsia="Times New Roman" w:hAnsi="Century Gothic" w:cs="Calibri"/>
            <w:bCs/>
            <w:color w:val="0000FF"/>
            <w:sz w:val="20"/>
            <w:szCs w:val="20"/>
            <w:u w:val="single"/>
            <w:lang w:eastAsia="it-IT"/>
          </w:rPr>
          <w:t>http://www.legadelfilodoro.it/</w:t>
        </w:r>
      </w:hyperlink>
    </w:p>
    <w:p w:rsidR="00CD5F05" w:rsidRPr="003D3D5F" w:rsidRDefault="00CD5F05" w:rsidP="003D3D5F">
      <w:pPr>
        <w:spacing w:line="360" w:lineRule="auto"/>
        <w:jc w:val="both"/>
        <w:rPr>
          <w:rFonts w:ascii="Century Gothic" w:hAnsi="Century Gothic"/>
          <w:bCs/>
          <w:sz w:val="20"/>
          <w:szCs w:val="20"/>
        </w:rPr>
      </w:pPr>
    </w:p>
    <w:sectPr w:rsidR="00CD5F05" w:rsidRPr="003D3D5F" w:rsidSect="009075F1">
      <w:headerReference w:type="default" r:id="rId11"/>
      <w:pgSz w:w="11906" w:h="16838"/>
      <w:pgMar w:top="212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F2" w:rsidRDefault="000209F2" w:rsidP="003D3D5F">
      <w:pPr>
        <w:spacing w:after="0" w:line="240" w:lineRule="auto"/>
      </w:pPr>
      <w:r>
        <w:separator/>
      </w:r>
    </w:p>
  </w:endnote>
  <w:endnote w:type="continuationSeparator" w:id="0">
    <w:p w:rsidR="000209F2" w:rsidRDefault="000209F2" w:rsidP="003D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F2" w:rsidRDefault="000209F2" w:rsidP="003D3D5F">
      <w:pPr>
        <w:spacing w:after="0" w:line="240" w:lineRule="auto"/>
      </w:pPr>
      <w:r>
        <w:separator/>
      </w:r>
    </w:p>
  </w:footnote>
  <w:footnote w:type="continuationSeparator" w:id="0">
    <w:p w:rsidR="000209F2" w:rsidRDefault="000209F2" w:rsidP="003D3D5F">
      <w:pPr>
        <w:spacing w:after="0" w:line="240" w:lineRule="auto"/>
      </w:pPr>
      <w:r>
        <w:continuationSeparator/>
      </w:r>
    </w:p>
  </w:footnote>
  <w:footnote w:id="1">
    <w:p w:rsidR="008E37C9" w:rsidRDefault="008E37C9" w:rsidP="008E37C9">
      <w:pPr>
        <w:pStyle w:val="Testonotaapidipagina"/>
      </w:pPr>
      <w:r>
        <w:rPr>
          <w:rStyle w:val="Rimandonotaapidipagina"/>
        </w:rPr>
        <w:footnoteRef/>
      </w:r>
      <w:r>
        <w:t xml:space="preserve"> I</w:t>
      </w:r>
      <w:r w:rsidRPr="00CF3584">
        <w:t>l 29% è nato prematuro e il 37% presenta altre patologie</w:t>
      </w:r>
    </w:p>
  </w:footnote>
  <w:footnote w:id="2">
    <w:p w:rsidR="004F1548" w:rsidRDefault="004F154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F1548">
        <w:t xml:space="preserve">Dati Centro Nazionale Malattie Rare, ISS, </w:t>
      </w:r>
      <w:hyperlink r:id="rId1" w:history="1">
        <w:r w:rsidRPr="004F1548">
          <w:rPr>
            <w:rStyle w:val="Collegamentoipertestuale"/>
          </w:rPr>
          <w:t>http://www.iss.it/cnmr/index.php?lang=1&amp;id=2299&amp;tipo=76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5F" w:rsidRDefault="003D3D5F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2143125</wp:posOffset>
          </wp:positionH>
          <wp:positionV relativeFrom="paragraph">
            <wp:posOffset>-138430</wp:posOffset>
          </wp:positionV>
          <wp:extent cx="1620520" cy="800100"/>
          <wp:effectExtent l="0" t="0" r="0" b="0"/>
          <wp:wrapTight wrapText="bothSides">
            <wp:wrapPolygon edited="0">
              <wp:start x="0" y="0"/>
              <wp:lineTo x="0" y="21086"/>
              <wp:lineTo x="21329" y="21086"/>
              <wp:lineTo x="21329" y="0"/>
              <wp:lineTo x="0" y="0"/>
            </wp:wrapPolygon>
          </wp:wrapTight>
          <wp:docPr id="8" name="Immagine 8" descr="http://www.comeedove.it/wp-content/uploads/2015/12/Logo_lega_filo_do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http://www.comeedove.it/wp-content/uploads/2015/12/Logo_lega_filo_do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3D5F" w:rsidRDefault="003D3D5F">
    <w:pPr>
      <w:pStyle w:val="Intestazione"/>
    </w:pPr>
  </w:p>
  <w:p w:rsidR="003D3D5F" w:rsidRDefault="003D3D5F">
    <w:pPr>
      <w:pStyle w:val="Intestazione"/>
    </w:pPr>
  </w:p>
  <w:p w:rsidR="003D3D5F" w:rsidRDefault="003D3D5F">
    <w:pPr>
      <w:pStyle w:val="Intestazione"/>
    </w:pPr>
  </w:p>
  <w:p w:rsidR="003D3D5F" w:rsidRDefault="003D3D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04"/>
    <w:rsid w:val="000209F2"/>
    <w:rsid w:val="0002308F"/>
    <w:rsid w:val="00094240"/>
    <w:rsid w:val="000C2EE3"/>
    <w:rsid w:val="00134B2A"/>
    <w:rsid w:val="001862E2"/>
    <w:rsid w:val="001C074F"/>
    <w:rsid w:val="002762BF"/>
    <w:rsid w:val="00292F69"/>
    <w:rsid w:val="003D3D5F"/>
    <w:rsid w:val="004213B1"/>
    <w:rsid w:val="004344DE"/>
    <w:rsid w:val="00476C1C"/>
    <w:rsid w:val="004A4D86"/>
    <w:rsid w:val="004E1CBD"/>
    <w:rsid w:val="004F1548"/>
    <w:rsid w:val="0057336D"/>
    <w:rsid w:val="00591735"/>
    <w:rsid w:val="005B7900"/>
    <w:rsid w:val="005C63EC"/>
    <w:rsid w:val="00605ED1"/>
    <w:rsid w:val="006112AD"/>
    <w:rsid w:val="00680E81"/>
    <w:rsid w:val="006C2BF1"/>
    <w:rsid w:val="00736646"/>
    <w:rsid w:val="00790380"/>
    <w:rsid w:val="00831E83"/>
    <w:rsid w:val="008E37C9"/>
    <w:rsid w:val="009075F1"/>
    <w:rsid w:val="009560C9"/>
    <w:rsid w:val="00956A88"/>
    <w:rsid w:val="00973AF9"/>
    <w:rsid w:val="009C7D67"/>
    <w:rsid w:val="00A85C04"/>
    <w:rsid w:val="00A93EE0"/>
    <w:rsid w:val="00A93EFA"/>
    <w:rsid w:val="00B27FF7"/>
    <w:rsid w:val="00BB444A"/>
    <w:rsid w:val="00C27DD5"/>
    <w:rsid w:val="00C4528A"/>
    <w:rsid w:val="00C634E5"/>
    <w:rsid w:val="00C7516D"/>
    <w:rsid w:val="00CC22DF"/>
    <w:rsid w:val="00CC6B1B"/>
    <w:rsid w:val="00CD5F05"/>
    <w:rsid w:val="00CF3584"/>
    <w:rsid w:val="00DA304A"/>
    <w:rsid w:val="00E0372A"/>
    <w:rsid w:val="00E11F14"/>
    <w:rsid w:val="00E50810"/>
    <w:rsid w:val="00EA364F"/>
    <w:rsid w:val="00EC5301"/>
    <w:rsid w:val="00EE73AD"/>
    <w:rsid w:val="00EF341F"/>
    <w:rsid w:val="00F34783"/>
    <w:rsid w:val="00F87E7C"/>
    <w:rsid w:val="00FA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2B49C-8E28-4020-AB7E-77F45DEE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7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3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D5F"/>
  </w:style>
  <w:style w:type="paragraph" w:styleId="Pidipagina">
    <w:name w:val="footer"/>
    <w:basedOn w:val="Normale"/>
    <w:link w:val="PidipaginaCarattere"/>
    <w:uiPriority w:val="99"/>
    <w:unhideWhenUsed/>
    <w:rsid w:val="003D3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D5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358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F358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F358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05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6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cimino@inc-comunica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.riccardi@inc-comunica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gadelfilodor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brogini.c@legadelfilodoro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s.it/cnmr/index.php?lang=1&amp;id=2299&amp;tipo=7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E451C-22FE-40B0-8354-EB122A71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F.Riccardi</dc:creator>
  <cp:keywords/>
  <dc:description/>
  <cp:lastModifiedBy>f.riccardi</cp:lastModifiedBy>
  <cp:revision>3</cp:revision>
  <dcterms:created xsi:type="dcterms:W3CDTF">2017-02-21T13:53:00Z</dcterms:created>
  <dcterms:modified xsi:type="dcterms:W3CDTF">2017-02-21T13:55:00Z</dcterms:modified>
</cp:coreProperties>
</file>