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2F2" w:rsidRDefault="001572F2" w:rsidP="008C575A">
      <w:pPr>
        <w:pStyle w:val="NoSpacing"/>
      </w:pPr>
    </w:p>
    <w:p w:rsidR="00B97593" w:rsidRDefault="00036562" w:rsidP="008C575A">
      <w:pPr>
        <w:pStyle w:val="NoSpacing"/>
      </w:pPr>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1990725</wp:posOffset>
                </wp:positionH>
                <wp:positionV relativeFrom="paragraph">
                  <wp:posOffset>66040</wp:posOffset>
                </wp:positionV>
                <wp:extent cx="4709795" cy="675640"/>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43A" w:rsidRPr="00D01FB0" w:rsidRDefault="00A9543A" w:rsidP="00673D3E">
                            <w:pPr>
                              <w:spacing w:after="0" w:line="240" w:lineRule="auto"/>
                              <w:rPr>
                                <w:rFonts w:ascii="Rockwell" w:hAnsi="Rockwell" w:cs="Rockwell"/>
                                <w:color w:val="00AEEF"/>
                                <w:sz w:val="48"/>
                                <w:szCs w:val="48"/>
                                <w:lang w:val="fr-FR" w:eastAsia="nl-BE"/>
                              </w:rPr>
                            </w:pPr>
                            <w:r w:rsidRPr="00D01FB0">
                              <w:rPr>
                                <w:rFonts w:ascii="Rockwell" w:hAnsi="Rockwell" w:cs="Rockwell"/>
                                <w:color w:val="00AEEF"/>
                                <w:sz w:val="48"/>
                                <w:szCs w:val="48"/>
                                <w:lang w:val="fr-FR" w:eastAsia="nl-BE"/>
                              </w:rPr>
                              <w:t>Communiqué de presse</w:t>
                            </w:r>
                          </w:p>
                          <w:p w:rsidR="00A9543A" w:rsidRPr="00017FD1" w:rsidRDefault="00A9543A" w:rsidP="00673D3E">
                            <w:pPr>
                              <w:rPr>
                                <w:color w:val="003768"/>
                                <w:szCs w:val="20"/>
                                <w:lang w:val="fr-FR"/>
                              </w:rPr>
                            </w:pPr>
                            <w:r w:rsidRPr="00017FD1">
                              <w:rPr>
                                <w:rFonts w:ascii="Rockwell" w:hAnsi="Rockwell" w:cs="Rockwell"/>
                                <w:color w:val="003768"/>
                                <w:sz w:val="20"/>
                                <w:szCs w:val="20"/>
                                <w:lang w:val="fr-FR" w:eastAsia="nl-BE"/>
                              </w:rPr>
                              <w:t>Hors séance boursière – Information réglementée*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75pt;margin-top:5.2pt;width:370.85pt;height:5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" filled="f" stroked="f">
                <v:textbox>
                  <w:txbxContent>
                    <w:p w:rsidR="00A9543A" w:rsidRPr="00D01FB0" w:rsidRDefault="00A9543A" w:rsidP="00673D3E">
                      <w:pPr>
                        <w:spacing w:after="0" w:line="240" w:lineRule="auto"/>
                        <w:rPr>
                          <w:rFonts w:ascii="Rockwell" w:hAnsi="Rockwell" w:cs="Rockwell"/>
                          <w:color w:val="00AEEF"/>
                          <w:sz w:val="48"/>
                          <w:szCs w:val="48"/>
                          <w:lang w:val="fr-FR" w:eastAsia="nl-BE"/>
                        </w:rPr>
                      </w:pPr>
                      <w:r w:rsidRPr="00D01FB0">
                        <w:rPr>
                          <w:rFonts w:ascii="Rockwell" w:hAnsi="Rockwell" w:cs="Rockwell"/>
                          <w:color w:val="00AEEF"/>
                          <w:sz w:val="48"/>
                          <w:szCs w:val="48"/>
                          <w:lang w:val="fr-FR" w:eastAsia="nl-BE"/>
                        </w:rPr>
                        <w:t>Communiqué de presse</w:t>
                      </w:r>
                    </w:p>
                    <w:p w:rsidR="00A9543A" w:rsidRPr="00017FD1" w:rsidRDefault="00A9543A" w:rsidP="00673D3E">
                      <w:pPr>
                        <w:rPr>
                          <w:color w:val="003768"/>
                          <w:szCs w:val="20"/>
                          <w:lang w:val="fr-FR"/>
                        </w:rPr>
                      </w:pPr>
                      <w:r w:rsidRPr="00017FD1">
                        <w:rPr>
                          <w:rFonts w:ascii="Rockwell" w:hAnsi="Rockwell" w:cs="Rockwell"/>
                          <w:color w:val="003768"/>
                          <w:sz w:val="20"/>
                          <w:szCs w:val="20"/>
                          <w:lang w:val="fr-FR" w:eastAsia="nl-BE"/>
                        </w:rPr>
                        <w:t>Hors séance boursière – Information réglementée*</w:t>
                      </w:r>
                    </w:p>
                  </w:txbxContent>
                </v:textbox>
              </v:shape>
            </w:pict>
          </mc:Fallback>
        </mc:AlternateContent>
      </w:r>
      <w:r w:rsidR="00D57A50">
        <w:rPr>
          <w:noProof/>
          <w:lang w:val="nl-BE" w:eastAsia="nl-BE"/>
        </w:rPr>
        <w:drawing>
          <wp:inline distT="0" distB="0" distL="0" distR="0">
            <wp:extent cx="808355" cy="616585"/>
            <wp:effectExtent l="19050" t="0" r="0" b="0"/>
            <wp:docPr id="1" name="Picture 1" descr="KBC_Logo_5cm_300dpi_no_antial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C_Logo_5cm_300dpi_no_antialias"/>
                    <pic:cNvPicPr>
                      <a:picLocks noChangeAspect="1" noChangeArrowheads="1"/>
                    </pic:cNvPicPr>
                  </pic:nvPicPr>
                  <pic:blipFill>
                    <a:blip r:embed="rId7" cstate="print"/>
                    <a:srcRect/>
                    <a:stretch>
                      <a:fillRect/>
                    </a:stretch>
                  </pic:blipFill>
                  <pic:spPr bwMode="auto">
                    <a:xfrm>
                      <a:off x="0" y="0"/>
                      <a:ext cx="808355" cy="616585"/>
                    </a:xfrm>
                    <a:prstGeom prst="rect">
                      <a:avLst/>
                    </a:prstGeom>
                    <a:noFill/>
                    <a:ln w="9525">
                      <a:noFill/>
                      <a:miter lim="800000"/>
                      <a:headEnd/>
                      <a:tailEnd/>
                    </a:ln>
                  </pic:spPr>
                </pic:pic>
              </a:graphicData>
            </a:graphic>
          </wp:inline>
        </w:drawing>
      </w:r>
    </w:p>
    <w:p w:rsidR="004278B1" w:rsidRDefault="004278B1" w:rsidP="008C575A">
      <w:pPr>
        <w:pStyle w:val="NoSpacing"/>
        <w:rPr>
          <w:sz w:val="8"/>
          <w:szCs w:val="8"/>
        </w:rPr>
      </w:pPr>
    </w:p>
    <w:p w:rsidR="00FC36C2" w:rsidRPr="004278B1" w:rsidRDefault="00FC36C2" w:rsidP="008C575A">
      <w:pPr>
        <w:pStyle w:val="NoSpacing"/>
        <w:rPr>
          <w:sz w:val="8"/>
          <w:szCs w:val="8"/>
        </w:rPr>
      </w:pPr>
    </w:p>
    <w:p w:rsidR="004278B1" w:rsidRDefault="00D57A50" w:rsidP="008C575A">
      <w:pPr>
        <w:pStyle w:val="NoSpacing"/>
      </w:pPr>
      <w:r>
        <w:rPr>
          <w:noProof/>
          <w:lang w:val="nl-BE" w:eastAsia="nl-BE"/>
        </w:rPr>
        <w:drawing>
          <wp:inline distT="0" distB="0" distL="0" distR="0">
            <wp:extent cx="6772910" cy="170180"/>
            <wp:effectExtent l="19050" t="0" r="8890" b="0"/>
            <wp:docPr id="2" name="Picture 2" descr="curve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ve01b"/>
                    <pic:cNvPicPr>
                      <a:picLocks noChangeAspect="1" noChangeArrowheads="1"/>
                    </pic:cNvPicPr>
                  </pic:nvPicPr>
                  <pic:blipFill>
                    <a:blip r:embed="rId8" cstate="print"/>
                    <a:srcRect/>
                    <a:stretch>
                      <a:fillRect/>
                    </a:stretch>
                  </pic:blipFill>
                  <pic:spPr bwMode="auto">
                    <a:xfrm>
                      <a:off x="0" y="0"/>
                      <a:ext cx="6772910" cy="170180"/>
                    </a:xfrm>
                    <a:prstGeom prst="rect">
                      <a:avLst/>
                    </a:prstGeom>
                    <a:noFill/>
                    <a:ln w="9525">
                      <a:noFill/>
                      <a:miter lim="800000"/>
                      <a:headEnd/>
                      <a:tailEnd/>
                    </a:ln>
                  </pic:spPr>
                </pic:pic>
              </a:graphicData>
            </a:graphic>
          </wp:inline>
        </w:drawing>
      </w:r>
    </w:p>
    <w:p w:rsidR="00D14EBE" w:rsidRDefault="00D14EBE" w:rsidP="008C575A">
      <w:pPr>
        <w:pStyle w:val="NoSpacing"/>
        <w:rPr>
          <w:lang w:val="fr-FR"/>
        </w:rPr>
      </w:pPr>
    </w:p>
    <w:p w:rsidR="0077354C" w:rsidRPr="009C1678" w:rsidRDefault="00001188" w:rsidP="008C575A">
      <w:pPr>
        <w:rPr>
          <w:color w:val="003768"/>
          <w:lang w:val="fr-FR"/>
        </w:rPr>
      </w:pPr>
      <w:r>
        <w:rPr>
          <w:color w:val="003768"/>
          <w:lang w:val="fr-FR"/>
        </w:rPr>
        <w:t xml:space="preserve">Bruxelles, </w:t>
      </w:r>
      <w:r w:rsidR="008C575A">
        <w:rPr>
          <w:color w:val="003768"/>
          <w:lang w:val="fr-FR"/>
        </w:rPr>
        <w:t>12 mai 2016 (07</w:t>
      </w:r>
      <w:r w:rsidR="0077354C" w:rsidRPr="009C1678">
        <w:rPr>
          <w:color w:val="003768"/>
          <w:lang w:val="fr-FR"/>
        </w:rPr>
        <w:t xml:space="preserve">.00 </w:t>
      </w:r>
      <w:proofErr w:type="spellStart"/>
      <w:r w:rsidR="00410ACD">
        <w:rPr>
          <w:color w:val="003768"/>
          <w:lang w:val="fr-FR"/>
        </w:rPr>
        <w:t>a.m</w:t>
      </w:r>
      <w:proofErr w:type="spellEnd"/>
      <w:r w:rsidR="00410ACD">
        <w:rPr>
          <w:color w:val="003768"/>
          <w:lang w:val="fr-FR"/>
        </w:rPr>
        <w:t>. CEST</w:t>
      </w:r>
      <w:bookmarkStart w:id="0" w:name="_GoBack"/>
      <w:bookmarkEnd w:id="0"/>
      <w:r w:rsidR="0077354C" w:rsidRPr="009C1678">
        <w:rPr>
          <w:color w:val="003768"/>
          <w:lang w:val="fr-FR"/>
        </w:rPr>
        <w:t>)</w:t>
      </w:r>
    </w:p>
    <w:p w:rsidR="0077354C" w:rsidRPr="00017FD1" w:rsidRDefault="0077354C" w:rsidP="008C575A">
      <w:pPr>
        <w:autoSpaceDE w:val="0"/>
        <w:autoSpaceDN w:val="0"/>
        <w:adjustRightInd w:val="0"/>
        <w:spacing w:after="0" w:line="240" w:lineRule="auto"/>
        <w:ind w:right="4"/>
        <w:rPr>
          <w:rFonts w:cs="Arial"/>
          <w:b/>
          <w:bCs/>
          <w:color w:val="003768"/>
          <w:sz w:val="28"/>
          <w:szCs w:val="28"/>
          <w:lang w:val="fr-FR"/>
        </w:rPr>
      </w:pPr>
    </w:p>
    <w:p w:rsidR="0077354C" w:rsidRPr="008C575A" w:rsidRDefault="008C575A" w:rsidP="008C575A">
      <w:pPr>
        <w:ind w:right="-31"/>
        <w:rPr>
          <w:rFonts w:ascii="Rockwell" w:hAnsi="Rockwell"/>
          <w:b/>
          <w:color w:val="00AEEF"/>
          <w:sz w:val="40"/>
          <w:szCs w:val="40"/>
          <w:lang w:val="fr-FR"/>
        </w:rPr>
      </w:pPr>
      <w:r w:rsidRPr="008C575A">
        <w:rPr>
          <w:rFonts w:ascii="Rockwell" w:hAnsi="Rockwell" w:cs="Rockwell,Bold"/>
          <w:b/>
          <w:bCs/>
          <w:color w:val="00AEEF"/>
          <w:sz w:val="40"/>
          <w:szCs w:val="40"/>
          <w:lang w:val="fr-FR"/>
        </w:rPr>
        <w:t xml:space="preserve">Groupe KBC : </w:t>
      </w:r>
      <w:r w:rsidRPr="008C575A">
        <w:rPr>
          <w:rFonts w:ascii="Rockwell" w:hAnsi="Rockwell"/>
          <w:b/>
          <w:bCs/>
          <w:color w:val="00B0F0"/>
          <w:sz w:val="40"/>
          <w:szCs w:val="40"/>
          <w:lang w:val="fr-FR"/>
        </w:rPr>
        <w:t>2016 commence bien avec un bénéfice de 392 millions d'euros, malgré des taxes bancaires anticipées substantielles.</w:t>
      </w:r>
    </w:p>
    <w:p w:rsidR="008C575A" w:rsidRDefault="008C575A" w:rsidP="007F4206">
      <w:pPr>
        <w:autoSpaceDE w:val="0"/>
        <w:autoSpaceDN w:val="0"/>
        <w:adjustRightInd w:val="0"/>
        <w:spacing w:after="120" w:line="240" w:lineRule="auto"/>
        <w:ind w:right="4"/>
        <w:rPr>
          <w:rFonts w:cs="Arial"/>
          <w:b/>
          <w:bCs/>
          <w:color w:val="003768"/>
          <w:sz w:val="28"/>
          <w:szCs w:val="28"/>
          <w:lang w:val="fr-FR"/>
        </w:rPr>
      </w:pPr>
      <w:r w:rsidRPr="008C575A">
        <w:rPr>
          <w:rFonts w:cs="Arial"/>
          <w:b/>
          <w:bCs/>
          <w:color w:val="003768"/>
          <w:sz w:val="28"/>
          <w:szCs w:val="28"/>
          <w:lang w:val="fr-FR"/>
        </w:rPr>
        <w:t>Nous avons pour ambition d'être bien plus qu'une banque et un assureur tout court. Nous avons à cœur de permettre à nos clients de réaliser leurs rêves, de les protéger et de continuer à mériter leur confiance. Nous mettons tout en œuvre pour leur fournir des services de la plus haute qualité. Notre solide performance en ce début 2016 en témoigne. Les volumes de prêts et de dépôts ainsi que les ventes de produits d'assurance ont augmenté, tandis que le faible coût du crédit a également soutenu le résultat net. Dans un contexte de taux d’intérêt bas persistant, de croissance économique modérée en Belgique et de dynamique plus soutenue en Europe centrale, KBC a entamé 2016 sur un solide bénéfice net de 392 millions d’euros, contre un exceptionnel 862 millions d’euros au trimestre précédent et un très robuste 510 millions d’euros au premier trimestre 2015. Nos résultats ont été influencés par le niveau stable des revenus totaux générés par nos activités traditionnelles, les charges d'exploitation réduites, la comptabilisation anticipée des taxes bancaires accrues et le niveau très bas des réductions de valeur pour pertes de crédit.</w:t>
      </w:r>
    </w:p>
    <w:p w:rsidR="008C575A" w:rsidRDefault="008C575A" w:rsidP="007F4206">
      <w:pPr>
        <w:autoSpaceDE w:val="0"/>
        <w:autoSpaceDN w:val="0"/>
        <w:adjustRightInd w:val="0"/>
        <w:spacing w:after="120" w:line="240" w:lineRule="auto"/>
        <w:ind w:right="4"/>
        <w:rPr>
          <w:rFonts w:cs="Arial"/>
          <w:b/>
          <w:bCs/>
          <w:color w:val="003768"/>
          <w:sz w:val="28"/>
          <w:szCs w:val="28"/>
          <w:lang w:val="fr-FR"/>
        </w:rPr>
      </w:pPr>
      <w:r w:rsidRPr="00D74EA3">
        <w:rPr>
          <w:rFonts w:ascii="Arial" w:hAnsi="Arial" w:cs="Arial"/>
          <w:noProof/>
          <w:sz w:val="10"/>
          <w:szCs w:val="10"/>
          <w:lang w:val="nl-BE" w:eastAsia="nl-BE"/>
        </w:rPr>
        <w:drawing>
          <wp:anchor distT="0" distB="0" distL="114300" distR="114300" simplePos="0" relativeHeight="251661312" behindDoc="0" locked="0" layoutInCell="1" allowOverlap="1" wp14:anchorId="1310E717" wp14:editId="0A7E1C4D">
            <wp:simplePos x="0" y="0"/>
            <wp:positionH relativeFrom="margin">
              <wp:posOffset>57150</wp:posOffset>
            </wp:positionH>
            <wp:positionV relativeFrom="page">
              <wp:posOffset>7294245</wp:posOffset>
            </wp:positionV>
            <wp:extent cx="949960" cy="1148080"/>
            <wp:effectExtent l="0" t="0" r="2540" b="0"/>
            <wp:wrapThrough wrapText="bothSides">
              <wp:wrapPolygon edited="0">
                <wp:start x="0" y="0"/>
                <wp:lineTo x="0" y="21146"/>
                <wp:lineTo x="21225" y="21146"/>
                <wp:lineTo x="2122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ohan_Thijs_15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9960" cy="1148080"/>
                    </a:xfrm>
                    <a:prstGeom prst="rect">
                      <a:avLst/>
                    </a:prstGeom>
                  </pic:spPr>
                </pic:pic>
              </a:graphicData>
            </a:graphic>
            <wp14:sizeRelH relativeFrom="page">
              <wp14:pctWidth>0</wp14:pctWidth>
            </wp14:sizeRelH>
            <wp14:sizeRelV relativeFrom="margin">
              <wp14:pctHeight>0</wp14:pctHeight>
            </wp14:sizeRelV>
          </wp:anchor>
        </w:drawing>
      </w:r>
    </w:p>
    <w:p w:rsidR="008C575A" w:rsidRPr="008C575A" w:rsidRDefault="008C575A" w:rsidP="007F4206">
      <w:pPr>
        <w:spacing w:after="120"/>
        <w:rPr>
          <w:rFonts w:asciiTheme="minorHAnsi" w:hAnsiTheme="minorHAnsi" w:cs="Arial"/>
          <w:b/>
          <w:color w:val="002060"/>
          <w:lang w:val="fr-FR"/>
        </w:rPr>
      </w:pPr>
      <w:r w:rsidRPr="008C575A">
        <w:rPr>
          <w:rFonts w:asciiTheme="minorHAnsi" w:hAnsiTheme="minorHAnsi" w:cs="Arial"/>
          <w:color w:val="002060"/>
          <w:lang w:val="fr-FR"/>
        </w:rPr>
        <w:t xml:space="preserve">Johan Thijs, CEO de notre groupe : </w:t>
      </w:r>
    </w:p>
    <w:p w:rsidR="008C575A" w:rsidRPr="008C575A" w:rsidRDefault="008C575A" w:rsidP="007F4206">
      <w:pPr>
        <w:tabs>
          <w:tab w:val="left" w:pos="7380"/>
          <w:tab w:val="left" w:pos="9720"/>
        </w:tabs>
        <w:spacing w:after="120"/>
        <w:rPr>
          <w:rFonts w:asciiTheme="minorHAnsi" w:hAnsiTheme="minorHAnsi" w:cs="Arial"/>
          <w:i/>
          <w:color w:val="002060"/>
          <w:lang w:val="fr-FR"/>
        </w:rPr>
      </w:pPr>
      <w:r w:rsidRPr="008C575A">
        <w:rPr>
          <w:rFonts w:asciiTheme="minorHAnsi" w:hAnsiTheme="minorHAnsi" w:cs="Arial"/>
          <w:i/>
          <w:color w:val="002060"/>
          <w:lang w:val="fr-FR"/>
        </w:rPr>
        <w:t xml:space="preserve"> « La faiblesse persistante des taux d'intérêt constitue un véritable défi pour les institutions financières, auquel nous n'échappons pas. Les clients continuent cependant de nous confier leurs dépôts et comptent sur nous pour les aider à réaliser leurs projets. Une fois de plus, les volumes de prêts et de dépôts ont augmenté, tout comme les ventes de produits d'assurance. Nous sommes particulièrement reconnaissants à nos clients pour la confiance qu'ils nous témoignent et qui prouve la valeur de notre modèle de bancassurance. </w:t>
      </w:r>
    </w:p>
    <w:p w:rsidR="008C575A" w:rsidRPr="008C575A" w:rsidRDefault="008C575A" w:rsidP="007F4206">
      <w:pPr>
        <w:tabs>
          <w:tab w:val="left" w:pos="7380"/>
          <w:tab w:val="left" w:pos="9720"/>
        </w:tabs>
        <w:spacing w:after="120"/>
        <w:rPr>
          <w:rFonts w:asciiTheme="minorHAnsi" w:hAnsiTheme="minorHAnsi" w:cs="Arial"/>
          <w:i/>
          <w:color w:val="002060"/>
          <w:lang w:val="fr-FR"/>
        </w:rPr>
      </w:pPr>
      <w:r w:rsidRPr="008C575A">
        <w:rPr>
          <w:rFonts w:asciiTheme="minorHAnsi" w:hAnsiTheme="minorHAnsi" w:cs="Arial"/>
          <w:i/>
          <w:color w:val="002060"/>
          <w:lang w:val="fr-FR"/>
        </w:rPr>
        <w:t xml:space="preserve">Le trimestre a été caractérisé par le niveau stable des revenus totaux générés par nos activités principales, par la baisse des charges d'exploitation (abstraction faite de la comptabilisation anticipée des taxes bancaires) et par le niveau très bas du coût du crédit. À ce tableau s’ajoute aussi l’excellente performance de </w:t>
      </w:r>
      <w:r w:rsidRPr="008C575A">
        <w:rPr>
          <w:rFonts w:asciiTheme="minorHAnsi" w:hAnsiTheme="minorHAnsi" w:cs="Arial"/>
          <w:i/>
          <w:color w:val="002060"/>
          <w:lang w:val="fr-FR"/>
        </w:rPr>
        <w:lastRenderedPageBreak/>
        <w:t>nos activités d’assurance, surtout au niveau des ventes. Notre approche de bancassurance a permis de générer un résultat solide de 392 millions d'euros au premier trimestre de l'année.</w:t>
      </w:r>
    </w:p>
    <w:p w:rsidR="008C575A" w:rsidRPr="008C575A" w:rsidRDefault="008C575A" w:rsidP="007F4206">
      <w:pPr>
        <w:autoSpaceDE w:val="0"/>
        <w:autoSpaceDN w:val="0"/>
        <w:spacing w:after="120"/>
        <w:rPr>
          <w:rFonts w:asciiTheme="minorHAnsi" w:hAnsiTheme="minorHAnsi" w:cs="Arial"/>
          <w:i/>
          <w:color w:val="002060"/>
          <w:lang w:val="fr-FR"/>
        </w:rPr>
      </w:pPr>
      <w:r w:rsidRPr="008C575A">
        <w:rPr>
          <w:rFonts w:asciiTheme="minorHAnsi" w:hAnsiTheme="minorHAnsi" w:cs="Arial"/>
          <w:i/>
          <w:color w:val="002060"/>
          <w:lang w:val="fr-FR"/>
        </w:rPr>
        <w:t>Le Groupe KBC demeure particulièrement sain en termes de solvabilité et de liquidité, ce qui est apprécié par nos clients, nos employés et nos parties prenantes.</w:t>
      </w:r>
    </w:p>
    <w:p w:rsidR="008C575A" w:rsidRPr="008C575A" w:rsidRDefault="008C575A" w:rsidP="007F4206">
      <w:pPr>
        <w:autoSpaceDE w:val="0"/>
        <w:autoSpaceDN w:val="0"/>
        <w:spacing w:after="120"/>
        <w:rPr>
          <w:rFonts w:asciiTheme="minorHAnsi" w:hAnsiTheme="minorHAnsi" w:cs="Arial"/>
          <w:i/>
          <w:color w:val="002060"/>
          <w:lang w:val="fr-FR"/>
        </w:rPr>
      </w:pPr>
      <w:r w:rsidRPr="008C575A">
        <w:rPr>
          <w:rFonts w:asciiTheme="minorHAnsi" w:hAnsiTheme="minorHAnsi" w:cs="Arial"/>
          <w:i/>
          <w:color w:val="002060"/>
          <w:lang w:val="fr-FR"/>
        </w:rPr>
        <w:t xml:space="preserve">Nous avons pour objectif de faire en sorte que nos clients, actionnaires et autres parties prenantes tirent un réel bénéfice de nos activités. Cet objectif, tous nos membres du personnel s'efforcent de le réaliser. À l'horizon 2016, nous consacrerons tous nos efforts au développement de notre activité de bancassurance, tout en soutenant les économies et les clients locaux dans les pays où nous opérons. Nous continuons d’investir dans l’avenir et de déployer </w:t>
      </w:r>
      <w:proofErr w:type="spellStart"/>
      <w:r w:rsidRPr="008C575A">
        <w:rPr>
          <w:rFonts w:asciiTheme="minorHAnsi" w:hAnsiTheme="minorHAnsi" w:cs="Arial"/>
          <w:i/>
          <w:color w:val="002060"/>
          <w:lang w:val="fr-FR"/>
        </w:rPr>
        <w:t>proactivement</w:t>
      </w:r>
      <w:proofErr w:type="spellEnd"/>
      <w:r w:rsidRPr="008C575A">
        <w:rPr>
          <w:rFonts w:asciiTheme="minorHAnsi" w:hAnsiTheme="minorHAnsi" w:cs="Arial"/>
          <w:i/>
          <w:color w:val="002060"/>
          <w:lang w:val="fr-FR"/>
        </w:rPr>
        <w:t xml:space="preserve"> nos plans de technologie financière afin d’optimiser encore le service à la clientèle. Le taux d’intérêt bas persistants et la volatilité des marchés financiers placent le secteur financier dans son ensemble devant un défi de taille. Néanmoins, notre modèle de bancassurance, soutenu par une liquidité et une base de capital solides, nous permet de </w:t>
      </w:r>
      <w:r w:rsidR="003B66AD">
        <w:rPr>
          <w:rFonts w:asciiTheme="minorHAnsi" w:hAnsiTheme="minorHAnsi" w:cs="Arial"/>
          <w:i/>
          <w:color w:val="002060"/>
          <w:lang w:val="fr-FR"/>
        </w:rPr>
        <w:t>générer des résultats durables. »</w:t>
      </w:r>
    </w:p>
    <w:p w:rsidR="0077354C" w:rsidRPr="008C575A" w:rsidRDefault="0077354C" w:rsidP="007F4206">
      <w:pPr>
        <w:autoSpaceDE w:val="0"/>
        <w:autoSpaceDN w:val="0"/>
        <w:adjustRightInd w:val="0"/>
        <w:spacing w:after="120" w:line="240" w:lineRule="auto"/>
        <w:ind w:right="4"/>
        <w:rPr>
          <w:rFonts w:asciiTheme="minorHAnsi" w:hAnsiTheme="minorHAnsi" w:cs="Arial"/>
          <w:i/>
          <w:iCs/>
          <w:color w:val="002060"/>
          <w:lang w:val="fr-FR"/>
        </w:rPr>
      </w:pPr>
    </w:p>
    <w:p w:rsidR="008C575A" w:rsidRPr="008C575A" w:rsidRDefault="008C575A" w:rsidP="007F4206">
      <w:pPr>
        <w:pStyle w:val="Intro"/>
        <w:spacing w:after="120"/>
        <w:jc w:val="left"/>
        <w:rPr>
          <w:rFonts w:asciiTheme="minorHAnsi" w:hAnsiTheme="minorHAnsi" w:cs="Arial"/>
          <w:b w:val="0"/>
          <w:bCs w:val="0"/>
          <w:color w:val="002060"/>
          <w:sz w:val="22"/>
          <w:szCs w:val="22"/>
          <w:lang w:val="fr-FR"/>
        </w:rPr>
      </w:pPr>
      <w:r w:rsidRPr="008C575A">
        <w:rPr>
          <w:rFonts w:asciiTheme="minorHAnsi" w:hAnsiTheme="minorHAnsi" w:cs="Arial"/>
          <w:b w:val="0"/>
          <w:bCs w:val="0"/>
          <w:color w:val="002060"/>
          <w:sz w:val="22"/>
          <w:szCs w:val="22"/>
          <w:lang w:val="fr-FR"/>
        </w:rPr>
        <w:t xml:space="preserve">Principales données financières du premier trimestre 2016 par rapport au quatrième trimestre 2015 : </w:t>
      </w:r>
    </w:p>
    <w:p w:rsidR="008C575A" w:rsidRPr="008C575A" w:rsidRDefault="008C575A" w:rsidP="007F4206">
      <w:pPr>
        <w:pStyle w:val="ListParagraph"/>
        <w:numPr>
          <w:ilvl w:val="0"/>
          <w:numId w:val="3"/>
        </w:numPr>
        <w:spacing w:after="120" w:line="240" w:lineRule="auto"/>
        <w:ind w:left="284" w:hanging="284"/>
        <w:contextualSpacing w:val="0"/>
        <w:rPr>
          <w:rFonts w:asciiTheme="minorHAnsi" w:hAnsiTheme="minorHAnsi"/>
          <w:color w:val="002060"/>
          <w:lang w:val="fr-FR"/>
        </w:rPr>
      </w:pPr>
      <w:r w:rsidRPr="008C575A">
        <w:rPr>
          <w:rFonts w:asciiTheme="minorHAnsi" w:hAnsiTheme="minorHAnsi"/>
          <w:color w:val="002060"/>
          <w:lang w:val="fr-FR"/>
        </w:rPr>
        <w:t xml:space="preserve">Nos franchises de banque et d’assurance ont toutes deux prospéré sur nos marchés clés et dans nos principales activités. </w:t>
      </w:r>
    </w:p>
    <w:p w:rsidR="008C575A" w:rsidRPr="008C575A" w:rsidRDefault="008C575A" w:rsidP="007F4206">
      <w:pPr>
        <w:pStyle w:val="ListParagraph"/>
        <w:numPr>
          <w:ilvl w:val="0"/>
          <w:numId w:val="3"/>
        </w:numPr>
        <w:spacing w:after="120" w:line="240" w:lineRule="auto"/>
        <w:ind w:left="284" w:hanging="284"/>
        <w:contextualSpacing w:val="0"/>
        <w:rPr>
          <w:rFonts w:asciiTheme="minorHAnsi" w:hAnsiTheme="minorHAnsi" w:cs="Arial"/>
          <w:color w:val="002060"/>
          <w:lang w:val="fr-FR"/>
        </w:rPr>
      </w:pPr>
      <w:r w:rsidRPr="008C575A">
        <w:rPr>
          <w:rFonts w:asciiTheme="minorHAnsi" w:hAnsiTheme="minorHAnsi" w:cs="Arial"/>
          <w:color w:val="002060"/>
          <w:lang w:val="fr-FR"/>
        </w:rPr>
        <w:t>Nous avons de nouveau octroyé plus de prêts en Belgique (+1% en un seul trimestre), en République tchèque (+3%), en Slovaquie (+2%) et en Bulgarie (+2%). Les dépôts de clients ont en outre encore augmenté dans la majorité des pays où nous opérons : Belgique (+3%), République tchèque (+1%), Slovaquie (+6%) et Irlande (+4%).</w:t>
      </w:r>
    </w:p>
    <w:p w:rsidR="008C575A" w:rsidRPr="008C575A" w:rsidRDefault="008C575A" w:rsidP="007F4206">
      <w:pPr>
        <w:pStyle w:val="ListParagraph"/>
        <w:numPr>
          <w:ilvl w:val="0"/>
          <w:numId w:val="3"/>
        </w:numPr>
        <w:spacing w:after="120" w:line="240" w:lineRule="auto"/>
        <w:ind w:left="284" w:hanging="284"/>
        <w:contextualSpacing w:val="0"/>
        <w:rPr>
          <w:rFonts w:asciiTheme="minorHAnsi" w:hAnsiTheme="minorHAnsi" w:cs="Arial"/>
          <w:color w:val="002060"/>
          <w:lang w:val="fr-FR"/>
        </w:rPr>
      </w:pPr>
      <w:r w:rsidRPr="008C575A">
        <w:rPr>
          <w:rFonts w:asciiTheme="minorHAnsi" w:hAnsiTheme="minorHAnsi" w:cs="Arial"/>
          <w:color w:val="002060"/>
          <w:lang w:val="fr-FR"/>
        </w:rPr>
        <w:t>Les revenus nets d’intérêts affichent une légère progression grâce aux baisses de taux, à la hausse des volumes et à la diminution des frais de financement, et ce malgré un environnement caractérisé par des taux d'intérêt bas et une certaine pression sur les marges sur prêts. Notre marge nette d’intérêts s’est quelque peu élargie en rythme trimestriel (passant de 1,95% à 1,96%).</w:t>
      </w:r>
      <w:r w:rsidRPr="008C575A">
        <w:rPr>
          <w:rFonts w:asciiTheme="minorHAnsi" w:hAnsiTheme="minorHAnsi"/>
          <w:color w:val="002060"/>
          <w:lang w:val="fr-FR"/>
        </w:rPr>
        <w:t xml:space="preserve"> </w:t>
      </w:r>
    </w:p>
    <w:p w:rsidR="008C575A" w:rsidRPr="008C575A" w:rsidRDefault="008C575A" w:rsidP="007F4206">
      <w:pPr>
        <w:pStyle w:val="ListParagraph"/>
        <w:numPr>
          <w:ilvl w:val="0"/>
          <w:numId w:val="3"/>
        </w:numPr>
        <w:spacing w:after="120" w:line="240" w:lineRule="auto"/>
        <w:ind w:left="284" w:hanging="284"/>
        <w:contextualSpacing w:val="0"/>
        <w:rPr>
          <w:rFonts w:asciiTheme="minorHAnsi" w:hAnsiTheme="minorHAnsi" w:cs="Arial"/>
          <w:color w:val="002060"/>
          <w:lang w:val="fr-FR"/>
        </w:rPr>
      </w:pPr>
      <w:r w:rsidRPr="008C575A">
        <w:rPr>
          <w:rFonts w:asciiTheme="minorHAnsi" w:hAnsiTheme="minorHAnsi" w:cs="Arial"/>
          <w:color w:val="002060"/>
          <w:lang w:val="fr-FR"/>
        </w:rPr>
        <w:t xml:space="preserve">Les ventes de produits d’assurance non-vie ont progressé sur la quasi-totalité de nos marchés et le ratio non-vie combiné s’inscrit à 91% </w:t>
      </w:r>
      <w:proofErr w:type="spellStart"/>
      <w:r w:rsidRPr="008C575A">
        <w:rPr>
          <w:rFonts w:asciiTheme="minorHAnsi" w:hAnsiTheme="minorHAnsi" w:cs="Arial"/>
          <w:color w:val="002060"/>
          <w:lang w:val="fr-FR"/>
        </w:rPr>
        <w:t>year</w:t>
      </w:r>
      <w:proofErr w:type="spellEnd"/>
      <w:r w:rsidRPr="008C575A">
        <w:rPr>
          <w:rFonts w:asciiTheme="minorHAnsi" w:hAnsiTheme="minorHAnsi" w:cs="Arial"/>
          <w:color w:val="002060"/>
          <w:lang w:val="fr-FR"/>
        </w:rPr>
        <w:t>-to-date mais se ressent néanmoins fortement des demandes d’indemnisation suite aux attaques terroristes de Bruxelles. Abstraction faite de ces demandes d’indemnisation, le ratio combiné s’inscrit à 82%, un excellent niveau. Les ventes globales de produits d’assurance vie ont augmenté.</w:t>
      </w:r>
    </w:p>
    <w:p w:rsidR="008C575A" w:rsidRPr="008C575A" w:rsidRDefault="008C575A" w:rsidP="007F4206">
      <w:pPr>
        <w:pStyle w:val="ListParagraph"/>
        <w:numPr>
          <w:ilvl w:val="0"/>
          <w:numId w:val="3"/>
        </w:numPr>
        <w:spacing w:after="120" w:line="240" w:lineRule="auto"/>
        <w:ind w:left="284" w:hanging="284"/>
        <w:contextualSpacing w:val="0"/>
        <w:rPr>
          <w:rFonts w:asciiTheme="minorHAnsi" w:hAnsiTheme="minorHAnsi" w:cs="Arial"/>
          <w:color w:val="002060"/>
          <w:lang w:val="fr-FR"/>
        </w:rPr>
      </w:pPr>
      <w:r w:rsidRPr="008C575A">
        <w:rPr>
          <w:rFonts w:asciiTheme="minorHAnsi" w:hAnsiTheme="minorHAnsi" w:cs="Arial"/>
          <w:color w:val="002060"/>
          <w:lang w:val="fr-FR"/>
        </w:rPr>
        <w:t>Les clients ont continué de confier leurs actifs à KBC, mais la piètre performance des marchés s'est traduite par une légère baisse des actifs sous gestion totaux de notre groupe, à 207 milliards d'euros. Nos revenus nets de commissions ont baissé de 7%, principalement en raison de la diminution des commissions de gestion découlant d’une allocation plus prudente des placements.</w:t>
      </w:r>
    </w:p>
    <w:p w:rsidR="008C575A" w:rsidRPr="008C575A" w:rsidRDefault="008C575A" w:rsidP="007F4206">
      <w:pPr>
        <w:pStyle w:val="ListParagraph"/>
        <w:numPr>
          <w:ilvl w:val="0"/>
          <w:numId w:val="3"/>
        </w:numPr>
        <w:spacing w:after="120" w:line="240" w:lineRule="auto"/>
        <w:ind w:left="284" w:hanging="284"/>
        <w:contextualSpacing w:val="0"/>
        <w:rPr>
          <w:rFonts w:asciiTheme="minorHAnsi" w:hAnsiTheme="minorHAnsi"/>
          <w:color w:val="002060"/>
          <w:lang w:val="fr-FR"/>
        </w:rPr>
      </w:pPr>
      <w:r w:rsidRPr="008C575A">
        <w:rPr>
          <w:rFonts w:asciiTheme="minorHAnsi" w:hAnsiTheme="minorHAnsi" w:cs="Arial"/>
          <w:color w:val="002060"/>
          <w:lang w:val="fr-FR"/>
        </w:rPr>
        <w:t xml:space="preserve">Abstraction faite des 335 millions d'euros de taxes bancaires, qui ont sérieusement influencé le résultat final, les charges s'allègent de 7%. Le ratio charges/revenus s’établit à </w:t>
      </w:r>
      <w:r w:rsidRPr="008C575A">
        <w:rPr>
          <w:rFonts w:asciiTheme="minorHAnsi" w:hAnsiTheme="minorHAnsi"/>
          <w:color w:val="002060"/>
          <w:lang w:val="fr-FR"/>
        </w:rPr>
        <w:t xml:space="preserve">71% </w:t>
      </w:r>
      <w:proofErr w:type="spellStart"/>
      <w:r w:rsidRPr="008C575A">
        <w:rPr>
          <w:rFonts w:asciiTheme="minorHAnsi" w:hAnsiTheme="minorHAnsi"/>
          <w:color w:val="002060"/>
          <w:lang w:val="fr-FR"/>
        </w:rPr>
        <w:t>year</w:t>
      </w:r>
      <w:proofErr w:type="spellEnd"/>
      <w:r w:rsidRPr="008C575A">
        <w:rPr>
          <w:rFonts w:asciiTheme="minorHAnsi" w:hAnsiTheme="minorHAnsi"/>
          <w:color w:val="002060"/>
          <w:lang w:val="fr-FR"/>
        </w:rPr>
        <w:t>-to-date, sous l'effet de la comptabilisation anticipée des taxes bancaires. Après répartition homogène des taxes bancaires et exclusion des éléments exceptionnels, le ratio charges/revenus ressort à 57%.</w:t>
      </w:r>
    </w:p>
    <w:p w:rsidR="008C575A" w:rsidRPr="008C575A" w:rsidRDefault="008C575A" w:rsidP="007F4206">
      <w:pPr>
        <w:pStyle w:val="ListParagraph"/>
        <w:numPr>
          <w:ilvl w:val="0"/>
          <w:numId w:val="3"/>
        </w:numPr>
        <w:spacing w:after="120" w:line="240" w:lineRule="auto"/>
        <w:ind w:left="284" w:hanging="284"/>
        <w:contextualSpacing w:val="0"/>
        <w:rPr>
          <w:rFonts w:asciiTheme="minorHAnsi" w:hAnsiTheme="minorHAnsi"/>
          <w:color w:val="002060"/>
          <w:lang w:val="fr-FR"/>
        </w:rPr>
      </w:pPr>
      <w:r w:rsidRPr="008C575A">
        <w:rPr>
          <w:rFonts w:asciiTheme="minorHAnsi" w:hAnsiTheme="minorHAnsi"/>
          <w:color w:val="002060"/>
          <w:lang w:val="fr-FR"/>
        </w:rPr>
        <w:t>Le coût du crédit s’inscrit à 0,01% de notre portefeuille de crédits, un niveau bas intenable.</w:t>
      </w:r>
    </w:p>
    <w:p w:rsidR="008C575A" w:rsidRPr="008C575A" w:rsidRDefault="008C575A" w:rsidP="007F4206">
      <w:pPr>
        <w:pStyle w:val="ListParagraph"/>
        <w:numPr>
          <w:ilvl w:val="0"/>
          <w:numId w:val="3"/>
        </w:numPr>
        <w:spacing w:after="120" w:line="240" w:lineRule="auto"/>
        <w:ind w:left="284" w:hanging="284"/>
        <w:contextualSpacing w:val="0"/>
        <w:rPr>
          <w:rFonts w:asciiTheme="minorHAnsi" w:hAnsiTheme="minorHAnsi"/>
          <w:color w:val="002060"/>
          <w:lang w:val="fr-FR"/>
        </w:rPr>
      </w:pPr>
      <w:r w:rsidRPr="008C575A">
        <w:rPr>
          <w:rFonts w:asciiTheme="minorHAnsi" w:hAnsiTheme="minorHAnsi" w:cs="Arial"/>
          <w:color w:val="002060"/>
          <w:lang w:val="fr-FR"/>
        </w:rPr>
        <w:t xml:space="preserve">Notre position de trésorerie reste robuste et notre base de capital – avec un ratio </w:t>
      </w:r>
      <w:proofErr w:type="spellStart"/>
      <w:r w:rsidRPr="008C575A">
        <w:rPr>
          <w:rFonts w:asciiTheme="minorHAnsi" w:hAnsiTheme="minorHAnsi" w:cs="Arial"/>
          <w:color w:val="002060"/>
          <w:lang w:val="fr-FR"/>
        </w:rPr>
        <w:t>common</w:t>
      </w:r>
      <w:proofErr w:type="spellEnd"/>
      <w:r w:rsidRPr="008C575A">
        <w:rPr>
          <w:rFonts w:asciiTheme="minorHAnsi" w:hAnsiTheme="minorHAnsi" w:cs="Arial"/>
          <w:color w:val="002060"/>
          <w:lang w:val="fr-FR"/>
        </w:rPr>
        <w:t xml:space="preserve"> </w:t>
      </w:r>
      <w:proofErr w:type="spellStart"/>
      <w:r w:rsidRPr="008C575A">
        <w:rPr>
          <w:rFonts w:asciiTheme="minorHAnsi" w:hAnsiTheme="minorHAnsi" w:cs="Arial"/>
          <w:color w:val="002060"/>
          <w:lang w:val="fr-FR"/>
        </w:rPr>
        <w:t>equity</w:t>
      </w:r>
      <w:proofErr w:type="spellEnd"/>
      <w:r w:rsidRPr="008C575A">
        <w:rPr>
          <w:rFonts w:asciiTheme="minorHAnsi" w:hAnsiTheme="minorHAnsi" w:cs="Arial"/>
          <w:color w:val="002060"/>
          <w:lang w:val="fr-FR"/>
        </w:rPr>
        <w:t xml:space="preserve"> de 14,6% (</w:t>
      </w:r>
      <w:proofErr w:type="spellStart"/>
      <w:r w:rsidRPr="008C575A">
        <w:rPr>
          <w:rFonts w:asciiTheme="minorHAnsi" w:hAnsiTheme="minorHAnsi" w:cs="Arial"/>
          <w:color w:val="002060"/>
          <w:lang w:val="fr-FR"/>
        </w:rPr>
        <w:t>phased</w:t>
      </w:r>
      <w:proofErr w:type="spellEnd"/>
      <w:r w:rsidRPr="008C575A">
        <w:rPr>
          <w:rFonts w:asciiTheme="minorHAnsi" w:hAnsiTheme="minorHAnsi" w:cs="Arial"/>
          <w:color w:val="002060"/>
          <w:lang w:val="fr-FR"/>
        </w:rPr>
        <w:t>-in, selon le compromis danois) – est toujours nettement supérieure à l’objectif des régulateurs de 10.25% pour 2016.</w:t>
      </w:r>
    </w:p>
    <w:p w:rsidR="008C575A" w:rsidRDefault="008C575A" w:rsidP="008C575A">
      <w:pPr>
        <w:spacing w:after="120" w:line="240" w:lineRule="auto"/>
        <w:jc w:val="both"/>
        <w:rPr>
          <w:rFonts w:asciiTheme="minorHAnsi" w:hAnsiTheme="minorHAnsi" w:cs="Arial"/>
          <w:color w:val="002060"/>
          <w:lang w:val="fr-FR"/>
        </w:rPr>
      </w:pPr>
    </w:p>
    <w:p w:rsidR="008C575A" w:rsidRDefault="008C575A" w:rsidP="008C575A">
      <w:pPr>
        <w:spacing w:after="120" w:line="240" w:lineRule="auto"/>
        <w:jc w:val="both"/>
        <w:rPr>
          <w:rFonts w:asciiTheme="minorHAnsi" w:hAnsiTheme="minorHAnsi" w:cs="Arial"/>
          <w:color w:val="002060"/>
          <w:lang w:val="fr-FR"/>
        </w:rPr>
      </w:pPr>
    </w:p>
    <w:tbl>
      <w:tblPr>
        <w:tblW w:w="10139" w:type="dxa"/>
        <w:tblLayout w:type="fixed"/>
        <w:tblLook w:val="01E0" w:firstRow="1" w:lastRow="1" w:firstColumn="1" w:lastColumn="1" w:noHBand="0" w:noVBand="0"/>
      </w:tblPr>
      <w:tblGrid>
        <w:gridCol w:w="4995"/>
        <w:gridCol w:w="1951"/>
        <w:gridCol w:w="1526"/>
        <w:gridCol w:w="1667"/>
      </w:tblGrid>
      <w:tr w:rsidR="008C575A" w:rsidRPr="00D74EA3" w:rsidTr="00A8415A">
        <w:tc>
          <w:tcPr>
            <w:tcW w:w="4995" w:type="dxa"/>
            <w:tcBorders>
              <w:bottom w:val="single" w:sz="4" w:space="0" w:color="808080" w:themeColor="background1" w:themeShade="80"/>
            </w:tcBorders>
            <w:shd w:val="clear" w:color="auto" w:fill="auto"/>
            <w:vAlign w:val="center"/>
          </w:tcPr>
          <w:p w:rsidR="008C575A" w:rsidRPr="00D74EA3" w:rsidRDefault="008C575A" w:rsidP="008C575A">
            <w:pPr>
              <w:pStyle w:val="Intro"/>
              <w:jc w:val="left"/>
              <w:rPr>
                <w:color w:val="00B0F0"/>
                <w:sz w:val="14"/>
                <w:szCs w:val="14"/>
                <w:lang w:val="en-GB"/>
              </w:rPr>
            </w:pPr>
            <w:r w:rsidRPr="00725FA5">
              <w:rPr>
                <w:rFonts w:cs="Arial"/>
                <w:color w:val="00B0F0"/>
                <w:sz w:val="18"/>
                <w:szCs w:val="18"/>
                <w:highlight w:val="yellow"/>
                <w:lang w:val="fr-FR"/>
              </w:rPr>
              <w:lastRenderedPageBreak/>
              <w:br w:type="page"/>
            </w:r>
            <w:r w:rsidRPr="00D74EA3">
              <w:rPr>
                <w:color w:val="00B0F0"/>
                <w:sz w:val="14"/>
                <w:szCs w:val="14"/>
              </w:rPr>
              <w:t>Aperçu</w:t>
            </w:r>
          </w:p>
          <w:p w:rsidR="008C575A" w:rsidRPr="00D74EA3" w:rsidRDefault="008C575A" w:rsidP="008C575A">
            <w:pPr>
              <w:pStyle w:val="Intro"/>
              <w:jc w:val="left"/>
              <w:rPr>
                <w:color w:val="00B0F0"/>
                <w:sz w:val="14"/>
                <w:szCs w:val="14"/>
                <w:lang w:val="en-GB"/>
              </w:rPr>
            </w:pPr>
            <w:r w:rsidRPr="00D74EA3">
              <w:rPr>
                <w:color w:val="00B0F0"/>
                <w:sz w:val="14"/>
                <w:szCs w:val="14"/>
              </w:rPr>
              <w:t>Groupe KBC (</w:t>
            </w:r>
            <w:proofErr w:type="spellStart"/>
            <w:r w:rsidRPr="00D74EA3">
              <w:rPr>
                <w:color w:val="00B0F0"/>
                <w:sz w:val="14"/>
                <w:szCs w:val="14"/>
              </w:rPr>
              <w:t>consolidé</w:t>
            </w:r>
            <w:proofErr w:type="spellEnd"/>
            <w:r w:rsidRPr="00D74EA3">
              <w:rPr>
                <w:color w:val="00B0F0"/>
                <w:sz w:val="14"/>
                <w:szCs w:val="14"/>
              </w:rPr>
              <w:t>)</w:t>
            </w:r>
          </w:p>
        </w:tc>
        <w:tc>
          <w:tcPr>
            <w:tcW w:w="1951" w:type="dxa"/>
            <w:tcBorders>
              <w:bottom w:val="single" w:sz="4" w:space="0" w:color="808080" w:themeColor="background1" w:themeShade="80"/>
            </w:tcBorders>
            <w:shd w:val="clear" w:color="auto" w:fill="auto"/>
            <w:vAlign w:val="center"/>
          </w:tcPr>
          <w:p w:rsidR="008C575A" w:rsidRPr="00D74EA3" w:rsidRDefault="008C575A" w:rsidP="008C575A">
            <w:pPr>
              <w:pStyle w:val="Intro"/>
              <w:jc w:val="right"/>
              <w:rPr>
                <w:color w:val="00B0F0"/>
                <w:sz w:val="14"/>
                <w:szCs w:val="14"/>
                <w:lang w:val="en-GB"/>
              </w:rPr>
            </w:pPr>
            <w:r w:rsidRPr="00D74EA3">
              <w:rPr>
                <w:color w:val="00B0F0"/>
                <w:sz w:val="14"/>
                <w:szCs w:val="14"/>
              </w:rPr>
              <w:t>1TR2015</w:t>
            </w:r>
          </w:p>
        </w:tc>
        <w:tc>
          <w:tcPr>
            <w:tcW w:w="1526" w:type="dxa"/>
            <w:tcBorders>
              <w:bottom w:val="single" w:sz="4" w:space="0" w:color="808080" w:themeColor="background1" w:themeShade="80"/>
            </w:tcBorders>
            <w:shd w:val="clear" w:color="auto" w:fill="auto"/>
            <w:vAlign w:val="center"/>
          </w:tcPr>
          <w:p w:rsidR="008C575A" w:rsidRPr="00D74EA3" w:rsidRDefault="008C575A" w:rsidP="008C575A">
            <w:pPr>
              <w:pStyle w:val="Intro"/>
              <w:jc w:val="right"/>
              <w:rPr>
                <w:color w:val="00B0F0"/>
                <w:sz w:val="14"/>
                <w:szCs w:val="14"/>
                <w:lang w:val="en-GB"/>
              </w:rPr>
            </w:pPr>
            <w:r w:rsidRPr="00D74EA3">
              <w:rPr>
                <w:color w:val="00B0F0"/>
                <w:sz w:val="14"/>
                <w:szCs w:val="14"/>
              </w:rPr>
              <w:t>4TR2015</w:t>
            </w:r>
          </w:p>
        </w:tc>
        <w:tc>
          <w:tcPr>
            <w:tcW w:w="1667" w:type="dxa"/>
            <w:tcBorders>
              <w:bottom w:val="single" w:sz="4" w:space="0" w:color="808080" w:themeColor="background1" w:themeShade="80"/>
            </w:tcBorders>
            <w:shd w:val="clear" w:color="auto" w:fill="auto"/>
            <w:vAlign w:val="center"/>
          </w:tcPr>
          <w:p w:rsidR="008C575A" w:rsidRPr="00D74EA3" w:rsidRDefault="008C575A" w:rsidP="008C575A">
            <w:pPr>
              <w:pStyle w:val="Intro"/>
              <w:jc w:val="right"/>
              <w:rPr>
                <w:color w:val="00B0F0"/>
                <w:sz w:val="14"/>
                <w:szCs w:val="14"/>
                <w:lang w:val="en-GB"/>
              </w:rPr>
            </w:pPr>
            <w:r w:rsidRPr="00D74EA3">
              <w:rPr>
                <w:color w:val="00B0F0"/>
                <w:sz w:val="14"/>
                <w:szCs w:val="14"/>
              </w:rPr>
              <w:t>1TR2016</w:t>
            </w:r>
          </w:p>
        </w:tc>
      </w:tr>
      <w:tr w:rsidR="008C575A" w:rsidRPr="00D74EA3" w:rsidTr="00A8415A">
        <w:trPr>
          <w:trHeight w:val="284"/>
        </w:trPr>
        <w:tc>
          <w:tcPr>
            <w:tcW w:w="4995" w:type="dxa"/>
            <w:tcBorders>
              <w:top w:val="single" w:sz="4" w:space="0" w:color="808080" w:themeColor="background1" w:themeShade="80"/>
            </w:tcBorders>
            <w:vAlign w:val="center"/>
          </w:tcPr>
          <w:p w:rsidR="008C575A" w:rsidRPr="00725FA5" w:rsidRDefault="008C575A" w:rsidP="008C575A">
            <w:pPr>
              <w:pStyle w:val="Intro"/>
              <w:jc w:val="left"/>
              <w:rPr>
                <w:b w:val="0"/>
                <w:sz w:val="14"/>
                <w:szCs w:val="14"/>
                <w:lang w:val="fr-FR"/>
              </w:rPr>
            </w:pPr>
            <w:r w:rsidRPr="00725FA5">
              <w:rPr>
                <w:b w:val="0"/>
                <w:sz w:val="14"/>
                <w:szCs w:val="14"/>
                <w:lang w:val="fr-FR"/>
              </w:rPr>
              <w:t>Résultat net, IFRS (en millions EUR)</w:t>
            </w:r>
          </w:p>
        </w:tc>
        <w:tc>
          <w:tcPr>
            <w:tcW w:w="1951" w:type="dxa"/>
            <w:tcBorders>
              <w:top w:val="single" w:sz="4" w:space="0" w:color="808080" w:themeColor="background1" w:themeShade="80"/>
            </w:tcBorders>
            <w:vAlign w:val="center"/>
          </w:tcPr>
          <w:p w:rsidR="008C575A" w:rsidRPr="00D74EA3" w:rsidRDefault="008C575A" w:rsidP="008C575A">
            <w:pPr>
              <w:pStyle w:val="Intro"/>
              <w:jc w:val="right"/>
              <w:rPr>
                <w:b w:val="0"/>
                <w:sz w:val="14"/>
                <w:szCs w:val="14"/>
                <w:lang w:val="en-GB"/>
              </w:rPr>
            </w:pPr>
            <w:r w:rsidRPr="00D74EA3">
              <w:rPr>
                <w:b w:val="0"/>
                <w:sz w:val="14"/>
                <w:szCs w:val="14"/>
              </w:rPr>
              <w:t>510</w:t>
            </w:r>
          </w:p>
        </w:tc>
        <w:tc>
          <w:tcPr>
            <w:tcW w:w="1526" w:type="dxa"/>
            <w:tcBorders>
              <w:top w:val="single" w:sz="4" w:space="0" w:color="808080" w:themeColor="background1" w:themeShade="80"/>
            </w:tcBorders>
            <w:shd w:val="clear" w:color="auto" w:fill="auto"/>
            <w:vAlign w:val="center"/>
          </w:tcPr>
          <w:p w:rsidR="008C575A" w:rsidRPr="00D74EA3" w:rsidRDefault="008C575A" w:rsidP="008C575A">
            <w:pPr>
              <w:pStyle w:val="Intro"/>
              <w:jc w:val="right"/>
              <w:rPr>
                <w:b w:val="0"/>
                <w:sz w:val="14"/>
                <w:szCs w:val="14"/>
                <w:lang w:val="en-GB"/>
              </w:rPr>
            </w:pPr>
            <w:r w:rsidRPr="00D74EA3">
              <w:rPr>
                <w:b w:val="0"/>
                <w:sz w:val="14"/>
                <w:szCs w:val="14"/>
              </w:rPr>
              <w:t>862</w:t>
            </w:r>
          </w:p>
        </w:tc>
        <w:tc>
          <w:tcPr>
            <w:tcW w:w="1667" w:type="dxa"/>
            <w:tcBorders>
              <w:top w:val="single" w:sz="4" w:space="0" w:color="808080" w:themeColor="background1" w:themeShade="80"/>
            </w:tcBorders>
            <w:shd w:val="clear" w:color="auto" w:fill="D9D9D9" w:themeFill="background1" w:themeFillShade="D9"/>
            <w:vAlign w:val="center"/>
          </w:tcPr>
          <w:p w:rsidR="008C575A" w:rsidRPr="00D74EA3" w:rsidRDefault="008C575A" w:rsidP="008C575A">
            <w:pPr>
              <w:pStyle w:val="Intro"/>
              <w:jc w:val="right"/>
              <w:rPr>
                <w:b w:val="0"/>
                <w:sz w:val="14"/>
                <w:szCs w:val="14"/>
                <w:lang w:val="en-GB"/>
              </w:rPr>
            </w:pPr>
            <w:r w:rsidRPr="00D74EA3">
              <w:rPr>
                <w:b w:val="0"/>
                <w:sz w:val="14"/>
                <w:szCs w:val="14"/>
              </w:rPr>
              <w:t>392</w:t>
            </w:r>
          </w:p>
        </w:tc>
      </w:tr>
      <w:tr w:rsidR="008C575A" w:rsidRPr="00D74EA3" w:rsidTr="00A8415A">
        <w:trPr>
          <w:trHeight w:val="284"/>
        </w:trPr>
        <w:tc>
          <w:tcPr>
            <w:tcW w:w="4995" w:type="dxa"/>
            <w:tcBorders>
              <w:bottom w:val="single" w:sz="4" w:space="0" w:color="808080" w:themeColor="background1" w:themeShade="80"/>
            </w:tcBorders>
            <w:vAlign w:val="center"/>
          </w:tcPr>
          <w:p w:rsidR="008C575A" w:rsidRPr="00725FA5" w:rsidRDefault="008C575A" w:rsidP="008C575A">
            <w:pPr>
              <w:pStyle w:val="Intro"/>
              <w:jc w:val="left"/>
              <w:rPr>
                <w:b w:val="0"/>
                <w:sz w:val="14"/>
                <w:szCs w:val="14"/>
                <w:vertAlign w:val="superscript"/>
                <w:lang w:val="fr-FR"/>
              </w:rPr>
            </w:pPr>
            <w:r w:rsidRPr="00725FA5">
              <w:rPr>
                <w:b w:val="0"/>
                <w:sz w:val="14"/>
                <w:szCs w:val="14"/>
                <w:lang w:val="fr-FR"/>
              </w:rPr>
              <w:t>Bénéfice de base par action, IFRS (en EUR)*</w:t>
            </w:r>
          </w:p>
        </w:tc>
        <w:tc>
          <w:tcPr>
            <w:tcW w:w="1951" w:type="dxa"/>
            <w:tcBorders>
              <w:bottom w:val="single" w:sz="4" w:space="0" w:color="808080" w:themeColor="background1" w:themeShade="80"/>
            </w:tcBorders>
            <w:vAlign w:val="center"/>
          </w:tcPr>
          <w:p w:rsidR="008C575A" w:rsidRPr="00D74EA3" w:rsidRDefault="008C575A" w:rsidP="008C575A">
            <w:pPr>
              <w:pStyle w:val="Intro"/>
              <w:jc w:val="right"/>
              <w:rPr>
                <w:b w:val="0"/>
                <w:sz w:val="14"/>
                <w:szCs w:val="14"/>
                <w:lang w:val="en-GB"/>
              </w:rPr>
            </w:pPr>
            <w:r w:rsidRPr="00D74EA3">
              <w:rPr>
                <w:b w:val="0"/>
                <w:sz w:val="14"/>
                <w:szCs w:val="14"/>
              </w:rPr>
              <w:t>1.19</w:t>
            </w:r>
          </w:p>
        </w:tc>
        <w:tc>
          <w:tcPr>
            <w:tcW w:w="1526" w:type="dxa"/>
            <w:tcBorders>
              <w:bottom w:val="single" w:sz="4" w:space="0" w:color="808080" w:themeColor="background1" w:themeShade="80"/>
            </w:tcBorders>
            <w:shd w:val="clear" w:color="auto" w:fill="auto"/>
            <w:vAlign w:val="center"/>
          </w:tcPr>
          <w:p w:rsidR="008C575A" w:rsidRPr="00D74EA3" w:rsidRDefault="008C575A" w:rsidP="008C575A">
            <w:pPr>
              <w:pStyle w:val="Intro"/>
              <w:jc w:val="right"/>
              <w:rPr>
                <w:b w:val="0"/>
                <w:sz w:val="14"/>
                <w:szCs w:val="14"/>
                <w:lang w:val="en-GB"/>
              </w:rPr>
            </w:pPr>
            <w:r w:rsidRPr="00D74EA3">
              <w:rPr>
                <w:b w:val="0"/>
                <w:sz w:val="14"/>
                <w:szCs w:val="14"/>
              </w:rPr>
              <w:t>-0.36</w:t>
            </w:r>
          </w:p>
        </w:tc>
        <w:tc>
          <w:tcPr>
            <w:tcW w:w="1667" w:type="dxa"/>
            <w:tcBorders>
              <w:bottom w:val="single" w:sz="4" w:space="0" w:color="808080" w:themeColor="background1" w:themeShade="80"/>
            </w:tcBorders>
            <w:shd w:val="clear" w:color="auto" w:fill="D9D9D9" w:themeFill="background1" w:themeFillShade="D9"/>
            <w:vAlign w:val="center"/>
          </w:tcPr>
          <w:p w:rsidR="008C575A" w:rsidRPr="00D74EA3" w:rsidRDefault="008C575A" w:rsidP="008C575A">
            <w:pPr>
              <w:pStyle w:val="Intro"/>
              <w:jc w:val="right"/>
              <w:rPr>
                <w:b w:val="0"/>
                <w:sz w:val="14"/>
                <w:szCs w:val="14"/>
                <w:lang w:val="en-GB"/>
              </w:rPr>
            </w:pPr>
            <w:r w:rsidRPr="00D74EA3">
              <w:rPr>
                <w:b w:val="0"/>
                <w:sz w:val="14"/>
                <w:szCs w:val="14"/>
              </w:rPr>
              <w:t>0.91</w:t>
            </w:r>
          </w:p>
        </w:tc>
      </w:tr>
      <w:tr w:rsidR="008C575A" w:rsidRPr="003B66AD" w:rsidTr="00A8415A">
        <w:trPr>
          <w:trHeight w:val="284"/>
        </w:trPr>
        <w:tc>
          <w:tcPr>
            <w:tcW w:w="4995" w:type="dxa"/>
            <w:tcBorders>
              <w:top w:val="single" w:sz="4" w:space="0" w:color="808080" w:themeColor="background1" w:themeShade="80"/>
            </w:tcBorders>
            <w:vAlign w:val="center"/>
          </w:tcPr>
          <w:p w:rsidR="008C575A" w:rsidRPr="00725FA5" w:rsidRDefault="008C575A" w:rsidP="008C575A">
            <w:pPr>
              <w:pStyle w:val="Intro"/>
              <w:jc w:val="left"/>
              <w:rPr>
                <w:b w:val="0"/>
                <w:sz w:val="14"/>
                <w:szCs w:val="14"/>
                <w:lang w:val="fr-FR"/>
              </w:rPr>
            </w:pPr>
            <w:r w:rsidRPr="00725FA5">
              <w:rPr>
                <w:b w:val="0"/>
                <w:sz w:val="14"/>
                <w:szCs w:val="14"/>
                <w:lang w:val="fr-FR"/>
              </w:rPr>
              <w:t>Ventilation du résultat net, IFRS, par division (en millions EUR)</w:t>
            </w:r>
          </w:p>
        </w:tc>
        <w:tc>
          <w:tcPr>
            <w:tcW w:w="1951" w:type="dxa"/>
            <w:tcBorders>
              <w:top w:val="single" w:sz="4" w:space="0" w:color="808080" w:themeColor="background1" w:themeShade="80"/>
            </w:tcBorders>
            <w:vAlign w:val="center"/>
          </w:tcPr>
          <w:p w:rsidR="008C575A" w:rsidRPr="00725FA5" w:rsidRDefault="008C575A" w:rsidP="008C575A">
            <w:pPr>
              <w:pStyle w:val="Intro"/>
              <w:jc w:val="right"/>
              <w:rPr>
                <w:b w:val="0"/>
                <w:sz w:val="14"/>
                <w:szCs w:val="14"/>
                <w:lang w:val="fr-FR"/>
              </w:rPr>
            </w:pPr>
          </w:p>
        </w:tc>
        <w:tc>
          <w:tcPr>
            <w:tcW w:w="1526" w:type="dxa"/>
            <w:tcBorders>
              <w:top w:val="single" w:sz="4" w:space="0" w:color="808080" w:themeColor="background1" w:themeShade="80"/>
            </w:tcBorders>
            <w:shd w:val="clear" w:color="auto" w:fill="auto"/>
            <w:vAlign w:val="center"/>
          </w:tcPr>
          <w:p w:rsidR="008C575A" w:rsidRPr="00725FA5" w:rsidRDefault="008C575A" w:rsidP="008C575A">
            <w:pPr>
              <w:pStyle w:val="Intro"/>
              <w:jc w:val="right"/>
              <w:rPr>
                <w:b w:val="0"/>
                <w:sz w:val="14"/>
                <w:szCs w:val="14"/>
                <w:lang w:val="fr-FR"/>
              </w:rPr>
            </w:pPr>
          </w:p>
        </w:tc>
        <w:tc>
          <w:tcPr>
            <w:tcW w:w="1667" w:type="dxa"/>
            <w:tcBorders>
              <w:top w:val="single" w:sz="4" w:space="0" w:color="808080" w:themeColor="background1" w:themeShade="80"/>
            </w:tcBorders>
            <w:shd w:val="clear" w:color="auto" w:fill="D9D9D9" w:themeFill="background1" w:themeFillShade="D9"/>
            <w:vAlign w:val="center"/>
          </w:tcPr>
          <w:p w:rsidR="008C575A" w:rsidRPr="00725FA5" w:rsidRDefault="008C575A" w:rsidP="008C575A">
            <w:pPr>
              <w:pStyle w:val="Intro"/>
              <w:jc w:val="right"/>
              <w:rPr>
                <w:b w:val="0"/>
                <w:sz w:val="14"/>
                <w:szCs w:val="14"/>
                <w:lang w:val="fr-FR"/>
              </w:rPr>
            </w:pPr>
          </w:p>
        </w:tc>
      </w:tr>
      <w:tr w:rsidR="008C575A" w:rsidRPr="00D74EA3" w:rsidTr="00A8415A">
        <w:trPr>
          <w:trHeight w:val="227"/>
        </w:trPr>
        <w:tc>
          <w:tcPr>
            <w:tcW w:w="4995" w:type="dxa"/>
            <w:vAlign w:val="center"/>
          </w:tcPr>
          <w:p w:rsidR="008C575A" w:rsidRPr="00D74EA3" w:rsidRDefault="008C575A" w:rsidP="008C575A">
            <w:pPr>
              <w:pStyle w:val="Intro"/>
              <w:jc w:val="left"/>
              <w:rPr>
                <w:b w:val="0"/>
                <w:sz w:val="14"/>
                <w:szCs w:val="14"/>
                <w:lang w:val="en-GB"/>
              </w:rPr>
            </w:pPr>
            <w:r w:rsidRPr="00725FA5">
              <w:rPr>
                <w:b w:val="0"/>
                <w:sz w:val="14"/>
                <w:szCs w:val="14"/>
                <w:lang w:val="fr-FR"/>
              </w:rPr>
              <w:t xml:space="preserve">     </w:t>
            </w:r>
            <w:proofErr w:type="spellStart"/>
            <w:r w:rsidRPr="00D74EA3">
              <w:rPr>
                <w:b w:val="0"/>
                <w:sz w:val="14"/>
                <w:szCs w:val="14"/>
              </w:rPr>
              <w:t>Belgique</w:t>
            </w:r>
            <w:proofErr w:type="spellEnd"/>
          </w:p>
        </w:tc>
        <w:tc>
          <w:tcPr>
            <w:tcW w:w="1951" w:type="dxa"/>
            <w:vAlign w:val="center"/>
          </w:tcPr>
          <w:p w:rsidR="008C575A" w:rsidRPr="00D74EA3" w:rsidRDefault="008C575A" w:rsidP="008C575A">
            <w:pPr>
              <w:pStyle w:val="Intro"/>
              <w:jc w:val="right"/>
              <w:rPr>
                <w:b w:val="0"/>
                <w:sz w:val="14"/>
                <w:szCs w:val="14"/>
                <w:lang w:val="en-GB"/>
              </w:rPr>
            </w:pPr>
            <w:r w:rsidRPr="00D74EA3">
              <w:rPr>
                <w:b w:val="0"/>
                <w:sz w:val="14"/>
                <w:szCs w:val="14"/>
              </w:rPr>
              <w:t>330</w:t>
            </w:r>
          </w:p>
        </w:tc>
        <w:tc>
          <w:tcPr>
            <w:tcW w:w="1526" w:type="dxa"/>
            <w:shd w:val="clear" w:color="auto" w:fill="auto"/>
            <w:vAlign w:val="center"/>
          </w:tcPr>
          <w:p w:rsidR="008C575A" w:rsidRPr="00D74EA3" w:rsidRDefault="008C575A" w:rsidP="008C575A">
            <w:pPr>
              <w:pStyle w:val="Intro"/>
              <w:jc w:val="right"/>
              <w:rPr>
                <w:b w:val="0"/>
                <w:sz w:val="14"/>
                <w:szCs w:val="14"/>
                <w:lang w:val="en-GB"/>
              </w:rPr>
            </w:pPr>
            <w:r w:rsidRPr="00D74EA3">
              <w:rPr>
                <w:b w:val="0"/>
                <w:sz w:val="14"/>
                <w:szCs w:val="14"/>
              </w:rPr>
              <w:t>348</w:t>
            </w:r>
          </w:p>
        </w:tc>
        <w:tc>
          <w:tcPr>
            <w:tcW w:w="1667" w:type="dxa"/>
            <w:shd w:val="clear" w:color="auto" w:fill="D9D9D9" w:themeFill="background1" w:themeFillShade="D9"/>
            <w:vAlign w:val="center"/>
          </w:tcPr>
          <w:p w:rsidR="008C575A" w:rsidRPr="00D74EA3" w:rsidRDefault="008C575A" w:rsidP="008C575A">
            <w:pPr>
              <w:pStyle w:val="Intro"/>
              <w:jc w:val="right"/>
              <w:rPr>
                <w:b w:val="0"/>
                <w:sz w:val="14"/>
                <w:szCs w:val="14"/>
                <w:lang w:val="en-GB"/>
              </w:rPr>
            </w:pPr>
            <w:r w:rsidRPr="00D74EA3">
              <w:rPr>
                <w:b w:val="0"/>
                <w:sz w:val="14"/>
                <w:szCs w:val="14"/>
              </w:rPr>
              <w:t>209</w:t>
            </w:r>
          </w:p>
        </w:tc>
      </w:tr>
      <w:tr w:rsidR="008C575A" w:rsidRPr="00D74EA3" w:rsidTr="00A8415A">
        <w:trPr>
          <w:trHeight w:val="227"/>
        </w:trPr>
        <w:tc>
          <w:tcPr>
            <w:tcW w:w="4995" w:type="dxa"/>
            <w:vAlign w:val="center"/>
          </w:tcPr>
          <w:p w:rsidR="008C575A" w:rsidRPr="00D74EA3" w:rsidRDefault="008C575A" w:rsidP="008C575A">
            <w:pPr>
              <w:pStyle w:val="Intro"/>
              <w:jc w:val="left"/>
              <w:rPr>
                <w:b w:val="0"/>
                <w:sz w:val="14"/>
                <w:szCs w:val="14"/>
                <w:lang w:val="en-GB"/>
              </w:rPr>
            </w:pPr>
            <w:r w:rsidRPr="00D74EA3">
              <w:rPr>
                <w:b w:val="0"/>
                <w:sz w:val="14"/>
                <w:szCs w:val="14"/>
              </w:rPr>
              <w:t xml:space="preserve">     </w:t>
            </w:r>
            <w:proofErr w:type="spellStart"/>
            <w:r w:rsidRPr="00D74EA3">
              <w:rPr>
                <w:b w:val="0"/>
                <w:sz w:val="14"/>
                <w:szCs w:val="14"/>
              </w:rPr>
              <w:t>République</w:t>
            </w:r>
            <w:proofErr w:type="spellEnd"/>
            <w:r w:rsidRPr="00D74EA3">
              <w:rPr>
                <w:b w:val="0"/>
                <w:sz w:val="14"/>
                <w:szCs w:val="14"/>
              </w:rPr>
              <w:t xml:space="preserve"> </w:t>
            </w:r>
            <w:proofErr w:type="spellStart"/>
            <w:r w:rsidRPr="00D74EA3">
              <w:rPr>
                <w:b w:val="0"/>
                <w:sz w:val="14"/>
                <w:szCs w:val="14"/>
              </w:rPr>
              <w:t>tchèque</w:t>
            </w:r>
            <w:proofErr w:type="spellEnd"/>
          </w:p>
        </w:tc>
        <w:tc>
          <w:tcPr>
            <w:tcW w:w="1951" w:type="dxa"/>
            <w:vAlign w:val="center"/>
          </w:tcPr>
          <w:p w:rsidR="008C575A" w:rsidRPr="00D74EA3" w:rsidRDefault="008C575A" w:rsidP="008C575A">
            <w:pPr>
              <w:pStyle w:val="Intro"/>
              <w:jc w:val="right"/>
              <w:rPr>
                <w:b w:val="0"/>
                <w:sz w:val="14"/>
                <w:szCs w:val="14"/>
                <w:lang w:val="en-GB"/>
              </w:rPr>
            </w:pPr>
            <w:r w:rsidRPr="00D74EA3">
              <w:rPr>
                <w:b w:val="0"/>
                <w:sz w:val="14"/>
                <w:szCs w:val="14"/>
              </w:rPr>
              <w:t>143</w:t>
            </w:r>
          </w:p>
        </w:tc>
        <w:tc>
          <w:tcPr>
            <w:tcW w:w="1526" w:type="dxa"/>
            <w:shd w:val="clear" w:color="auto" w:fill="auto"/>
            <w:vAlign w:val="center"/>
          </w:tcPr>
          <w:p w:rsidR="008C575A" w:rsidRPr="00D74EA3" w:rsidRDefault="008C575A" w:rsidP="008C575A">
            <w:pPr>
              <w:pStyle w:val="Intro"/>
              <w:jc w:val="right"/>
              <w:rPr>
                <w:b w:val="0"/>
                <w:sz w:val="14"/>
                <w:szCs w:val="14"/>
                <w:lang w:val="en-GB"/>
              </w:rPr>
            </w:pPr>
            <w:r w:rsidRPr="00D74EA3">
              <w:rPr>
                <w:b w:val="0"/>
                <w:sz w:val="14"/>
                <w:szCs w:val="14"/>
              </w:rPr>
              <w:t>119</w:t>
            </w:r>
          </w:p>
        </w:tc>
        <w:tc>
          <w:tcPr>
            <w:tcW w:w="1667" w:type="dxa"/>
            <w:shd w:val="clear" w:color="auto" w:fill="D9D9D9" w:themeFill="background1" w:themeFillShade="D9"/>
            <w:vAlign w:val="center"/>
          </w:tcPr>
          <w:p w:rsidR="008C575A" w:rsidRPr="00D74EA3" w:rsidRDefault="008C575A" w:rsidP="008C575A">
            <w:pPr>
              <w:pStyle w:val="Intro"/>
              <w:jc w:val="right"/>
              <w:rPr>
                <w:b w:val="0"/>
                <w:sz w:val="14"/>
                <w:szCs w:val="14"/>
                <w:lang w:val="en-GB"/>
              </w:rPr>
            </w:pPr>
            <w:r w:rsidRPr="00D74EA3">
              <w:rPr>
                <w:b w:val="0"/>
                <w:sz w:val="14"/>
                <w:szCs w:val="14"/>
              </w:rPr>
              <w:t>129</w:t>
            </w:r>
          </w:p>
        </w:tc>
      </w:tr>
      <w:tr w:rsidR="008C575A" w:rsidRPr="00D74EA3" w:rsidTr="00A8415A">
        <w:trPr>
          <w:trHeight w:val="227"/>
        </w:trPr>
        <w:tc>
          <w:tcPr>
            <w:tcW w:w="4995" w:type="dxa"/>
            <w:vAlign w:val="center"/>
          </w:tcPr>
          <w:p w:rsidR="008C575A" w:rsidRPr="00D74EA3" w:rsidRDefault="008C575A" w:rsidP="008C575A">
            <w:pPr>
              <w:pStyle w:val="Intro"/>
              <w:jc w:val="left"/>
              <w:rPr>
                <w:b w:val="0"/>
                <w:sz w:val="14"/>
                <w:szCs w:val="14"/>
                <w:lang w:val="en-GB"/>
              </w:rPr>
            </w:pPr>
            <w:r w:rsidRPr="00D74EA3">
              <w:rPr>
                <w:b w:val="0"/>
                <w:sz w:val="14"/>
                <w:szCs w:val="14"/>
              </w:rPr>
              <w:t xml:space="preserve">     </w:t>
            </w:r>
            <w:proofErr w:type="spellStart"/>
            <w:r w:rsidRPr="00D74EA3">
              <w:rPr>
                <w:b w:val="0"/>
                <w:sz w:val="14"/>
                <w:szCs w:val="14"/>
              </w:rPr>
              <w:t>Marchés</w:t>
            </w:r>
            <w:proofErr w:type="spellEnd"/>
            <w:r w:rsidRPr="00D74EA3">
              <w:rPr>
                <w:b w:val="0"/>
                <w:sz w:val="14"/>
                <w:szCs w:val="14"/>
              </w:rPr>
              <w:t xml:space="preserve"> </w:t>
            </w:r>
            <w:proofErr w:type="spellStart"/>
            <w:r w:rsidRPr="00D74EA3">
              <w:rPr>
                <w:b w:val="0"/>
                <w:sz w:val="14"/>
                <w:szCs w:val="14"/>
              </w:rPr>
              <w:t>internationaux</w:t>
            </w:r>
            <w:proofErr w:type="spellEnd"/>
          </w:p>
        </w:tc>
        <w:tc>
          <w:tcPr>
            <w:tcW w:w="1951" w:type="dxa"/>
            <w:vAlign w:val="center"/>
          </w:tcPr>
          <w:p w:rsidR="008C575A" w:rsidRPr="00D74EA3" w:rsidRDefault="008C575A" w:rsidP="008C575A">
            <w:pPr>
              <w:pStyle w:val="Intro"/>
              <w:jc w:val="right"/>
              <w:rPr>
                <w:b w:val="0"/>
                <w:sz w:val="14"/>
                <w:szCs w:val="14"/>
                <w:lang w:val="en-GB"/>
              </w:rPr>
            </w:pPr>
            <w:r w:rsidRPr="00D74EA3">
              <w:rPr>
                <w:b w:val="0"/>
                <w:sz w:val="14"/>
                <w:szCs w:val="14"/>
              </w:rPr>
              <w:t>24</w:t>
            </w:r>
          </w:p>
        </w:tc>
        <w:tc>
          <w:tcPr>
            <w:tcW w:w="1526" w:type="dxa"/>
            <w:shd w:val="clear" w:color="auto" w:fill="auto"/>
            <w:vAlign w:val="center"/>
          </w:tcPr>
          <w:p w:rsidR="008C575A" w:rsidRPr="00D74EA3" w:rsidRDefault="008C575A" w:rsidP="008C575A">
            <w:pPr>
              <w:pStyle w:val="Intro"/>
              <w:jc w:val="right"/>
              <w:rPr>
                <w:b w:val="0"/>
                <w:sz w:val="14"/>
                <w:szCs w:val="14"/>
                <w:lang w:val="en-GB"/>
              </w:rPr>
            </w:pPr>
            <w:r w:rsidRPr="00D74EA3">
              <w:rPr>
                <w:b w:val="0"/>
                <w:sz w:val="14"/>
                <w:szCs w:val="14"/>
              </w:rPr>
              <w:t>61</w:t>
            </w:r>
          </w:p>
        </w:tc>
        <w:tc>
          <w:tcPr>
            <w:tcW w:w="1667" w:type="dxa"/>
            <w:shd w:val="clear" w:color="auto" w:fill="D9D9D9" w:themeFill="background1" w:themeFillShade="D9"/>
            <w:vAlign w:val="center"/>
          </w:tcPr>
          <w:p w:rsidR="008C575A" w:rsidRPr="00D74EA3" w:rsidRDefault="008C575A" w:rsidP="008C575A">
            <w:pPr>
              <w:pStyle w:val="Intro"/>
              <w:jc w:val="right"/>
              <w:rPr>
                <w:b w:val="0"/>
                <w:sz w:val="14"/>
                <w:szCs w:val="14"/>
                <w:lang w:val="en-GB"/>
              </w:rPr>
            </w:pPr>
            <w:r w:rsidRPr="00D74EA3">
              <w:rPr>
                <w:b w:val="0"/>
                <w:sz w:val="14"/>
                <w:szCs w:val="14"/>
              </w:rPr>
              <w:t>60</w:t>
            </w:r>
          </w:p>
        </w:tc>
      </w:tr>
      <w:tr w:rsidR="008C575A" w:rsidRPr="00D74EA3" w:rsidTr="00A8415A">
        <w:trPr>
          <w:trHeight w:val="227"/>
        </w:trPr>
        <w:tc>
          <w:tcPr>
            <w:tcW w:w="4995" w:type="dxa"/>
            <w:tcBorders>
              <w:bottom w:val="single" w:sz="4" w:space="0" w:color="808080" w:themeColor="background1" w:themeShade="80"/>
            </w:tcBorders>
            <w:vAlign w:val="center"/>
          </w:tcPr>
          <w:p w:rsidR="008C575A" w:rsidRPr="00D74EA3" w:rsidRDefault="008C575A" w:rsidP="008C575A">
            <w:pPr>
              <w:pStyle w:val="Intro"/>
              <w:jc w:val="left"/>
              <w:rPr>
                <w:b w:val="0"/>
                <w:sz w:val="14"/>
                <w:szCs w:val="14"/>
                <w:lang w:val="en-GB"/>
              </w:rPr>
            </w:pPr>
            <w:r w:rsidRPr="00D74EA3">
              <w:rPr>
                <w:b w:val="0"/>
                <w:sz w:val="14"/>
                <w:szCs w:val="14"/>
              </w:rPr>
              <w:t xml:space="preserve">     Centre de </w:t>
            </w:r>
            <w:proofErr w:type="spellStart"/>
            <w:r w:rsidRPr="00D74EA3">
              <w:rPr>
                <w:b w:val="0"/>
                <w:sz w:val="14"/>
                <w:szCs w:val="14"/>
              </w:rPr>
              <w:t>groupe</w:t>
            </w:r>
            <w:proofErr w:type="spellEnd"/>
          </w:p>
        </w:tc>
        <w:tc>
          <w:tcPr>
            <w:tcW w:w="1951" w:type="dxa"/>
            <w:tcBorders>
              <w:bottom w:val="single" w:sz="4" w:space="0" w:color="808080" w:themeColor="background1" w:themeShade="80"/>
            </w:tcBorders>
            <w:vAlign w:val="center"/>
          </w:tcPr>
          <w:p w:rsidR="008C575A" w:rsidRPr="00D74EA3" w:rsidRDefault="008C575A" w:rsidP="008C575A">
            <w:pPr>
              <w:pStyle w:val="Intro"/>
              <w:jc w:val="right"/>
              <w:rPr>
                <w:b w:val="0"/>
                <w:sz w:val="14"/>
                <w:szCs w:val="14"/>
                <w:lang w:val="en-GB"/>
              </w:rPr>
            </w:pPr>
            <w:r w:rsidRPr="00D74EA3">
              <w:rPr>
                <w:b w:val="0"/>
                <w:sz w:val="14"/>
                <w:szCs w:val="14"/>
              </w:rPr>
              <w:t>13</w:t>
            </w:r>
          </w:p>
        </w:tc>
        <w:tc>
          <w:tcPr>
            <w:tcW w:w="1526" w:type="dxa"/>
            <w:tcBorders>
              <w:bottom w:val="single" w:sz="4" w:space="0" w:color="808080" w:themeColor="background1" w:themeShade="80"/>
            </w:tcBorders>
            <w:shd w:val="clear" w:color="auto" w:fill="auto"/>
            <w:vAlign w:val="center"/>
          </w:tcPr>
          <w:p w:rsidR="008C575A" w:rsidRPr="00D74EA3" w:rsidRDefault="008C575A" w:rsidP="008C575A">
            <w:pPr>
              <w:pStyle w:val="Intro"/>
              <w:jc w:val="right"/>
              <w:rPr>
                <w:b w:val="0"/>
                <w:sz w:val="14"/>
                <w:szCs w:val="14"/>
                <w:lang w:val="en-GB"/>
              </w:rPr>
            </w:pPr>
            <w:r w:rsidRPr="00D74EA3">
              <w:rPr>
                <w:b w:val="0"/>
                <w:sz w:val="14"/>
                <w:szCs w:val="14"/>
              </w:rPr>
              <w:t>334</w:t>
            </w:r>
          </w:p>
        </w:tc>
        <w:tc>
          <w:tcPr>
            <w:tcW w:w="1667" w:type="dxa"/>
            <w:tcBorders>
              <w:bottom w:val="single" w:sz="4" w:space="0" w:color="808080" w:themeColor="background1" w:themeShade="80"/>
            </w:tcBorders>
            <w:shd w:val="clear" w:color="auto" w:fill="D9D9D9" w:themeFill="background1" w:themeFillShade="D9"/>
            <w:vAlign w:val="center"/>
          </w:tcPr>
          <w:p w:rsidR="008C575A" w:rsidRPr="00D74EA3" w:rsidRDefault="008C575A" w:rsidP="008C575A">
            <w:pPr>
              <w:pStyle w:val="Intro"/>
              <w:jc w:val="right"/>
              <w:rPr>
                <w:b w:val="0"/>
                <w:sz w:val="14"/>
                <w:szCs w:val="14"/>
                <w:lang w:val="en-GB"/>
              </w:rPr>
            </w:pPr>
            <w:r w:rsidRPr="00D74EA3">
              <w:rPr>
                <w:b w:val="0"/>
                <w:sz w:val="14"/>
                <w:szCs w:val="14"/>
              </w:rPr>
              <w:t>-6</w:t>
            </w:r>
          </w:p>
        </w:tc>
      </w:tr>
      <w:tr w:rsidR="008C575A" w:rsidRPr="00D74EA3" w:rsidTr="00A8415A">
        <w:trPr>
          <w:trHeight w:val="284"/>
        </w:trPr>
        <w:tc>
          <w:tcPr>
            <w:tcW w:w="4995" w:type="dxa"/>
            <w:tcBorders>
              <w:top w:val="single" w:sz="4" w:space="0" w:color="808080" w:themeColor="background1" w:themeShade="80"/>
              <w:bottom w:val="single" w:sz="4" w:space="0" w:color="365F91" w:themeColor="accent1" w:themeShade="BF"/>
            </w:tcBorders>
            <w:vAlign w:val="center"/>
          </w:tcPr>
          <w:p w:rsidR="008C575A" w:rsidRPr="00725FA5" w:rsidRDefault="008C575A" w:rsidP="008C575A">
            <w:pPr>
              <w:pStyle w:val="Intro"/>
              <w:jc w:val="left"/>
              <w:rPr>
                <w:b w:val="0"/>
                <w:sz w:val="14"/>
                <w:szCs w:val="14"/>
                <w:lang w:val="fr-FR"/>
              </w:rPr>
            </w:pPr>
            <w:r w:rsidRPr="00725FA5">
              <w:rPr>
                <w:b w:val="0"/>
                <w:sz w:val="14"/>
                <w:szCs w:val="14"/>
                <w:lang w:val="fr-FR"/>
              </w:rPr>
              <w:t>Capitaux propres des actionnaires de la société mère par action (en EUR, fin de période)</w:t>
            </w:r>
          </w:p>
        </w:tc>
        <w:tc>
          <w:tcPr>
            <w:tcW w:w="1951" w:type="dxa"/>
            <w:tcBorders>
              <w:top w:val="single" w:sz="4" w:space="0" w:color="808080" w:themeColor="background1" w:themeShade="80"/>
              <w:bottom w:val="single" w:sz="4" w:space="0" w:color="365F91" w:themeColor="accent1" w:themeShade="BF"/>
            </w:tcBorders>
            <w:vAlign w:val="center"/>
          </w:tcPr>
          <w:p w:rsidR="008C575A" w:rsidRPr="00D74EA3" w:rsidRDefault="008C575A" w:rsidP="008C575A">
            <w:pPr>
              <w:pStyle w:val="Intro"/>
              <w:jc w:val="right"/>
              <w:rPr>
                <w:b w:val="0"/>
                <w:sz w:val="14"/>
                <w:szCs w:val="14"/>
                <w:lang w:val="en-GB"/>
              </w:rPr>
            </w:pPr>
            <w:r w:rsidRPr="00D74EA3">
              <w:rPr>
                <w:b w:val="0"/>
                <w:sz w:val="14"/>
                <w:szCs w:val="14"/>
              </w:rPr>
              <w:t>33.3</w:t>
            </w:r>
          </w:p>
        </w:tc>
        <w:tc>
          <w:tcPr>
            <w:tcW w:w="1526" w:type="dxa"/>
            <w:tcBorders>
              <w:top w:val="single" w:sz="4" w:space="0" w:color="808080" w:themeColor="background1" w:themeShade="80"/>
              <w:bottom w:val="single" w:sz="4" w:space="0" w:color="365F91" w:themeColor="accent1" w:themeShade="BF"/>
            </w:tcBorders>
            <w:shd w:val="clear" w:color="auto" w:fill="auto"/>
            <w:vAlign w:val="center"/>
          </w:tcPr>
          <w:p w:rsidR="008C575A" w:rsidRPr="00D74EA3" w:rsidRDefault="008C575A" w:rsidP="008C575A">
            <w:pPr>
              <w:pStyle w:val="Intro"/>
              <w:jc w:val="right"/>
              <w:rPr>
                <w:b w:val="0"/>
                <w:sz w:val="14"/>
                <w:szCs w:val="14"/>
                <w:lang w:val="en-GB"/>
              </w:rPr>
            </w:pPr>
            <w:r w:rsidRPr="00D74EA3">
              <w:rPr>
                <w:b w:val="0"/>
                <w:sz w:val="14"/>
                <w:szCs w:val="14"/>
              </w:rPr>
              <w:t>34.5</w:t>
            </w:r>
          </w:p>
        </w:tc>
        <w:tc>
          <w:tcPr>
            <w:tcW w:w="1667" w:type="dxa"/>
            <w:tcBorders>
              <w:top w:val="single" w:sz="4" w:space="0" w:color="808080" w:themeColor="background1" w:themeShade="80"/>
              <w:bottom w:val="single" w:sz="4" w:space="0" w:color="365F91" w:themeColor="accent1" w:themeShade="BF"/>
            </w:tcBorders>
            <w:shd w:val="clear" w:color="auto" w:fill="D9D9D9" w:themeFill="background1" w:themeFillShade="D9"/>
            <w:vAlign w:val="center"/>
          </w:tcPr>
          <w:p w:rsidR="008C575A" w:rsidRPr="00D74EA3" w:rsidRDefault="008C575A" w:rsidP="008C575A">
            <w:pPr>
              <w:pStyle w:val="Intro"/>
              <w:jc w:val="right"/>
              <w:rPr>
                <w:b w:val="0"/>
                <w:sz w:val="14"/>
                <w:szCs w:val="14"/>
                <w:lang w:val="en-GB"/>
              </w:rPr>
            </w:pPr>
            <w:r w:rsidRPr="00D74EA3">
              <w:rPr>
                <w:b w:val="0"/>
                <w:sz w:val="14"/>
                <w:szCs w:val="14"/>
              </w:rPr>
              <w:t>34.3</w:t>
            </w:r>
          </w:p>
        </w:tc>
      </w:tr>
    </w:tbl>
    <w:p w:rsidR="008C575A" w:rsidRPr="00725FA5" w:rsidRDefault="008C575A" w:rsidP="008C575A">
      <w:pPr>
        <w:autoSpaceDE w:val="0"/>
        <w:autoSpaceDN w:val="0"/>
        <w:adjustRightInd w:val="0"/>
        <w:ind w:right="283"/>
        <w:rPr>
          <w:rFonts w:ascii="ArialMT" w:eastAsiaTheme="minorHAnsi" w:hAnsi="ArialMT" w:cs="ArialMT"/>
          <w:sz w:val="12"/>
          <w:szCs w:val="12"/>
          <w:lang w:val="fr-FR"/>
        </w:rPr>
      </w:pPr>
      <w:r w:rsidRPr="00725FA5">
        <w:rPr>
          <w:rFonts w:ascii="ArialMT" w:eastAsiaTheme="minorHAnsi" w:hAnsi="ArialMT" w:cs="ArialMT"/>
          <w:sz w:val="12"/>
          <w:szCs w:val="12"/>
          <w:lang w:val="fr-FR"/>
        </w:rPr>
        <w:t>* Remarque : en cas de paiement d’un coupon sur les titres de capital de base vendus au gouvernement régional flamand et les instruments additionnels Tier-1 inclus dans les capitaux propres, il sera déduit du numérateur (</w:t>
      </w:r>
      <w:r w:rsidRPr="00725FA5">
        <w:rPr>
          <w:rFonts w:ascii="Arial" w:eastAsiaTheme="minorHAnsi" w:hAnsi="Arial" w:cs="Arial"/>
          <w:i/>
          <w:iCs/>
          <w:sz w:val="12"/>
          <w:szCs w:val="12"/>
          <w:lang w:val="fr-FR"/>
        </w:rPr>
        <w:t>au prorata</w:t>
      </w:r>
      <w:r w:rsidRPr="00725FA5">
        <w:rPr>
          <w:rFonts w:ascii="ArialMT" w:eastAsiaTheme="minorHAnsi" w:hAnsi="ArialMT" w:cs="ArialMT"/>
          <w:sz w:val="12"/>
          <w:szCs w:val="12"/>
          <w:lang w:val="fr-FR"/>
        </w:rPr>
        <w:t>). En cas de paiement d’une pénalité sur les titres de capital de base, elle sera déduite de la même manière.</w:t>
      </w:r>
    </w:p>
    <w:p w:rsidR="0077354C" w:rsidRPr="00D01FB0" w:rsidRDefault="0077354C" w:rsidP="008C575A">
      <w:pPr>
        <w:autoSpaceDE w:val="0"/>
        <w:autoSpaceDN w:val="0"/>
        <w:adjustRightInd w:val="0"/>
        <w:spacing w:after="0" w:line="240" w:lineRule="auto"/>
        <w:ind w:right="4"/>
        <w:rPr>
          <w:rFonts w:cs="Arial"/>
          <w:i/>
          <w:iCs/>
          <w:color w:val="003366"/>
          <w:sz w:val="24"/>
          <w:szCs w:val="24"/>
          <w:lang w:val="fr-FR"/>
        </w:rPr>
      </w:pPr>
    </w:p>
    <w:p w:rsidR="0077354C" w:rsidRDefault="00036562" w:rsidP="007F4206">
      <w:pPr>
        <w:autoSpaceDE w:val="0"/>
        <w:autoSpaceDN w:val="0"/>
        <w:adjustRightInd w:val="0"/>
        <w:spacing w:after="0" w:line="240" w:lineRule="auto"/>
        <w:ind w:right="4"/>
        <w:rPr>
          <w:rFonts w:ascii="Rockwell" w:hAnsi="Rockwell" w:cs="Arial"/>
          <w:b/>
          <w:bCs/>
          <w:color w:val="003366"/>
          <w:sz w:val="28"/>
          <w:szCs w:val="28"/>
          <w:lang w:val="fr-FR"/>
        </w:rPr>
      </w:pPr>
      <w:r w:rsidRPr="00036562">
        <w:rPr>
          <w:rFonts w:ascii="Rockwell" w:hAnsi="Rockwell" w:cs="Arial"/>
          <w:b/>
          <w:bCs/>
          <w:color w:val="003366"/>
          <w:sz w:val="28"/>
          <w:szCs w:val="28"/>
          <w:lang w:val="fr-FR"/>
        </w:rPr>
        <w:t>Faits marquants du trimestre sous revue</w:t>
      </w:r>
    </w:p>
    <w:p w:rsidR="00036562" w:rsidRDefault="00036562" w:rsidP="007F4206">
      <w:pPr>
        <w:autoSpaceDE w:val="0"/>
        <w:autoSpaceDN w:val="0"/>
        <w:adjustRightInd w:val="0"/>
        <w:spacing w:after="120" w:line="240" w:lineRule="auto"/>
        <w:ind w:right="6"/>
        <w:rPr>
          <w:rFonts w:ascii="Rockwell" w:hAnsi="Rockwell" w:cs="Arial"/>
          <w:b/>
          <w:bCs/>
          <w:color w:val="003366"/>
          <w:sz w:val="28"/>
          <w:szCs w:val="28"/>
          <w:lang w:val="fr-FR"/>
        </w:rPr>
      </w:pPr>
    </w:p>
    <w:p w:rsidR="00036562" w:rsidRPr="00036562" w:rsidRDefault="00036562" w:rsidP="007F4206">
      <w:pPr>
        <w:pStyle w:val="ListParagraph"/>
        <w:numPr>
          <w:ilvl w:val="0"/>
          <w:numId w:val="5"/>
        </w:numPr>
        <w:autoSpaceDE w:val="0"/>
        <w:autoSpaceDN w:val="0"/>
        <w:adjustRightInd w:val="0"/>
        <w:spacing w:after="120" w:line="240" w:lineRule="auto"/>
        <w:ind w:left="284" w:right="6" w:hanging="284"/>
        <w:contextualSpacing w:val="0"/>
        <w:rPr>
          <w:rFonts w:cs="Arial"/>
          <w:color w:val="002060"/>
          <w:lang w:val="fr-FR"/>
        </w:rPr>
      </w:pPr>
      <w:r w:rsidRPr="00036562">
        <w:rPr>
          <w:rFonts w:cs="Arial"/>
          <w:color w:val="002060"/>
          <w:lang w:val="fr-FR"/>
        </w:rPr>
        <w:t xml:space="preserve">Notre stratégie de base reste centrée sur la fourniture de produits et de services de bancassurance aux particuliers, aux PME et aux moyennes capitalisations en Belgique, en République tchèque, en Slovaquie, en Hongrie et en Bulgarie. </w:t>
      </w:r>
    </w:p>
    <w:p w:rsidR="00036562" w:rsidRPr="00036562" w:rsidRDefault="00036562" w:rsidP="007F4206">
      <w:pPr>
        <w:pStyle w:val="ListParagraph"/>
        <w:numPr>
          <w:ilvl w:val="0"/>
          <w:numId w:val="5"/>
        </w:numPr>
        <w:autoSpaceDE w:val="0"/>
        <w:autoSpaceDN w:val="0"/>
        <w:adjustRightInd w:val="0"/>
        <w:spacing w:after="120" w:line="240" w:lineRule="auto"/>
        <w:ind w:left="284" w:right="6" w:hanging="284"/>
        <w:contextualSpacing w:val="0"/>
        <w:rPr>
          <w:rFonts w:cs="Arial"/>
          <w:color w:val="002060"/>
          <w:lang w:val="fr-FR"/>
        </w:rPr>
      </w:pPr>
      <w:r w:rsidRPr="00036562">
        <w:rPr>
          <w:rFonts w:cs="Arial"/>
          <w:color w:val="002060"/>
          <w:lang w:val="fr-FR"/>
        </w:rPr>
        <w:t xml:space="preserve">Sur le front macroéconomique, le début du premier trimestre 2016 a été marqué par la crainte d'un effet de contagion de la faiblesse des marchés émergents, avec des répercussions négatives sur les marchés développés. La confiance des producteurs dans les secteurs manufacturier et des services s'est détériorée. La reprise européenne, qui repose avant tout sur la croissance de la demande domestique, s'en est donc trouvée menacée. Heureusement, le sentiment s'est à nouveau stabilisé, en particulier dans les marchés émergents et en Chine, atténuant pour l'heure le risque pesant sur la croissance économique européenne. Dans la zone euro, la croissance économique a doublé entre le quatrième trimestre 2015 (0,3% en glissement trimestriel) et le premier trimestre 2016 (0,6%), ce qui étaye l'argument d'une croissance domestique robuste. En Belgique, la croissance s’est ralentie de 0,5% au quatrième trimestre 2015 à 0,2% au premier trimestre 2016, en partie sous l’effet des attaques terroristes de Bruxelles en mars. Les chiffres de la croissance en Europe centrale au premier trimestre n’étaient pas encore disponibles mais les indicateurs avancés laissent présager un certain essoufflement de la croissance début 2016 dans l’ensemble de la région. Malgré une détérioration graduelle des indicateurs en Europe centrale, l’effritement reste jusqu’à présent modéré et les niveaux demeurent raisonnablement élevés. L'inflation est restée particulièrement basse dans la zone euro (inflation globale de -0,2% et inflation de base de 0,8% en avril) en raison de la faiblesse persistante des cours de l'énergie et des capacités excédentaires de l'économie européenne. Ce niveau d'inflation a conduit la BCE à procéder à un nouvel assouplissement de sa politique monétaire en réduisant le taux d'intérêt de la facilité de dépôt à -40 points de base et en augmentant la taille de son programme d'achat d'actifs, qui est passé de 60 à 80 milliards d'euros par mois. Il convient également de noter que la portée de ce programme a été élargie aux obligations d'entreprises. Les incertitudes sur les marchés financiers, la correction des marchés d'actions et la baisse des rendements obligataires de référence se sont maintenues jusqu'à la mi-février. Par après, les marchés d'actions ont repris des couleurs, la volatilité s'est atténuée et le rendement des Bunds allemands à 10 ans a décroché de son plus bas temporaire de 10 points de base. </w:t>
      </w:r>
    </w:p>
    <w:p w:rsidR="00036562" w:rsidRPr="00036562" w:rsidRDefault="00036562" w:rsidP="007F4206">
      <w:pPr>
        <w:pStyle w:val="ListParagraph"/>
        <w:numPr>
          <w:ilvl w:val="0"/>
          <w:numId w:val="5"/>
        </w:numPr>
        <w:autoSpaceDE w:val="0"/>
        <w:autoSpaceDN w:val="0"/>
        <w:adjustRightInd w:val="0"/>
        <w:spacing w:after="120" w:line="240" w:lineRule="auto"/>
        <w:ind w:left="284" w:right="6" w:hanging="284"/>
        <w:contextualSpacing w:val="0"/>
        <w:rPr>
          <w:rFonts w:cs="Arial"/>
          <w:color w:val="002060"/>
          <w:lang w:val="fr-FR"/>
        </w:rPr>
      </w:pPr>
      <w:r w:rsidRPr="00036562">
        <w:rPr>
          <w:rFonts w:cs="Arial"/>
          <w:color w:val="002060"/>
          <w:lang w:val="fr-FR"/>
        </w:rPr>
        <w:t xml:space="preserve">Nous prenons également à cœur notre rôle au sens large au sein de la société. Nous sommes par exemple convaincus de pouvoir apporter une contribution positive à la mobilité et à la sécurité routière en offrant des solutions appropriées à nos clients. KBC est le seul groupe en Belgique qui réunit tous les aspects de la mobilité en termes de financement, d'assurance et d'assistance. Grâce à des sociétés telles que KBC Assurances, KBC Autolease et VAB, KBC a accès à des leaders de marché et à des interlocuteurs de premier choix dans les différents domaines de la mobilité. Ces trois entreprises sont aujourd'hui confrontées aux mêmes tendances et défis liés à la mobilité. KBC souhaite à présent passer à l'étape suivante. En faisant en sorte que KBC Assurances, KBC Autolease et VAB conjuguent leurs efforts dans le cadre du programme KBC Mobility, KBC a pour ambition de devenir la référence en matière de solutions </w:t>
      </w:r>
      <w:r w:rsidRPr="00036562">
        <w:rPr>
          <w:rFonts w:cs="Arial"/>
          <w:color w:val="002060"/>
          <w:lang w:val="fr-FR"/>
        </w:rPr>
        <w:lastRenderedPageBreak/>
        <w:t xml:space="preserve">de mobilité durables et de qualité en Belgique. Sur ce plan, citons notamment le prêt vélo, le conseil en mobilité, le </w:t>
      </w:r>
      <w:proofErr w:type="spellStart"/>
      <w:r w:rsidRPr="00036562">
        <w:rPr>
          <w:rFonts w:cs="Arial"/>
          <w:color w:val="002060"/>
          <w:lang w:val="fr-FR"/>
        </w:rPr>
        <w:t>carpooling</w:t>
      </w:r>
      <w:proofErr w:type="spellEnd"/>
      <w:r w:rsidRPr="00036562">
        <w:rPr>
          <w:rFonts w:cs="Arial"/>
          <w:color w:val="002060"/>
          <w:lang w:val="fr-FR"/>
        </w:rPr>
        <w:t xml:space="preserve">, l’assistance dépannage vélo et nos efforts pour éviter les tracasseries à la suite d’un accident de roulage grâce à notre </w:t>
      </w:r>
      <w:proofErr w:type="spellStart"/>
      <w:r w:rsidRPr="00036562">
        <w:rPr>
          <w:rFonts w:cs="Arial"/>
          <w:color w:val="002060"/>
          <w:lang w:val="fr-FR"/>
        </w:rPr>
        <w:t>app</w:t>
      </w:r>
      <w:proofErr w:type="spellEnd"/>
      <w:r w:rsidRPr="00036562">
        <w:rPr>
          <w:rFonts w:cs="Arial"/>
          <w:color w:val="002060"/>
          <w:lang w:val="fr-FR"/>
        </w:rPr>
        <w:t xml:space="preserve"> KBC </w:t>
      </w:r>
      <w:proofErr w:type="spellStart"/>
      <w:r w:rsidRPr="00036562">
        <w:rPr>
          <w:rFonts w:cs="Arial"/>
          <w:color w:val="002060"/>
          <w:lang w:val="fr-FR"/>
        </w:rPr>
        <w:t>Assist</w:t>
      </w:r>
      <w:proofErr w:type="spellEnd"/>
      <w:r w:rsidRPr="00036562">
        <w:rPr>
          <w:rFonts w:cs="Arial"/>
          <w:color w:val="002060"/>
          <w:lang w:val="fr-FR"/>
        </w:rPr>
        <w:t>. KBC cherche ainsi activement à répondre à l'évolution des besoins des clients et de la société.</w:t>
      </w:r>
    </w:p>
    <w:p w:rsidR="00036562" w:rsidRPr="00036562" w:rsidRDefault="00036562" w:rsidP="007F4206">
      <w:pPr>
        <w:pStyle w:val="ListParagraph"/>
        <w:numPr>
          <w:ilvl w:val="0"/>
          <w:numId w:val="5"/>
        </w:numPr>
        <w:autoSpaceDE w:val="0"/>
        <w:autoSpaceDN w:val="0"/>
        <w:adjustRightInd w:val="0"/>
        <w:spacing w:after="120" w:line="240" w:lineRule="auto"/>
        <w:ind w:left="284" w:right="6" w:hanging="284"/>
        <w:contextualSpacing w:val="0"/>
        <w:rPr>
          <w:rFonts w:cs="Arial"/>
          <w:color w:val="002060"/>
          <w:lang w:val="fr-FR"/>
        </w:rPr>
      </w:pPr>
      <w:r w:rsidRPr="00036562">
        <w:rPr>
          <w:rFonts w:cs="Arial"/>
          <w:color w:val="002060"/>
          <w:lang w:val="fr-FR"/>
        </w:rPr>
        <w:t xml:space="preserve">Parallèlement à cela, en matière de durabilité et de responsabilité de l’entreprise, nous avons lancé le « Crédit Rénovation pour associations de copropriétaires » en Belgique afin de faciliter la rénovation durable et énergétiquement efficace de bâtiments. En République tchèque, ČSOB a lancé le programme « ČSOB aide les régions », dans le cadre duquel 4 millions de couronnes tchèques seront versées à des ONG opérant dans des communautés locales. Grâce aux dons récoltés dans le cadre du régime « Good Will </w:t>
      </w:r>
      <w:proofErr w:type="spellStart"/>
      <w:r w:rsidRPr="00036562">
        <w:rPr>
          <w:rFonts w:cs="Arial"/>
          <w:color w:val="002060"/>
          <w:lang w:val="fr-FR"/>
        </w:rPr>
        <w:t>Card</w:t>
      </w:r>
      <w:proofErr w:type="spellEnd"/>
      <w:r w:rsidRPr="00036562">
        <w:rPr>
          <w:rFonts w:cs="Arial"/>
          <w:color w:val="002060"/>
          <w:lang w:val="fr-FR"/>
        </w:rPr>
        <w:t xml:space="preserve"> » géré par ČSOB </w:t>
      </w:r>
      <w:proofErr w:type="spellStart"/>
      <w:r w:rsidRPr="00036562">
        <w:rPr>
          <w:rFonts w:cs="Arial"/>
          <w:color w:val="002060"/>
          <w:lang w:val="fr-FR"/>
        </w:rPr>
        <w:t>Private</w:t>
      </w:r>
      <w:proofErr w:type="spellEnd"/>
      <w:r w:rsidRPr="00036562">
        <w:rPr>
          <w:rFonts w:cs="Arial"/>
          <w:color w:val="002060"/>
          <w:lang w:val="fr-FR"/>
        </w:rPr>
        <w:t xml:space="preserve"> </w:t>
      </w:r>
      <w:proofErr w:type="spellStart"/>
      <w:r w:rsidRPr="00036562">
        <w:rPr>
          <w:rFonts w:cs="Arial"/>
          <w:color w:val="002060"/>
          <w:lang w:val="fr-FR"/>
        </w:rPr>
        <w:t>Banking</w:t>
      </w:r>
      <w:proofErr w:type="spellEnd"/>
      <w:r w:rsidRPr="00036562">
        <w:rPr>
          <w:rFonts w:cs="Arial"/>
          <w:color w:val="002060"/>
          <w:lang w:val="fr-FR"/>
        </w:rPr>
        <w:t xml:space="preserve">, le budget « Help </w:t>
      </w:r>
      <w:proofErr w:type="spellStart"/>
      <w:r w:rsidRPr="00036562">
        <w:rPr>
          <w:rFonts w:cs="Arial"/>
          <w:color w:val="002060"/>
          <w:lang w:val="fr-FR"/>
        </w:rPr>
        <w:t>Fund</w:t>
      </w:r>
      <w:proofErr w:type="spellEnd"/>
      <w:r w:rsidRPr="00036562">
        <w:rPr>
          <w:rFonts w:cs="Arial"/>
          <w:color w:val="002060"/>
          <w:lang w:val="fr-FR"/>
        </w:rPr>
        <w:t xml:space="preserve"> » s'élève à 1,3 million de couronnes tchèques pour 2016, ce qui permettra de financer des soins spéciaux dispensés par des établissements médicaux spécialisés en </w:t>
      </w:r>
      <w:proofErr w:type="spellStart"/>
      <w:r w:rsidRPr="00036562">
        <w:rPr>
          <w:rFonts w:cs="Arial"/>
          <w:color w:val="002060"/>
          <w:lang w:val="fr-FR"/>
        </w:rPr>
        <w:t>neurorééducation</w:t>
      </w:r>
      <w:proofErr w:type="spellEnd"/>
      <w:r w:rsidRPr="00036562">
        <w:rPr>
          <w:rFonts w:cs="Arial"/>
          <w:color w:val="002060"/>
          <w:lang w:val="fr-FR"/>
        </w:rPr>
        <w:t xml:space="preserve">. En Hongrie, K&amp;H </w:t>
      </w:r>
      <w:proofErr w:type="spellStart"/>
      <w:r w:rsidRPr="00036562">
        <w:rPr>
          <w:rFonts w:cs="Arial"/>
          <w:color w:val="002060"/>
          <w:lang w:val="fr-FR"/>
        </w:rPr>
        <w:t>Insurance</w:t>
      </w:r>
      <w:proofErr w:type="spellEnd"/>
      <w:r w:rsidRPr="00036562">
        <w:rPr>
          <w:rFonts w:cs="Arial"/>
          <w:color w:val="002060"/>
          <w:lang w:val="fr-FR"/>
        </w:rPr>
        <w:t xml:space="preserve"> s'est hissé en troisième position à l'issue d'un vote public visant à décerner le titre de « Customer-</w:t>
      </w:r>
      <w:proofErr w:type="spellStart"/>
      <w:r w:rsidRPr="00036562">
        <w:rPr>
          <w:rFonts w:cs="Arial"/>
          <w:color w:val="002060"/>
          <w:lang w:val="fr-FR"/>
        </w:rPr>
        <w:t>Friendly</w:t>
      </w:r>
      <w:proofErr w:type="spellEnd"/>
      <w:r w:rsidRPr="00036562">
        <w:rPr>
          <w:rFonts w:cs="Arial"/>
          <w:color w:val="002060"/>
          <w:lang w:val="fr-FR"/>
        </w:rPr>
        <w:t xml:space="preserve"> </w:t>
      </w:r>
      <w:proofErr w:type="spellStart"/>
      <w:r w:rsidRPr="00036562">
        <w:rPr>
          <w:rFonts w:cs="Arial"/>
          <w:color w:val="002060"/>
          <w:lang w:val="fr-FR"/>
        </w:rPr>
        <w:t>Insurer</w:t>
      </w:r>
      <w:proofErr w:type="spellEnd"/>
      <w:r w:rsidRPr="00036562">
        <w:rPr>
          <w:rFonts w:cs="Arial"/>
          <w:color w:val="002060"/>
          <w:lang w:val="fr-FR"/>
        </w:rPr>
        <w:t xml:space="preserve"> of the </w:t>
      </w:r>
      <w:proofErr w:type="spellStart"/>
      <w:r w:rsidRPr="00036562">
        <w:rPr>
          <w:rFonts w:cs="Arial"/>
          <w:color w:val="002060"/>
          <w:lang w:val="fr-FR"/>
        </w:rPr>
        <w:t>Year</w:t>
      </w:r>
      <w:proofErr w:type="spellEnd"/>
      <w:r w:rsidRPr="00036562">
        <w:rPr>
          <w:rFonts w:cs="Arial"/>
          <w:color w:val="002060"/>
          <w:lang w:val="fr-FR"/>
        </w:rPr>
        <w:t xml:space="preserve"> 2015 ». Les efforts déployés par K&amp;H dans le cadre de son concours financier « </w:t>
      </w:r>
      <w:proofErr w:type="spellStart"/>
      <w:r w:rsidRPr="00036562">
        <w:rPr>
          <w:rFonts w:cs="Arial"/>
          <w:color w:val="002060"/>
          <w:lang w:val="fr-FR"/>
        </w:rPr>
        <w:t>Ready</w:t>
      </w:r>
      <w:proofErr w:type="spellEnd"/>
      <w:r w:rsidRPr="00036562">
        <w:rPr>
          <w:rFonts w:cs="Arial"/>
          <w:color w:val="002060"/>
          <w:lang w:val="fr-FR"/>
        </w:rPr>
        <w:t xml:space="preserve">, </w:t>
      </w:r>
      <w:proofErr w:type="spellStart"/>
      <w:r w:rsidRPr="00036562">
        <w:rPr>
          <w:rFonts w:cs="Arial"/>
          <w:color w:val="002060"/>
          <w:lang w:val="fr-FR"/>
        </w:rPr>
        <w:t>Steady</w:t>
      </w:r>
      <w:proofErr w:type="spellEnd"/>
      <w:r w:rsidRPr="00036562">
        <w:rPr>
          <w:rFonts w:cs="Arial"/>
          <w:color w:val="002060"/>
          <w:lang w:val="fr-FR"/>
        </w:rPr>
        <w:t xml:space="preserve">, Money! » ont été récompensés par le prix spécial dans la catégorie « Most </w:t>
      </w:r>
      <w:proofErr w:type="spellStart"/>
      <w:r w:rsidRPr="00036562">
        <w:rPr>
          <w:rFonts w:cs="Arial"/>
          <w:color w:val="002060"/>
          <w:lang w:val="fr-FR"/>
        </w:rPr>
        <w:t>Creative</w:t>
      </w:r>
      <w:proofErr w:type="spellEnd"/>
      <w:r w:rsidRPr="00036562">
        <w:rPr>
          <w:rFonts w:cs="Arial"/>
          <w:color w:val="002060"/>
          <w:lang w:val="fr-FR"/>
        </w:rPr>
        <w:t xml:space="preserve"> Good </w:t>
      </w:r>
      <w:proofErr w:type="spellStart"/>
      <w:r w:rsidRPr="00036562">
        <w:rPr>
          <w:rFonts w:cs="Arial"/>
          <w:color w:val="002060"/>
          <w:lang w:val="fr-FR"/>
        </w:rPr>
        <w:t>Deed</w:t>
      </w:r>
      <w:proofErr w:type="spellEnd"/>
      <w:r w:rsidRPr="00036562">
        <w:rPr>
          <w:rFonts w:cs="Arial"/>
          <w:color w:val="002060"/>
          <w:lang w:val="fr-FR"/>
        </w:rPr>
        <w:t xml:space="preserve"> » lors de la compétition de RSE « </w:t>
      </w:r>
      <w:proofErr w:type="spellStart"/>
      <w:r w:rsidRPr="00036562">
        <w:rPr>
          <w:rFonts w:cs="Arial"/>
          <w:color w:val="002060"/>
          <w:lang w:val="fr-FR"/>
        </w:rPr>
        <w:t>Three</w:t>
      </w:r>
      <w:proofErr w:type="spellEnd"/>
      <w:r w:rsidRPr="00036562">
        <w:rPr>
          <w:rFonts w:cs="Arial"/>
          <w:color w:val="002060"/>
          <w:lang w:val="fr-FR"/>
        </w:rPr>
        <w:t xml:space="preserve"> Good </w:t>
      </w:r>
      <w:proofErr w:type="spellStart"/>
      <w:r w:rsidRPr="00036562">
        <w:rPr>
          <w:rFonts w:cs="Arial"/>
          <w:color w:val="002060"/>
          <w:lang w:val="fr-FR"/>
        </w:rPr>
        <w:t>Deeds</w:t>
      </w:r>
      <w:proofErr w:type="spellEnd"/>
      <w:r w:rsidRPr="00036562">
        <w:rPr>
          <w:rFonts w:cs="Arial"/>
          <w:color w:val="002060"/>
          <w:lang w:val="fr-FR"/>
        </w:rPr>
        <w:t xml:space="preserve"> ». </w:t>
      </w:r>
    </w:p>
    <w:p w:rsidR="0077354C" w:rsidRPr="00036562" w:rsidRDefault="00036562" w:rsidP="007F4206">
      <w:pPr>
        <w:pStyle w:val="ListParagraph"/>
        <w:numPr>
          <w:ilvl w:val="0"/>
          <w:numId w:val="5"/>
        </w:numPr>
        <w:autoSpaceDE w:val="0"/>
        <w:autoSpaceDN w:val="0"/>
        <w:adjustRightInd w:val="0"/>
        <w:spacing w:after="120" w:line="240" w:lineRule="auto"/>
        <w:ind w:left="284" w:right="6" w:hanging="284"/>
        <w:contextualSpacing w:val="0"/>
        <w:rPr>
          <w:rFonts w:cs="Arial"/>
          <w:color w:val="002060"/>
          <w:lang w:val="fr-FR"/>
        </w:rPr>
      </w:pPr>
      <w:r w:rsidRPr="00036562">
        <w:rPr>
          <w:rFonts w:cs="Arial"/>
          <w:color w:val="002060"/>
          <w:lang w:val="fr-FR"/>
        </w:rPr>
        <w:t xml:space="preserve">Le 80e anniversaire d'histoire boursière commune de KBC et KBC </w:t>
      </w:r>
      <w:proofErr w:type="spellStart"/>
      <w:r w:rsidRPr="00036562">
        <w:rPr>
          <w:rFonts w:cs="Arial"/>
          <w:color w:val="002060"/>
          <w:lang w:val="fr-FR"/>
        </w:rPr>
        <w:t>Ancora</w:t>
      </w:r>
      <w:proofErr w:type="spellEnd"/>
      <w:r w:rsidRPr="00036562">
        <w:rPr>
          <w:rFonts w:cs="Arial"/>
          <w:color w:val="002060"/>
          <w:lang w:val="fr-FR"/>
        </w:rPr>
        <w:t xml:space="preserve"> témoigne à cet égard de notre engagement de longue date en faveur de la société. Il y a 65 ans, l'action Kredietbank faisait son entrée à la Bourse de Bruxelles. À partir de la fusion de 1998, l'action apparaît son le nom de KBC. Depuis la fondation d’</w:t>
      </w:r>
      <w:proofErr w:type="spellStart"/>
      <w:r w:rsidRPr="00036562">
        <w:rPr>
          <w:rFonts w:cs="Arial"/>
          <w:color w:val="002060"/>
          <w:lang w:val="fr-FR"/>
        </w:rPr>
        <w:t>Almancora</w:t>
      </w:r>
      <w:proofErr w:type="spellEnd"/>
      <w:r w:rsidRPr="00036562">
        <w:rPr>
          <w:rFonts w:cs="Arial"/>
          <w:color w:val="002060"/>
          <w:lang w:val="fr-FR"/>
        </w:rPr>
        <w:t xml:space="preserve"> il y a 15 ans par </w:t>
      </w:r>
      <w:proofErr w:type="spellStart"/>
      <w:r w:rsidRPr="00036562">
        <w:rPr>
          <w:rFonts w:cs="Arial"/>
          <w:color w:val="002060"/>
          <w:lang w:val="fr-FR"/>
        </w:rPr>
        <w:t>Cera</w:t>
      </w:r>
      <w:proofErr w:type="spellEnd"/>
      <w:r w:rsidRPr="00036562">
        <w:rPr>
          <w:rFonts w:cs="Arial"/>
          <w:color w:val="002060"/>
          <w:lang w:val="fr-FR"/>
        </w:rPr>
        <w:t>, actionnaire de KBC, cette action est également cotée sur Euronext (d'abord sous le nom d'</w:t>
      </w:r>
      <w:proofErr w:type="spellStart"/>
      <w:r w:rsidRPr="00036562">
        <w:rPr>
          <w:rFonts w:cs="Arial"/>
          <w:color w:val="002060"/>
          <w:lang w:val="fr-FR"/>
        </w:rPr>
        <w:t>Almancora</w:t>
      </w:r>
      <w:proofErr w:type="spellEnd"/>
      <w:r w:rsidRPr="00036562">
        <w:rPr>
          <w:rFonts w:cs="Arial"/>
          <w:color w:val="002060"/>
          <w:lang w:val="fr-FR"/>
        </w:rPr>
        <w:t xml:space="preserve">, puis de KBC </w:t>
      </w:r>
      <w:proofErr w:type="spellStart"/>
      <w:r w:rsidRPr="00036562">
        <w:rPr>
          <w:rFonts w:cs="Arial"/>
          <w:color w:val="002060"/>
          <w:lang w:val="fr-FR"/>
        </w:rPr>
        <w:t>Ancora</w:t>
      </w:r>
      <w:proofErr w:type="spellEnd"/>
      <w:r w:rsidRPr="00036562">
        <w:rPr>
          <w:rFonts w:cs="Arial"/>
          <w:color w:val="002060"/>
          <w:lang w:val="fr-FR"/>
        </w:rPr>
        <w:t xml:space="preserve">). KBC et KBC </w:t>
      </w:r>
      <w:proofErr w:type="spellStart"/>
      <w:r w:rsidRPr="00036562">
        <w:rPr>
          <w:rFonts w:cs="Arial"/>
          <w:color w:val="002060"/>
          <w:lang w:val="fr-FR"/>
        </w:rPr>
        <w:t>Ancora</w:t>
      </w:r>
      <w:proofErr w:type="spellEnd"/>
      <w:r w:rsidRPr="00036562">
        <w:rPr>
          <w:rFonts w:cs="Arial"/>
          <w:color w:val="002060"/>
          <w:lang w:val="fr-FR"/>
        </w:rPr>
        <w:t xml:space="preserve"> comptent donc aujourd'hui à leur palmarès 80 années d'histoire boursière commune. Au cours de cette période, les deux institutions ont participé activement au développement de l'économie et de la société belges.</w:t>
      </w:r>
    </w:p>
    <w:p w:rsidR="00D14EBE" w:rsidRDefault="00D14EBE" w:rsidP="00036562">
      <w:pPr>
        <w:autoSpaceDE w:val="0"/>
        <w:autoSpaceDN w:val="0"/>
        <w:adjustRightInd w:val="0"/>
        <w:spacing w:after="120" w:line="240" w:lineRule="auto"/>
        <w:ind w:right="6"/>
        <w:rPr>
          <w:rFonts w:ascii="Rockwell" w:hAnsi="Rockwell" w:cs="Arial"/>
          <w:b/>
          <w:bCs/>
          <w:color w:val="003768"/>
          <w:sz w:val="28"/>
          <w:szCs w:val="28"/>
          <w:lang w:val="fr-FR" w:eastAsia="nl-BE"/>
        </w:rPr>
      </w:pPr>
    </w:p>
    <w:p w:rsidR="00036562" w:rsidRDefault="00036562" w:rsidP="00036562">
      <w:pPr>
        <w:autoSpaceDE w:val="0"/>
        <w:autoSpaceDN w:val="0"/>
        <w:adjustRightInd w:val="0"/>
        <w:spacing w:after="120" w:line="240" w:lineRule="auto"/>
        <w:ind w:right="6"/>
        <w:rPr>
          <w:rFonts w:ascii="Rockwell" w:hAnsi="Rockwell" w:cs="Arial"/>
          <w:b/>
          <w:bCs/>
          <w:color w:val="003768"/>
          <w:sz w:val="28"/>
          <w:szCs w:val="28"/>
          <w:lang w:val="fr-FR" w:eastAsia="nl-BE"/>
        </w:rPr>
      </w:pPr>
    </w:p>
    <w:p w:rsidR="00036562" w:rsidRDefault="00036562" w:rsidP="00036562">
      <w:pPr>
        <w:autoSpaceDE w:val="0"/>
        <w:autoSpaceDN w:val="0"/>
        <w:adjustRightInd w:val="0"/>
        <w:spacing w:after="120" w:line="240" w:lineRule="auto"/>
        <w:ind w:right="6"/>
        <w:rPr>
          <w:rFonts w:ascii="Rockwell" w:hAnsi="Rockwell" w:cs="Arial"/>
          <w:b/>
          <w:bCs/>
          <w:color w:val="003768"/>
          <w:sz w:val="28"/>
          <w:szCs w:val="28"/>
          <w:lang w:val="fr-FR" w:eastAsia="nl-BE"/>
        </w:rPr>
      </w:pPr>
    </w:p>
    <w:p w:rsidR="00036562" w:rsidRDefault="00036562" w:rsidP="00036562">
      <w:pPr>
        <w:autoSpaceDE w:val="0"/>
        <w:autoSpaceDN w:val="0"/>
        <w:adjustRightInd w:val="0"/>
        <w:spacing w:after="120" w:line="240" w:lineRule="auto"/>
        <w:ind w:right="6"/>
        <w:rPr>
          <w:rFonts w:ascii="Rockwell" w:hAnsi="Rockwell" w:cs="Arial"/>
          <w:b/>
          <w:bCs/>
          <w:color w:val="003768"/>
          <w:sz w:val="28"/>
          <w:szCs w:val="28"/>
          <w:lang w:val="fr-FR" w:eastAsia="nl-BE"/>
        </w:rPr>
      </w:pPr>
    </w:p>
    <w:p w:rsidR="00036562" w:rsidRDefault="00036562" w:rsidP="00036562">
      <w:pPr>
        <w:autoSpaceDE w:val="0"/>
        <w:autoSpaceDN w:val="0"/>
        <w:adjustRightInd w:val="0"/>
        <w:spacing w:after="120" w:line="240" w:lineRule="auto"/>
        <w:ind w:right="6"/>
        <w:rPr>
          <w:rFonts w:ascii="Rockwell" w:hAnsi="Rockwell" w:cs="Arial"/>
          <w:b/>
          <w:bCs/>
          <w:color w:val="003768"/>
          <w:sz w:val="28"/>
          <w:szCs w:val="28"/>
          <w:lang w:val="fr-FR" w:eastAsia="nl-BE"/>
        </w:rPr>
      </w:pPr>
    </w:p>
    <w:p w:rsidR="00036562" w:rsidRDefault="00036562" w:rsidP="00036562">
      <w:pPr>
        <w:autoSpaceDE w:val="0"/>
        <w:autoSpaceDN w:val="0"/>
        <w:adjustRightInd w:val="0"/>
        <w:spacing w:after="120" w:line="240" w:lineRule="auto"/>
        <w:ind w:right="6"/>
        <w:rPr>
          <w:rFonts w:ascii="Rockwell" w:hAnsi="Rockwell" w:cs="Arial"/>
          <w:b/>
          <w:bCs/>
          <w:color w:val="003768"/>
          <w:sz w:val="28"/>
          <w:szCs w:val="28"/>
          <w:lang w:val="fr-FR" w:eastAsia="nl-BE"/>
        </w:rPr>
      </w:pPr>
    </w:p>
    <w:p w:rsidR="00036562" w:rsidRDefault="00036562" w:rsidP="00036562">
      <w:pPr>
        <w:autoSpaceDE w:val="0"/>
        <w:autoSpaceDN w:val="0"/>
        <w:adjustRightInd w:val="0"/>
        <w:spacing w:after="120" w:line="240" w:lineRule="auto"/>
        <w:ind w:right="6"/>
        <w:rPr>
          <w:rFonts w:ascii="Rockwell" w:hAnsi="Rockwell" w:cs="Arial"/>
          <w:b/>
          <w:bCs/>
          <w:color w:val="003768"/>
          <w:sz w:val="28"/>
          <w:szCs w:val="28"/>
          <w:lang w:val="fr-FR" w:eastAsia="nl-BE"/>
        </w:rPr>
      </w:pPr>
    </w:p>
    <w:p w:rsidR="00036562" w:rsidRDefault="00036562" w:rsidP="00036562">
      <w:pPr>
        <w:autoSpaceDE w:val="0"/>
        <w:autoSpaceDN w:val="0"/>
        <w:adjustRightInd w:val="0"/>
        <w:spacing w:after="120" w:line="240" w:lineRule="auto"/>
        <w:ind w:right="6"/>
        <w:rPr>
          <w:rFonts w:ascii="Rockwell" w:hAnsi="Rockwell" w:cs="Arial"/>
          <w:b/>
          <w:bCs/>
          <w:color w:val="003768"/>
          <w:sz w:val="28"/>
          <w:szCs w:val="28"/>
          <w:lang w:val="fr-FR" w:eastAsia="nl-BE"/>
        </w:rPr>
      </w:pPr>
    </w:p>
    <w:p w:rsidR="00036562" w:rsidRDefault="00036562" w:rsidP="00036562">
      <w:pPr>
        <w:autoSpaceDE w:val="0"/>
        <w:autoSpaceDN w:val="0"/>
        <w:adjustRightInd w:val="0"/>
        <w:spacing w:after="120" w:line="240" w:lineRule="auto"/>
        <w:ind w:right="6"/>
        <w:rPr>
          <w:rFonts w:ascii="Rockwell" w:hAnsi="Rockwell" w:cs="Arial"/>
          <w:b/>
          <w:bCs/>
          <w:color w:val="003768"/>
          <w:sz w:val="28"/>
          <w:szCs w:val="28"/>
          <w:lang w:val="fr-FR" w:eastAsia="nl-BE"/>
        </w:rPr>
      </w:pPr>
    </w:p>
    <w:p w:rsidR="00036562" w:rsidRDefault="00036562" w:rsidP="00036562">
      <w:pPr>
        <w:autoSpaceDE w:val="0"/>
        <w:autoSpaceDN w:val="0"/>
        <w:adjustRightInd w:val="0"/>
        <w:spacing w:after="120" w:line="240" w:lineRule="auto"/>
        <w:ind w:right="6"/>
        <w:rPr>
          <w:rFonts w:ascii="Rockwell" w:hAnsi="Rockwell" w:cs="Arial"/>
          <w:b/>
          <w:bCs/>
          <w:color w:val="003768"/>
          <w:sz w:val="28"/>
          <w:szCs w:val="28"/>
          <w:lang w:val="fr-FR" w:eastAsia="nl-BE"/>
        </w:rPr>
      </w:pPr>
    </w:p>
    <w:p w:rsidR="00036562" w:rsidRDefault="00036562" w:rsidP="00036562">
      <w:pPr>
        <w:autoSpaceDE w:val="0"/>
        <w:autoSpaceDN w:val="0"/>
        <w:adjustRightInd w:val="0"/>
        <w:spacing w:after="120" w:line="240" w:lineRule="auto"/>
        <w:ind w:right="6"/>
        <w:rPr>
          <w:rFonts w:ascii="Rockwell" w:hAnsi="Rockwell" w:cs="Arial"/>
          <w:b/>
          <w:bCs/>
          <w:color w:val="003768"/>
          <w:sz w:val="28"/>
          <w:szCs w:val="28"/>
          <w:lang w:val="fr-FR" w:eastAsia="nl-BE"/>
        </w:rPr>
      </w:pPr>
    </w:p>
    <w:p w:rsidR="00036562" w:rsidRDefault="00036562" w:rsidP="00036562">
      <w:pPr>
        <w:autoSpaceDE w:val="0"/>
        <w:autoSpaceDN w:val="0"/>
        <w:adjustRightInd w:val="0"/>
        <w:spacing w:after="120" w:line="240" w:lineRule="auto"/>
        <w:ind w:right="6"/>
        <w:rPr>
          <w:rFonts w:ascii="Rockwell" w:hAnsi="Rockwell" w:cs="Arial"/>
          <w:b/>
          <w:bCs/>
          <w:color w:val="003768"/>
          <w:sz w:val="28"/>
          <w:szCs w:val="28"/>
          <w:lang w:val="fr-FR" w:eastAsia="nl-BE"/>
        </w:rPr>
      </w:pPr>
    </w:p>
    <w:p w:rsidR="00036562" w:rsidRDefault="00036562" w:rsidP="00036562">
      <w:pPr>
        <w:autoSpaceDE w:val="0"/>
        <w:autoSpaceDN w:val="0"/>
        <w:adjustRightInd w:val="0"/>
        <w:spacing w:after="120" w:line="240" w:lineRule="auto"/>
        <w:ind w:right="6"/>
        <w:rPr>
          <w:rFonts w:ascii="Rockwell" w:hAnsi="Rockwell" w:cs="Arial"/>
          <w:b/>
          <w:bCs/>
          <w:color w:val="003768"/>
          <w:sz w:val="28"/>
          <w:szCs w:val="28"/>
          <w:lang w:val="fr-FR" w:eastAsia="nl-BE"/>
        </w:rPr>
      </w:pPr>
    </w:p>
    <w:p w:rsidR="00036562" w:rsidRDefault="00036562" w:rsidP="00036562">
      <w:pPr>
        <w:autoSpaceDE w:val="0"/>
        <w:autoSpaceDN w:val="0"/>
        <w:adjustRightInd w:val="0"/>
        <w:spacing w:after="120" w:line="240" w:lineRule="auto"/>
        <w:ind w:right="6"/>
        <w:rPr>
          <w:rFonts w:ascii="Rockwell" w:hAnsi="Rockwell" w:cs="Arial"/>
          <w:b/>
          <w:bCs/>
          <w:color w:val="003768"/>
          <w:sz w:val="28"/>
          <w:szCs w:val="28"/>
          <w:lang w:val="fr-FR" w:eastAsia="nl-BE"/>
        </w:rPr>
      </w:pPr>
    </w:p>
    <w:p w:rsidR="00036562" w:rsidRDefault="00036562" w:rsidP="00036562">
      <w:pPr>
        <w:autoSpaceDE w:val="0"/>
        <w:autoSpaceDN w:val="0"/>
        <w:adjustRightInd w:val="0"/>
        <w:spacing w:after="120" w:line="240" w:lineRule="auto"/>
        <w:ind w:right="6"/>
        <w:rPr>
          <w:rFonts w:ascii="Rockwell" w:hAnsi="Rockwell" w:cs="Arial"/>
          <w:b/>
          <w:bCs/>
          <w:color w:val="003768"/>
          <w:sz w:val="28"/>
          <w:szCs w:val="28"/>
          <w:lang w:val="fr-FR" w:eastAsia="nl-BE"/>
        </w:rPr>
      </w:pPr>
    </w:p>
    <w:p w:rsidR="00036562" w:rsidRDefault="00036562" w:rsidP="00036562">
      <w:pPr>
        <w:autoSpaceDE w:val="0"/>
        <w:autoSpaceDN w:val="0"/>
        <w:adjustRightInd w:val="0"/>
        <w:spacing w:after="120" w:line="240" w:lineRule="auto"/>
        <w:ind w:right="6"/>
        <w:rPr>
          <w:rFonts w:ascii="Rockwell" w:hAnsi="Rockwell" w:cs="Arial"/>
          <w:b/>
          <w:bCs/>
          <w:color w:val="003768"/>
          <w:sz w:val="28"/>
          <w:szCs w:val="28"/>
          <w:lang w:val="fr-FR" w:eastAsia="nl-BE"/>
        </w:rPr>
      </w:pPr>
    </w:p>
    <w:p w:rsidR="00036562" w:rsidRDefault="00036562" w:rsidP="00036562">
      <w:pPr>
        <w:autoSpaceDE w:val="0"/>
        <w:autoSpaceDN w:val="0"/>
        <w:adjustRightInd w:val="0"/>
        <w:spacing w:after="0" w:line="240" w:lineRule="auto"/>
        <w:ind w:right="4"/>
        <w:rPr>
          <w:rFonts w:ascii="Rockwell" w:hAnsi="Rockwell" w:cs="Arial"/>
          <w:b/>
          <w:bCs/>
          <w:color w:val="003366"/>
          <w:sz w:val="28"/>
          <w:szCs w:val="28"/>
          <w:lang w:val="fr-FR"/>
        </w:rPr>
      </w:pPr>
      <w:r w:rsidRPr="00036562">
        <w:rPr>
          <w:rFonts w:ascii="Rockwell" w:hAnsi="Rockwell" w:cs="Arial"/>
          <w:b/>
          <w:bCs/>
          <w:color w:val="003366"/>
          <w:sz w:val="28"/>
          <w:szCs w:val="28"/>
          <w:lang w:val="fr-FR"/>
        </w:rPr>
        <w:lastRenderedPageBreak/>
        <w:t>Aperçu de nos résultats et de notre bilan</w:t>
      </w:r>
    </w:p>
    <w:p w:rsidR="00036562" w:rsidRDefault="00036562" w:rsidP="00036562">
      <w:pPr>
        <w:autoSpaceDE w:val="0"/>
        <w:autoSpaceDN w:val="0"/>
        <w:adjustRightInd w:val="0"/>
        <w:spacing w:after="0" w:line="240" w:lineRule="auto"/>
        <w:ind w:right="4"/>
        <w:rPr>
          <w:rFonts w:ascii="Rockwell" w:hAnsi="Rockwell" w:cs="Arial"/>
          <w:b/>
          <w:bCs/>
          <w:color w:val="003366"/>
          <w:sz w:val="28"/>
          <w:szCs w:val="28"/>
          <w:lang w:val="fr-FR"/>
        </w:rPr>
      </w:pPr>
    </w:p>
    <w:p w:rsidR="00036562" w:rsidRDefault="00036562" w:rsidP="007F4206">
      <w:pPr>
        <w:pStyle w:val="BodyTextIndent"/>
        <w:spacing w:after="120"/>
        <w:ind w:left="0"/>
        <w:jc w:val="left"/>
        <w:rPr>
          <w:rFonts w:asciiTheme="minorHAnsi" w:hAnsiTheme="minorHAnsi"/>
          <w:color w:val="002060"/>
          <w:sz w:val="22"/>
          <w:szCs w:val="22"/>
          <w:lang w:val="fr-FR"/>
        </w:rPr>
      </w:pPr>
      <w:r w:rsidRPr="00036562">
        <w:rPr>
          <w:rFonts w:asciiTheme="minorHAnsi" w:hAnsiTheme="minorHAnsi"/>
          <w:color w:val="002060"/>
          <w:sz w:val="22"/>
          <w:szCs w:val="22"/>
          <w:lang w:val="fr-FR"/>
        </w:rPr>
        <w:t xml:space="preserve">Pour les données complètes du compte de résultat et du bilan consolidés selon les normes IFRS, nous vous renvoyons au chapitre </w:t>
      </w:r>
      <w:proofErr w:type="spellStart"/>
      <w:r w:rsidRPr="00036562">
        <w:rPr>
          <w:rFonts w:asciiTheme="minorHAnsi" w:hAnsiTheme="minorHAnsi"/>
          <w:i/>
          <w:color w:val="002060"/>
          <w:sz w:val="22"/>
          <w:szCs w:val="22"/>
          <w:lang w:val="fr-FR"/>
        </w:rPr>
        <w:t>Consolidated</w:t>
      </w:r>
      <w:proofErr w:type="spellEnd"/>
      <w:r w:rsidRPr="00036562">
        <w:rPr>
          <w:rFonts w:asciiTheme="minorHAnsi" w:hAnsiTheme="minorHAnsi"/>
          <w:i/>
          <w:color w:val="002060"/>
          <w:sz w:val="22"/>
          <w:szCs w:val="22"/>
          <w:lang w:val="fr-FR"/>
        </w:rPr>
        <w:t xml:space="preserve"> </w:t>
      </w:r>
      <w:proofErr w:type="spellStart"/>
      <w:r w:rsidRPr="00036562">
        <w:rPr>
          <w:rFonts w:asciiTheme="minorHAnsi" w:hAnsiTheme="minorHAnsi"/>
          <w:i/>
          <w:color w:val="002060"/>
          <w:sz w:val="22"/>
          <w:szCs w:val="22"/>
          <w:lang w:val="fr-FR"/>
        </w:rPr>
        <w:t>financial</w:t>
      </w:r>
      <w:proofErr w:type="spellEnd"/>
      <w:r w:rsidRPr="00036562">
        <w:rPr>
          <w:rFonts w:asciiTheme="minorHAnsi" w:hAnsiTheme="minorHAnsi"/>
          <w:i/>
          <w:color w:val="002060"/>
          <w:sz w:val="22"/>
          <w:szCs w:val="22"/>
          <w:lang w:val="fr-FR"/>
        </w:rPr>
        <w:t xml:space="preserve"> </w:t>
      </w:r>
      <w:proofErr w:type="spellStart"/>
      <w:r w:rsidRPr="00036562">
        <w:rPr>
          <w:rFonts w:asciiTheme="minorHAnsi" w:hAnsiTheme="minorHAnsi"/>
          <w:i/>
          <w:color w:val="002060"/>
          <w:sz w:val="22"/>
          <w:szCs w:val="22"/>
          <w:lang w:val="fr-FR"/>
        </w:rPr>
        <w:t>statements</w:t>
      </w:r>
      <w:proofErr w:type="spellEnd"/>
      <w:r w:rsidRPr="00036562">
        <w:rPr>
          <w:rFonts w:asciiTheme="minorHAnsi" w:hAnsiTheme="minorHAnsi"/>
          <w:color w:val="002060"/>
          <w:sz w:val="22"/>
          <w:szCs w:val="22"/>
          <w:lang w:val="fr-FR"/>
        </w:rPr>
        <w:t xml:space="preserve"> du rapport trimestriel,  qui reprend également un résumé du résultat global, des variations des capitaux propres des actionnaires, ainsi que plusieurs annexes relatives aux comptes. </w:t>
      </w:r>
    </w:p>
    <w:p w:rsidR="00036562" w:rsidRPr="00036562" w:rsidRDefault="00036562" w:rsidP="00036562">
      <w:pPr>
        <w:pStyle w:val="BodyTextIndent"/>
        <w:spacing w:after="120"/>
        <w:ind w:left="0"/>
        <w:rPr>
          <w:rFonts w:asciiTheme="minorHAnsi" w:hAnsiTheme="minorHAnsi"/>
          <w:color w:val="002060"/>
          <w:sz w:val="22"/>
          <w:szCs w:val="22"/>
          <w:lang w:val="fr-FR"/>
        </w:rPr>
      </w:pPr>
    </w:p>
    <w:p w:rsidR="00036562" w:rsidRPr="00725FA5" w:rsidRDefault="00036562" w:rsidP="00036562">
      <w:pPr>
        <w:pStyle w:val="BodyTextIndent"/>
        <w:spacing w:before="60"/>
        <w:ind w:left="0"/>
        <w:rPr>
          <w:color w:val="00B0F0"/>
          <w:sz w:val="8"/>
          <w:szCs w:val="8"/>
          <w:lang w:val="fr-FR"/>
        </w:rPr>
      </w:pPr>
    </w:p>
    <w:tbl>
      <w:tblPr>
        <w:tblW w:w="10348" w:type="dxa"/>
        <w:tblLayout w:type="fixed"/>
        <w:tblLook w:val="01E0" w:firstRow="1" w:lastRow="1" w:firstColumn="1" w:lastColumn="1" w:noHBand="0" w:noVBand="0"/>
      </w:tblPr>
      <w:tblGrid>
        <w:gridCol w:w="4962"/>
        <w:gridCol w:w="992"/>
        <w:gridCol w:w="992"/>
        <w:gridCol w:w="1134"/>
        <w:gridCol w:w="1134"/>
        <w:gridCol w:w="1134"/>
      </w:tblGrid>
      <w:tr w:rsidR="00036562" w:rsidRPr="00D74EA3" w:rsidTr="00A8415A">
        <w:tc>
          <w:tcPr>
            <w:tcW w:w="4962" w:type="dxa"/>
            <w:tcBorders>
              <w:bottom w:val="single" w:sz="8" w:space="0" w:color="808080" w:themeColor="background1" w:themeShade="80"/>
            </w:tcBorders>
            <w:shd w:val="clear" w:color="auto" w:fill="auto"/>
            <w:vAlign w:val="center"/>
          </w:tcPr>
          <w:p w:rsidR="00036562" w:rsidRPr="00725FA5" w:rsidRDefault="00036562" w:rsidP="00A8415A">
            <w:pPr>
              <w:pStyle w:val="Intro"/>
              <w:jc w:val="left"/>
              <w:rPr>
                <w:color w:val="00B0F0"/>
                <w:sz w:val="14"/>
                <w:szCs w:val="14"/>
                <w:lang w:val="fr-FR"/>
              </w:rPr>
            </w:pPr>
            <w:r w:rsidRPr="00725FA5">
              <w:rPr>
                <w:color w:val="00B0F0"/>
                <w:sz w:val="14"/>
                <w:szCs w:val="14"/>
                <w:lang w:val="fr-FR"/>
              </w:rPr>
              <w:t xml:space="preserve">Compte de résultat consolidé selon les normes IFRS </w:t>
            </w:r>
            <w:r w:rsidRPr="00725FA5">
              <w:rPr>
                <w:color w:val="00B0F0"/>
                <w:sz w:val="14"/>
                <w:szCs w:val="14"/>
                <w:lang w:val="fr-FR"/>
              </w:rPr>
              <w:br/>
              <w:t>Groupe KBC (en millions EUR)</w:t>
            </w:r>
          </w:p>
        </w:tc>
        <w:tc>
          <w:tcPr>
            <w:tcW w:w="992" w:type="dxa"/>
            <w:tcBorders>
              <w:bottom w:val="single" w:sz="8" w:space="0" w:color="808080" w:themeColor="background1" w:themeShade="80"/>
            </w:tcBorders>
            <w:shd w:val="clear" w:color="auto" w:fill="auto"/>
            <w:vAlign w:val="bottom"/>
          </w:tcPr>
          <w:p w:rsidR="00036562" w:rsidRPr="00D74EA3" w:rsidRDefault="00036562" w:rsidP="00A8415A">
            <w:pPr>
              <w:pStyle w:val="Intro"/>
              <w:jc w:val="right"/>
              <w:rPr>
                <w:color w:val="00B0F0"/>
                <w:sz w:val="14"/>
                <w:szCs w:val="14"/>
                <w:lang w:val="en-GB"/>
              </w:rPr>
            </w:pPr>
            <w:r w:rsidRPr="00D74EA3">
              <w:rPr>
                <w:color w:val="00B0F0"/>
                <w:sz w:val="14"/>
                <w:szCs w:val="14"/>
              </w:rPr>
              <w:t>1TR2015</w:t>
            </w:r>
          </w:p>
        </w:tc>
        <w:tc>
          <w:tcPr>
            <w:tcW w:w="992" w:type="dxa"/>
            <w:tcBorders>
              <w:bottom w:val="single" w:sz="8" w:space="0" w:color="808080" w:themeColor="background1" w:themeShade="80"/>
            </w:tcBorders>
            <w:shd w:val="clear" w:color="auto" w:fill="auto"/>
            <w:vAlign w:val="bottom"/>
          </w:tcPr>
          <w:p w:rsidR="00036562" w:rsidRPr="00D74EA3" w:rsidRDefault="00036562" w:rsidP="00A8415A">
            <w:pPr>
              <w:pStyle w:val="Intro"/>
              <w:jc w:val="right"/>
              <w:rPr>
                <w:color w:val="00B0F0"/>
                <w:sz w:val="14"/>
                <w:szCs w:val="14"/>
                <w:lang w:val="en-GB"/>
              </w:rPr>
            </w:pPr>
            <w:r w:rsidRPr="00D74EA3">
              <w:rPr>
                <w:color w:val="00B0F0"/>
                <w:sz w:val="14"/>
                <w:szCs w:val="14"/>
              </w:rPr>
              <w:t>2TR2015</w:t>
            </w:r>
          </w:p>
        </w:tc>
        <w:tc>
          <w:tcPr>
            <w:tcW w:w="1134" w:type="dxa"/>
            <w:tcBorders>
              <w:bottom w:val="single" w:sz="8" w:space="0" w:color="808080" w:themeColor="background1" w:themeShade="80"/>
            </w:tcBorders>
            <w:shd w:val="clear" w:color="auto" w:fill="auto"/>
            <w:vAlign w:val="bottom"/>
          </w:tcPr>
          <w:p w:rsidR="00036562" w:rsidRPr="00D74EA3" w:rsidRDefault="00036562" w:rsidP="00A8415A">
            <w:pPr>
              <w:pStyle w:val="Intro"/>
              <w:jc w:val="right"/>
              <w:rPr>
                <w:color w:val="00B0F0"/>
                <w:sz w:val="14"/>
                <w:szCs w:val="14"/>
                <w:lang w:val="en-GB"/>
              </w:rPr>
            </w:pPr>
            <w:r w:rsidRPr="00D74EA3">
              <w:rPr>
                <w:color w:val="00B0F0"/>
                <w:sz w:val="14"/>
                <w:szCs w:val="14"/>
              </w:rPr>
              <w:t>3TR2015</w:t>
            </w:r>
          </w:p>
        </w:tc>
        <w:tc>
          <w:tcPr>
            <w:tcW w:w="1134" w:type="dxa"/>
            <w:tcBorders>
              <w:bottom w:val="single" w:sz="8" w:space="0" w:color="808080" w:themeColor="background1" w:themeShade="80"/>
            </w:tcBorders>
            <w:shd w:val="clear" w:color="auto" w:fill="auto"/>
            <w:vAlign w:val="bottom"/>
          </w:tcPr>
          <w:p w:rsidR="00036562" w:rsidRPr="00D74EA3" w:rsidRDefault="00036562" w:rsidP="00A8415A">
            <w:pPr>
              <w:pStyle w:val="Intro"/>
              <w:jc w:val="right"/>
              <w:rPr>
                <w:color w:val="00B0F0"/>
                <w:sz w:val="14"/>
                <w:szCs w:val="14"/>
                <w:lang w:val="en-GB"/>
              </w:rPr>
            </w:pPr>
            <w:r w:rsidRPr="00D74EA3">
              <w:rPr>
                <w:color w:val="00B0F0"/>
                <w:sz w:val="14"/>
                <w:szCs w:val="14"/>
              </w:rPr>
              <w:t>4TR2015</w:t>
            </w:r>
          </w:p>
        </w:tc>
        <w:tc>
          <w:tcPr>
            <w:tcW w:w="1134" w:type="dxa"/>
            <w:tcBorders>
              <w:bottom w:val="single" w:sz="8" w:space="0" w:color="808080" w:themeColor="background1" w:themeShade="80"/>
            </w:tcBorders>
            <w:vAlign w:val="bottom"/>
          </w:tcPr>
          <w:p w:rsidR="00036562" w:rsidRPr="00D74EA3" w:rsidRDefault="00036562" w:rsidP="00A8415A">
            <w:pPr>
              <w:pStyle w:val="Intro"/>
              <w:jc w:val="right"/>
              <w:rPr>
                <w:color w:val="00B0F0"/>
                <w:sz w:val="14"/>
                <w:szCs w:val="14"/>
                <w:lang w:val="en-GB"/>
              </w:rPr>
            </w:pPr>
            <w:r w:rsidRPr="00D74EA3">
              <w:rPr>
                <w:color w:val="00B0F0"/>
                <w:sz w:val="14"/>
                <w:szCs w:val="14"/>
              </w:rPr>
              <w:t>1TR2016</w:t>
            </w:r>
          </w:p>
        </w:tc>
      </w:tr>
      <w:tr w:rsidR="00036562" w:rsidRPr="00D74EA3" w:rsidTr="00A8415A">
        <w:trPr>
          <w:trHeight w:val="321"/>
        </w:trPr>
        <w:tc>
          <w:tcPr>
            <w:tcW w:w="4962" w:type="dxa"/>
            <w:tcBorders>
              <w:top w:val="single" w:sz="8" w:space="0" w:color="808080" w:themeColor="background1" w:themeShade="80"/>
              <w:right w:val="single" w:sz="8" w:space="0" w:color="808080" w:themeColor="background1" w:themeShade="80"/>
            </w:tcBorders>
            <w:vAlign w:val="center"/>
          </w:tcPr>
          <w:p w:rsidR="00036562" w:rsidRPr="00D74EA3" w:rsidRDefault="00036562" w:rsidP="00A8415A">
            <w:pPr>
              <w:pStyle w:val="Intro"/>
              <w:jc w:val="left"/>
              <w:rPr>
                <w:b w:val="0"/>
                <w:sz w:val="14"/>
                <w:szCs w:val="14"/>
                <w:lang w:val="en-GB"/>
              </w:rPr>
            </w:pPr>
            <w:proofErr w:type="spellStart"/>
            <w:r w:rsidRPr="00D74EA3">
              <w:rPr>
                <w:b w:val="0"/>
                <w:sz w:val="14"/>
                <w:szCs w:val="14"/>
              </w:rPr>
              <w:t>Revenus</w:t>
            </w:r>
            <w:proofErr w:type="spellEnd"/>
            <w:r w:rsidRPr="00D74EA3">
              <w:rPr>
                <w:b w:val="0"/>
                <w:sz w:val="14"/>
                <w:szCs w:val="14"/>
              </w:rPr>
              <w:t xml:space="preserve"> nets </w:t>
            </w:r>
            <w:proofErr w:type="spellStart"/>
            <w:r w:rsidRPr="00D74EA3">
              <w:rPr>
                <w:b w:val="0"/>
                <w:sz w:val="14"/>
                <w:szCs w:val="14"/>
              </w:rPr>
              <w:t>d’intérêts</w:t>
            </w:r>
            <w:proofErr w:type="spellEnd"/>
          </w:p>
        </w:tc>
        <w:tc>
          <w:tcPr>
            <w:tcW w:w="992"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1 091</w:t>
            </w:r>
          </w:p>
        </w:tc>
        <w:tc>
          <w:tcPr>
            <w:tcW w:w="992"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1 092</w:t>
            </w:r>
          </w:p>
        </w:tc>
        <w:tc>
          <w:tcPr>
            <w:tcW w:w="1134" w:type="dxa"/>
            <w:tcBorders>
              <w:top w:val="single" w:sz="8" w:space="0" w:color="808080" w:themeColor="background1" w:themeShade="80"/>
            </w:tcBorders>
            <w:shd w:val="clear" w:color="auto" w:fill="auto"/>
            <w:vAlign w:val="center"/>
          </w:tcPr>
          <w:p w:rsidR="00036562" w:rsidRPr="00036562" w:rsidRDefault="00036562" w:rsidP="00A8415A">
            <w:pPr>
              <w:pStyle w:val="Intro"/>
              <w:jc w:val="right"/>
              <w:rPr>
                <w:b w:val="0"/>
                <w:sz w:val="14"/>
                <w:szCs w:val="14"/>
                <w:highlight w:val="darkGray"/>
                <w:lang w:val="en-GB"/>
              </w:rPr>
            </w:pPr>
            <w:r w:rsidRPr="00D74EA3">
              <w:rPr>
                <w:b w:val="0"/>
                <w:sz w:val="14"/>
                <w:szCs w:val="14"/>
              </w:rPr>
              <w:t>1 062</w:t>
            </w:r>
          </w:p>
        </w:tc>
        <w:tc>
          <w:tcPr>
            <w:tcW w:w="1134" w:type="dxa"/>
            <w:tcBorders>
              <w:top w:val="single" w:sz="8" w:space="0" w:color="808080" w:themeColor="background1" w:themeShade="80"/>
            </w:tcBorders>
            <w:shd w:val="clear" w:color="auto" w:fill="auto"/>
            <w:vAlign w:val="center"/>
          </w:tcPr>
          <w:p w:rsidR="00036562" w:rsidRPr="00036562" w:rsidRDefault="00036562" w:rsidP="00A8415A">
            <w:pPr>
              <w:pStyle w:val="Intro"/>
              <w:jc w:val="right"/>
              <w:rPr>
                <w:b w:val="0"/>
                <w:sz w:val="14"/>
                <w:szCs w:val="14"/>
                <w:highlight w:val="darkGray"/>
                <w:lang w:val="en-GB"/>
              </w:rPr>
            </w:pPr>
            <w:r w:rsidRPr="00D74EA3">
              <w:rPr>
                <w:b w:val="0"/>
                <w:sz w:val="14"/>
                <w:szCs w:val="14"/>
              </w:rPr>
              <w:t>1 066</w:t>
            </w:r>
          </w:p>
        </w:tc>
        <w:tc>
          <w:tcPr>
            <w:tcW w:w="1134" w:type="dxa"/>
            <w:tcBorders>
              <w:top w:val="single" w:sz="8" w:space="0" w:color="808080" w:themeColor="background1" w:themeShade="80"/>
            </w:tcBorders>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1 067</w:t>
            </w:r>
          </w:p>
        </w:tc>
      </w:tr>
      <w:tr w:rsidR="00036562" w:rsidRPr="00D74EA3" w:rsidTr="00A8415A">
        <w:trPr>
          <w:trHeight w:val="113"/>
        </w:trPr>
        <w:tc>
          <w:tcPr>
            <w:tcW w:w="4962" w:type="dxa"/>
            <w:tcBorders>
              <w:right w:val="single" w:sz="8" w:space="0" w:color="808080" w:themeColor="background1" w:themeShade="80"/>
            </w:tcBorders>
            <w:vAlign w:val="center"/>
          </w:tcPr>
          <w:p w:rsidR="00036562" w:rsidRPr="00D74EA3" w:rsidRDefault="00036562" w:rsidP="00A8415A">
            <w:pPr>
              <w:pStyle w:val="Intro"/>
              <w:jc w:val="left"/>
              <w:rPr>
                <w:b w:val="0"/>
                <w:sz w:val="12"/>
                <w:szCs w:val="12"/>
                <w:lang w:val="en-GB"/>
              </w:rPr>
            </w:pPr>
            <w:r w:rsidRPr="00D74EA3">
              <w:rPr>
                <w:b w:val="0"/>
                <w:sz w:val="12"/>
                <w:szCs w:val="12"/>
              </w:rPr>
              <w:t xml:space="preserve">     </w:t>
            </w:r>
            <w:proofErr w:type="spellStart"/>
            <w:r w:rsidRPr="00D74EA3">
              <w:rPr>
                <w:b w:val="0"/>
                <w:sz w:val="12"/>
                <w:szCs w:val="12"/>
              </w:rPr>
              <w:t>Revenus</w:t>
            </w:r>
            <w:proofErr w:type="spellEnd"/>
            <w:r w:rsidRPr="00D74EA3">
              <w:rPr>
                <w:b w:val="0"/>
                <w:sz w:val="12"/>
                <w:szCs w:val="12"/>
              </w:rPr>
              <w:t xml:space="preserve"> </w:t>
            </w:r>
            <w:proofErr w:type="spellStart"/>
            <w:r w:rsidRPr="00D74EA3">
              <w:rPr>
                <w:b w:val="0"/>
                <w:sz w:val="12"/>
                <w:szCs w:val="12"/>
              </w:rPr>
              <w:t>d’intérêts</w:t>
            </w:r>
            <w:proofErr w:type="spellEnd"/>
          </w:p>
        </w:tc>
        <w:tc>
          <w:tcPr>
            <w:tcW w:w="992" w:type="dxa"/>
            <w:shd w:val="clear" w:color="auto" w:fill="auto"/>
            <w:vAlign w:val="center"/>
          </w:tcPr>
          <w:p w:rsidR="00036562" w:rsidRPr="00D74EA3" w:rsidRDefault="00036562" w:rsidP="00A8415A">
            <w:pPr>
              <w:pStyle w:val="Intro"/>
              <w:keepNext/>
              <w:ind w:left="-242"/>
              <w:jc w:val="right"/>
              <w:outlineLvl w:val="3"/>
              <w:rPr>
                <w:b w:val="0"/>
                <w:sz w:val="12"/>
                <w:szCs w:val="12"/>
                <w:lang w:val="en-GB"/>
              </w:rPr>
            </w:pPr>
            <w:r w:rsidRPr="00D74EA3">
              <w:rPr>
                <w:b w:val="0"/>
                <w:sz w:val="12"/>
                <w:szCs w:val="12"/>
              </w:rPr>
              <w:t>1 850</w:t>
            </w:r>
          </w:p>
        </w:tc>
        <w:tc>
          <w:tcPr>
            <w:tcW w:w="992" w:type="dxa"/>
            <w:shd w:val="clear" w:color="auto" w:fill="auto"/>
            <w:vAlign w:val="center"/>
          </w:tcPr>
          <w:p w:rsidR="00036562" w:rsidRPr="00D74EA3" w:rsidRDefault="00036562" w:rsidP="00A8415A">
            <w:pPr>
              <w:pStyle w:val="Intro"/>
              <w:keepNext/>
              <w:ind w:left="-242"/>
              <w:jc w:val="right"/>
              <w:outlineLvl w:val="3"/>
              <w:rPr>
                <w:b w:val="0"/>
                <w:sz w:val="12"/>
                <w:szCs w:val="12"/>
                <w:lang w:val="en-GB"/>
              </w:rPr>
            </w:pPr>
            <w:r w:rsidRPr="00D74EA3">
              <w:rPr>
                <w:b w:val="0"/>
                <w:sz w:val="12"/>
                <w:szCs w:val="12"/>
              </w:rPr>
              <w:t>1 804</w:t>
            </w:r>
          </w:p>
        </w:tc>
        <w:tc>
          <w:tcPr>
            <w:tcW w:w="1134" w:type="dxa"/>
            <w:shd w:val="clear" w:color="auto" w:fill="auto"/>
            <w:vAlign w:val="center"/>
          </w:tcPr>
          <w:p w:rsidR="00036562" w:rsidRPr="00D74EA3" w:rsidRDefault="00036562" w:rsidP="00A8415A">
            <w:pPr>
              <w:pStyle w:val="Intro"/>
              <w:keepNext/>
              <w:ind w:left="-242"/>
              <w:jc w:val="right"/>
              <w:outlineLvl w:val="3"/>
              <w:rPr>
                <w:b w:val="0"/>
                <w:sz w:val="12"/>
                <w:szCs w:val="12"/>
                <w:lang w:val="en-GB"/>
              </w:rPr>
            </w:pPr>
            <w:r w:rsidRPr="00D74EA3">
              <w:rPr>
                <w:b w:val="0"/>
                <w:sz w:val="12"/>
                <w:szCs w:val="12"/>
              </w:rPr>
              <w:t>1 770</w:t>
            </w:r>
          </w:p>
        </w:tc>
        <w:tc>
          <w:tcPr>
            <w:tcW w:w="1134" w:type="dxa"/>
            <w:shd w:val="clear" w:color="auto" w:fill="auto"/>
            <w:vAlign w:val="center"/>
          </w:tcPr>
          <w:p w:rsidR="00036562" w:rsidRPr="00D74EA3" w:rsidRDefault="00036562" w:rsidP="00A8415A">
            <w:pPr>
              <w:pStyle w:val="Intro"/>
              <w:keepNext/>
              <w:ind w:left="-242"/>
              <w:jc w:val="right"/>
              <w:outlineLvl w:val="3"/>
              <w:rPr>
                <w:b w:val="0"/>
                <w:sz w:val="12"/>
                <w:szCs w:val="12"/>
                <w:lang w:val="en-GB"/>
              </w:rPr>
            </w:pPr>
            <w:r w:rsidRPr="00D74EA3">
              <w:rPr>
                <w:b w:val="0"/>
                <w:sz w:val="12"/>
                <w:szCs w:val="12"/>
              </w:rPr>
              <w:t>1 725</w:t>
            </w:r>
          </w:p>
        </w:tc>
        <w:tc>
          <w:tcPr>
            <w:tcW w:w="1134" w:type="dxa"/>
            <w:shd w:val="clear" w:color="auto" w:fill="D9D9D9" w:themeFill="background1" w:themeFillShade="D9"/>
            <w:vAlign w:val="center"/>
          </w:tcPr>
          <w:p w:rsidR="00036562" w:rsidRPr="00D74EA3" w:rsidRDefault="00036562" w:rsidP="00A8415A">
            <w:pPr>
              <w:pStyle w:val="Intro"/>
              <w:keepNext/>
              <w:ind w:left="-242"/>
              <w:jc w:val="right"/>
              <w:outlineLvl w:val="3"/>
              <w:rPr>
                <w:b w:val="0"/>
                <w:sz w:val="12"/>
                <w:szCs w:val="12"/>
                <w:lang w:val="en-GB"/>
              </w:rPr>
            </w:pPr>
            <w:r w:rsidRPr="00D74EA3">
              <w:rPr>
                <w:b w:val="0"/>
                <w:sz w:val="12"/>
                <w:szCs w:val="12"/>
              </w:rPr>
              <w:t xml:space="preserve">1 </w:t>
            </w:r>
            <w:r>
              <w:rPr>
                <w:b w:val="0"/>
                <w:sz w:val="12"/>
                <w:szCs w:val="12"/>
              </w:rPr>
              <w:t>707</w:t>
            </w:r>
          </w:p>
        </w:tc>
      </w:tr>
      <w:tr w:rsidR="00036562" w:rsidRPr="00D74EA3" w:rsidTr="00A8415A">
        <w:trPr>
          <w:trHeight w:val="113"/>
        </w:trPr>
        <w:tc>
          <w:tcPr>
            <w:tcW w:w="4962" w:type="dxa"/>
            <w:tcBorders>
              <w:right w:val="single" w:sz="8" w:space="0" w:color="808080" w:themeColor="background1" w:themeShade="80"/>
            </w:tcBorders>
            <w:vAlign w:val="center"/>
          </w:tcPr>
          <w:p w:rsidR="00036562" w:rsidRPr="00D74EA3" w:rsidRDefault="00036562" w:rsidP="00A8415A">
            <w:pPr>
              <w:pStyle w:val="Intro"/>
              <w:jc w:val="left"/>
              <w:rPr>
                <w:b w:val="0"/>
                <w:sz w:val="12"/>
                <w:szCs w:val="12"/>
                <w:lang w:val="en-GB"/>
              </w:rPr>
            </w:pPr>
            <w:r w:rsidRPr="00D74EA3">
              <w:rPr>
                <w:b w:val="0"/>
                <w:sz w:val="12"/>
                <w:szCs w:val="12"/>
              </w:rPr>
              <w:t xml:space="preserve">     Charges </w:t>
            </w:r>
            <w:proofErr w:type="spellStart"/>
            <w:r w:rsidRPr="00D74EA3">
              <w:rPr>
                <w:b w:val="0"/>
                <w:sz w:val="12"/>
                <w:szCs w:val="12"/>
              </w:rPr>
              <w:t>d’intérêts</w:t>
            </w:r>
            <w:proofErr w:type="spellEnd"/>
          </w:p>
        </w:tc>
        <w:tc>
          <w:tcPr>
            <w:tcW w:w="992" w:type="dxa"/>
            <w:shd w:val="clear" w:color="auto" w:fill="auto"/>
            <w:vAlign w:val="center"/>
          </w:tcPr>
          <w:p w:rsidR="00036562" w:rsidRPr="00D74EA3" w:rsidRDefault="00036562" w:rsidP="00A8415A">
            <w:pPr>
              <w:pStyle w:val="Intro"/>
              <w:keepNext/>
              <w:jc w:val="right"/>
              <w:outlineLvl w:val="3"/>
              <w:rPr>
                <w:b w:val="0"/>
                <w:sz w:val="12"/>
                <w:szCs w:val="12"/>
                <w:lang w:val="en-GB"/>
              </w:rPr>
            </w:pPr>
            <w:r w:rsidRPr="00D74EA3">
              <w:rPr>
                <w:b w:val="0"/>
                <w:sz w:val="12"/>
                <w:szCs w:val="12"/>
              </w:rPr>
              <w:t>-759</w:t>
            </w:r>
          </w:p>
        </w:tc>
        <w:tc>
          <w:tcPr>
            <w:tcW w:w="992" w:type="dxa"/>
            <w:shd w:val="clear" w:color="auto" w:fill="auto"/>
            <w:vAlign w:val="center"/>
          </w:tcPr>
          <w:p w:rsidR="00036562" w:rsidRPr="00D74EA3" w:rsidRDefault="00036562" w:rsidP="00A8415A">
            <w:pPr>
              <w:pStyle w:val="Intro"/>
              <w:keepNext/>
              <w:jc w:val="right"/>
              <w:outlineLvl w:val="3"/>
              <w:rPr>
                <w:b w:val="0"/>
                <w:sz w:val="12"/>
                <w:szCs w:val="12"/>
                <w:lang w:val="en-GB"/>
              </w:rPr>
            </w:pPr>
            <w:r w:rsidRPr="00D74EA3">
              <w:rPr>
                <w:b w:val="0"/>
                <w:sz w:val="12"/>
                <w:szCs w:val="12"/>
              </w:rPr>
              <w:t>-712</w:t>
            </w:r>
          </w:p>
        </w:tc>
        <w:tc>
          <w:tcPr>
            <w:tcW w:w="1134" w:type="dxa"/>
            <w:shd w:val="clear" w:color="auto" w:fill="auto"/>
            <w:vAlign w:val="center"/>
          </w:tcPr>
          <w:p w:rsidR="00036562" w:rsidRPr="00D74EA3" w:rsidRDefault="00036562" w:rsidP="00A8415A">
            <w:pPr>
              <w:pStyle w:val="Intro"/>
              <w:keepNext/>
              <w:jc w:val="right"/>
              <w:outlineLvl w:val="3"/>
              <w:rPr>
                <w:b w:val="0"/>
                <w:sz w:val="12"/>
                <w:szCs w:val="12"/>
                <w:lang w:val="en-GB"/>
              </w:rPr>
            </w:pPr>
            <w:r w:rsidRPr="00D74EA3">
              <w:rPr>
                <w:b w:val="0"/>
                <w:sz w:val="12"/>
                <w:szCs w:val="12"/>
              </w:rPr>
              <w:t>-708</w:t>
            </w:r>
          </w:p>
        </w:tc>
        <w:tc>
          <w:tcPr>
            <w:tcW w:w="1134" w:type="dxa"/>
            <w:shd w:val="clear" w:color="auto" w:fill="auto"/>
            <w:vAlign w:val="center"/>
          </w:tcPr>
          <w:p w:rsidR="00036562" w:rsidRPr="00D74EA3" w:rsidRDefault="00036562" w:rsidP="00A8415A">
            <w:pPr>
              <w:pStyle w:val="Intro"/>
              <w:keepNext/>
              <w:jc w:val="right"/>
              <w:outlineLvl w:val="3"/>
              <w:rPr>
                <w:b w:val="0"/>
                <w:sz w:val="12"/>
                <w:szCs w:val="12"/>
                <w:lang w:val="en-GB"/>
              </w:rPr>
            </w:pPr>
            <w:r w:rsidRPr="00D74EA3">
              <w:rPr>
                <w:b w:val="0"/>
                <w:sz w:val="12"/>
                <w:szCs w:val="12"/>
              </w:rPr>
              <w:t>-659</w:t>
            </w:r>
          </w:p>
        </w:tc>
        <w:tc>
          <w:tcPr>
            <w:tcW w:w="1134" w:type="dxa"/>
            <w:shd w:val="clear" w:color="auto" w:fill="D9D9D9" w:themeFill="background1" w:themeFillShade="D9"/>
            <w:vAlign w:val="center"/>
          </w:tcPr>
          <w:p w:rsidR="00036562" w:rsidRPr="00D74EA3" w:rsidRDefault="00036562" w:rsidP="00A8415A">
            <w:pPr>
              <w:pStyle w:val="Intro"/>
              <w:keepNext/>
              <w:jc w:val="right"/>
              <w:outlineLvl w:val="3"/>
              <w:rPr>
                <w:b w:val="0"/>
                <w:sz w:val="12"/>
                <w:szCs w:val="12"/>
                <w:lang w:val="en-GB"/>
              </w:rPr>
            </w:pPr>
            <w:r w:rsidRPr="00D74EA3">
              <w:rPr>
                <w:b w:val="0"/>
                <w:sz w:val="12"/>
                <w:szCs w:val="12"/>
              </w:rPr>
              <w:t>-</w:t>
            </w:r>
            <w:r>
              <w:rPr>
                <w:b w:val="0"/>
                <w:sz w:val="12"/>
                <w:szCs w:val="12"/>
              </w:rPr>
              <w:t>639</w:t>
            </w:r>
          </w:p>
        </w:tc>
      </w:tr>
      <w:tr w:rsidR="00036562" w:rsidRPr="00D74EA3" w:rsidTr="00A8415A">
        <w:trPr>
          <w:trHeight w:val="284"/>
        </w:trPr>
        <w:tc>
          <w:tcPr>
            <w:tcW w:w="4962" w:type="dxa"/>
            <w:tcBorders>
              <w:right w:val="single" w:sz="8" w:space="0" w:color="808080" w:themeColor="background1" w:themeShade="80"/>
            </w:tcBorders>
            <w:vAlign w:val="center"/>
          </w:tcPr>
          <w:p w:rsidR="00036562" w:rsidRPr="00725FA5" w:rsidRDefault="00036562" w:rsidP="00A8415A">
            <w:pPr>
              <w:rPr>
                <w:rFonts w:ascii="Arial" w:hAnsi="Arial" w:cs="Arial"/>
                <w:sz w:val="14"/>
                <w:szCs w:val="14"/>
                <w:lang w:val="fr-FR"/>
              </w:rPr>
            </w:pPr>
            <w:r w:rsidRPr="00725FA5">
              <w:rPr>
                <w:rFonts w:ascii="Arial" w:hAnsi="Arial" w:cs="Arial"/>
                <w:sz w:val="14"/>
                <w:szCs w:val="14"/>
                <w:lang w:val="fr-FR"/>
              </w:rPr>
              <w:t>Assurance non-vie (avant réassurance)</w:t>
            </w:r>
          </w:p>
        </w:tc>
        <w:tc>
          <w:tcPr>
            <w:tcW w:w="992"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167</w:t>
            </w:r>
          </w:p>
        </w:tc>
        <w:tc>
          <w:tcPr>
            <w:tcW w:w="992"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155</w:t>
            </w:r>
          </w:p>
        </w:tc>
        <w:tc>
          <w:tcPr>
            <w:tcW w:w="1134"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142</w:t>
            </w:r>
          </w:p>
        </w:tc>
        <w:tc>
          <w:tcPr>
            <w:tcW w:w="1134"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147</w:t>
            </w:r>
          </w:p>
        </w:tc>
        <w:tc>
          <w:tcPr>
            <w:tcW w:w="1134" w:type="dxa"/>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145</w:t>
            </w:r>
          </w:p>
        </w:tc>
      </w:tr>
      <w:tr w:rsidR="00036562" w:rsidRPr="00D74EA3" w:rsidTr="00A8415A">
        <w:trPr>
          <w:trHeight w:val="113"/>
        </w:trPr>
        <w:tc>
          <w:tcPr>
            <w:tcW w:w="4962" w:type="dxa"/>
            <w:tcBorders>
              <w:right w:val="single" w:sz="8" w:space="0" w:color="808080" w:themeColor="background1" w:themeShade="80"/>
            </w:tcBorders>
            <w:vAlign w:val="center"/>
          </w:tcPr>
          <w:p w:rsidR="00036562" w:rsidRPr="00D74EA3" w:rsidRDefault="00036562" w:rsidP="00A8415A">
            <w:pPr>
              <w:ind w:firstLineChars="125" w:firstLine="150"/>
              <w:rPr>
                <w:rFonts w:ascii="Arial" w:hAnsi="Arial" w:cs="Arial"/>
                <w:i/>
                <w:iCs/>
                <w:sz w:val="12"/>
                <w:szCs w:val="12"/>
              </w:rPr>
            </w:pPr>
            <w:r w:rsidRPr="00D74EA3">
              <w:rPr>
                <w:rFonts w:ascii="Arial" w:hAnsi="Arial" w:cs="Arial"/>
                <w:i/>
                <w:iCs/>
                <w:sz w:val="12"/>
                <w:szCs w:val="12"/>
              </w:rPr>
              <w:t xml:space="preserve">Primes </w:t>
            </w:r>
            <w:proofErr w:type="spellStart"/>
            <w:r w:rsidRPr="00D74EA3">
              <w:rPr>
                <w:rFonts w:ascii="Arial" w:hAnsi="Arial" w:cs="Arial"/>
                <w:i/>
                <w:iCs/>
                <w:sz w:val="12"/>
                <w:szCs w:val="12"/>
              </w:rPr>
              <w:t>acquises</w:t>
            </w:r>
            <w:proofErr w:type="spellEnd"/>
          </w:p>
        </w:tc>
        <w:tc>
          <w:tcPr>
            <w:tcW w:w="992" w:type="dxa"/>
            <w:shd w:val="clear" w:color="auto" w:fill="auto"/>
            <w:vAlign w:val="center"/>
          </w:tcPr>
          <w:p w:rsidR="00036562" w:rsidRPr="00D74EA3" w:rsidRDefault="00036562" w:rsidP="00A8415A">
            <w:pPr>
              <w:pStyle w:val="Intro"/>
              <w:jc w:val="right"/>
              <w:rPr>
                <w:b w:val="0"/>
                <w:i/>
                <w:sz w:val="12"/>
                <w:szCs w:val="12"/>
                <w:lang w:val="en-GB"/>
              </w:rPr>
            </w:pPr>
            <w:r w:rsidRPr="00D74EA3">
              <w:rPr>
                <w:b w:val="0"/>
                <w:i/>
                <w:sz w:val="12"/>
                <w:szCs w:val="12"/>
              </w:rPr>
              <w:t>320</w:t>
            </w:r>
          </w:p>
        </w:tc>
        <w:tc>
          <w:tcPr>
            <w:tcW w:w="992" w:type="dxa"/>
            <w:shd w:val="clear" w:color="auto" w:fill="auto"/>
            <w:vAlign w:val="center"/>
          </w:tcPr>
          <w:p w:rsidR="00036562" w:rsidRPr="00D74EA3" w:rsidRDefault="00036562" w:rsidP="00A8415A">
            <w:pPr>
              <w:pStyle w:val="Intro"/>
              <w:jc w:val="right"/>
              <w:rPr>
                <w:b w:val="0"/>
                <w:i/>
                <w:sz w:val="12"/>
                <w:szCs w:val="12"/>
                <w:lang w:val="en-GB"/>
              </w:rPr>
            </w:pPr>
            <w:r w:rsidRPr="00D74EA3">
              <w:rPr>
                <w:b w:val="0"/>
                <w:i/>
                <w:sz w:val="12"/>
                <w:szCs w:val="12"/>
              </w:rPr>
              <w:t>326</w:t>
            </w:r>
          </w:p>
        </w:tc>
        <w:tc>
          <w:tcPr>
            <w:tcW w:w="1134" w:type="dxa"/>
            <w:shd w:val="clear" w:color="auto" w:fill="auto"/>
            <w:vAlign w:val="center"/>
          </w:tcPr>
          <w:p w:rsidR="00036562" w:rsidRPr="00D74EA3" w:rsidRDefault="00036562" w:rsidP="00A8415A">
            <w:pPr>
              <w:pStyle w:val="Intro"/>
              <w:jc w:val="right"/>
              <w:rPr>
                <w:b w:val="0"/>
                <w:i/>
                <w:sz w:val="12"/>
                <w:szCs w:val="12"/>
                <w:lang w:val="en-GB"/>
              </w:rPr>
            </w:pPr>
            <w:r w:rsidRPr="00D74EA3">
              <w:rPr>
                <w:b w:val="0"/>
                <w:i/>
                <w:sz w:val="12"/>
                <w:szCs w:val="12"/>
              </w:rPr>
              <w:t>335</w:t>
            </w:r>
          </w:p>
        </w:tc>
        <w:tc>
          <w:tcPr>
            <w:tcW w:w="1134" w:type="dxa"/>
            <w:shd w:val="clear" w:color="auto" w:fill="auto"/>
            <w:vAlign w:val="center"/>
          </w:tcPr>
          <w:p w:rsidR="00036562" w:rsidRPr="00D74EA3" w:rsidRDefault="00036562" w:rsidP="00A8415A">
            <w:pPr>
              <w:pStyle w:val="Intro"/>
              <w:jc w:val="right"/>
              <w:rPr>
                <w:b w:val="0"/>
                <w:i/>
                <w:sz w:val="12"/>
                <w:szCs w:val="12"/>
                <w:lang w:val="en-GB"/>
              </w:rPr>
            </w:pPr>
            <w:r w:rsidRPr="00D74EA3">
              <w:rPr>
                <w:b w:val="0"/>
                <w:i/>
                <w:sz w:val="12"/>
                <w:szCs w:val="12"/>
              </w:rPr>
              <w:t>338</w:t>
            </w:r>
          </w:p>
        </w:tc>
        <w:tc>
          <w:tcPr>
            <w:tcW w:w="1134" w:type="dxa"/>
            <w:shd w:val="clear" w:color="auto" w:fill="D9D9D9" w:themeFill="background1" w:themeFillShade="D9"/>
            <w:vAlign w:val="center"/>
          </w:tcPr>
          <w:p w:rsidR="00036562" w:rsidRPr="00D74EA3" w:rsidRDefault="00036562" w:rsidP="00A8415A">
            <w:pPr>
              <w:pStyle w:val="Intro"/>
              <w:jc w:val="right"/>
              <w:rPr>
                <w:b w:val="0"/>
                <w:i/>
                <w:sz w:val="12"/>
                <w:szCs w:val="12"/>
                <w:lang w:val="en-GB"/>
              </w:rPr>
            </w:pPr>
            <w:r w:rsidRPr="00D74EA3">
              <w:rPr>
                <w:b w:val="0"/>
                <w:i/>
                <w:sz w:val="12"/>
                <w:szCs w:val="12"/>
              </w:rPr>
              <w:t>341</w:t>
            </w:r>
          </w:p>
        </w:tc>
      </w:tr>
      <w:tr w:rsidR="00036562" w:rsidRPr="00D74EA3" w:rsidTr="00A8415A">
        <w:trPr>
          <w:trHeight w:val="113"/>
        </w:trPr>
        <w:tc>
          <w:tcPr>
            <w:tcW w:w="4962" w:type="dxa"/>
            <w:tcBorders>
              <w:right w:val="single" w:sz="8" w:space="0" w:color="808080" w:themeColor="background1" w:themeShade="80"/>
            </w:tcBorders>
            <w:vAlign w:val="center"/>
          </w:tcPr>
          <w:p w:rsidR="00036562" w:rsidRPr="00D74EA3" w:rsidRDefault="00036562" w:rsidP="00A8415A">
            <w:pPr>
              <w:ind w:firstLineChars="125" w:firstLine="150"/>
              <w:rPr>
                <w:rFonts w:ascii="Arial" w:hAnsi="Arial" w:cs="Arial"/>
                <w:i/>
                <w:iCs/>
                <w:sz w:val="12"/>
                <w:szCs w:val="12"/>
              </w:rPr>
            </w:pPr>
            <w:r w:rsidRPr="00D74EA3">
              <w:rPr>
                <w:rFonts w:ascii="Arial" w:hAnsi="Arial" w:cs="Arial"/>
                <w:i/>
                <w:iCs/>
                <w:sz w:val="12"/>
                <w:szCs w:val="12"/>
              </w:rPr>
              <w:t>Charges techniques</w:t>
            </w:r>
          </w:p>
        </w:tc>
        <w:tc>
          <w:tcPr>
            <w:tcW w:w="992" w:type="dxa"/>
            <w:shd w:val="clear" w:color="auto" w:fill="auto"/>
            <w:vAlign w:val="center"/>
          </w:tcPr>
          <w:p w:rsidR="00036562" w:rsidRPr="00D74EA3" w:rsidRDefault="00036562" w:rsidP="00A8415A">
            <w:pPr>
              <w:pStyle w:val="Intro"/>
              <w:jc w:val="right"/>
              <w:rPr>
                <w:b w:val="0"/>
                <w:i/>
                <w:sz w:val="12"/>
                <w:szCs w:val="12"/>
                <w:lang w:val="en-GB"/>
              </w:rPr>
            </w:pPr>
            <w:r w:rsidRPr="00D74EA3">
              <w:rPr>
                <w:b w:val="0"/>
                <w:i/>
                <w:sz w:val="12"/>
                <w:szCs w:val="12"/>
              </w:rPr>
              <w:t>-153</w:t>
            </w:r>
          </w:p>
        </w:tc>
        <w:tc>
          <w:tcPr>
            <w:tcW w:w="992" w:type="dxa"/>
            <w:shd w:val="clear" w:color="auto" w:fill="auto"/>
            <w:vAlign w:val="center"/>
          </w:tcPr>
          <w:p w:rsidR="00036562" w:rsidRPr="00D74EA3" w:rsidRDefault="00036562" w:rsidP="00A8415A">
            <w:pPr>
              <w:pStyle w:val="Intro"/>
              <w:jc w:val="right"/>
              <w:rPr>
                <w:b w:val="0"/>
                <w:i/>
                <w:sz w:val="12"/>
                <w:szCs w:val="12"/>
                <w:lang w:val="en-GB"/>
              </w:rPr>
            </w:pPr>
            <w:r w:rsidRPr="00D74EA3">
              <w:rPr>
                <w:b w:val="0"/>
                <w:i/>
                <w:sz w:val="12"/>
                <w:szCs w:val="12"/>
              </w:rPr>
              <w:t>-172</w:t>
            </w:r>
          </w:p>
        </w:tc>
        <w:tc>
          <w:tcPr>
            <w:tcW w:w="1134" w:type="dxa"/>
            <w:shd w:val="clear" w:color="auto" w:fill="auto"/>
            <w:vAlign w:val="center"/>
          </w:tcPr>
          <w:p w:rsidR="00036562" w:rsidRPr="00D74EA3" w:rsidRDefault="00036562" w:rsidP="00A8415A">
            <w:pPr>
              <w:pStyle w:val="Intro"/>
              <w:jc w:val="right"/>
              <w:rPr>
                <w:b w:val="0"/>
                <w:i/>
                <w:sz w:val="12"/>
                <w:szCs w:val="12"/>
                <w:lang w:val="en-GB"/>
              </w:rPr>
            </w:pPr>
            <w:r w:rsidRPr="00D74EA3">
              <w:rPr>
                <w:b w:val="0"/>
                <w:i/>
                <w:sz w:val="12"/>
                <w:szCs w:val="12"/>
              </w:rPr>
              <w:t>-193</w:t>
            </w:r>
          </w:p>
        </w:tc>
        <w:tc>
          <w:tcPr>
            <w:tcW w:w="1134" w:type="dxa"/>
            <w:shd w:val="clear" w:color="auto" w:fill="auto"/>
            <w:vAlign w:val="center"/>
          </w:tcPr>
          <w:p w:rsidR="00036562" w:rsidRPr="00D74EA3" w:rsidRDefault="00036562" w:rsidP="00A8415A">
            <w:pPr>
              <w:pStyle w:val="Intro"/>
              <w:jc w:val="right"/>
              <w:rPr>
                <w:b w:val="0"/>
                <w:i/>
                <w:sz w:val="12"/>
                <w:szCs w:val="12"/>
                <w:lang w:val="en-GB"/>
              </w:rPr>
            </w:pPr>
            <w:r w:rsidRPr="00D74EA3">
              <w:rPr>
                <w:b w:val="0"/>
                <w:i/>
                <w:sz w:val="12"/>
                <w:szCs w:val="12"/>
              </w:rPr>
              <w:t>-191</w:t>
            </w:r>
          </w:p>
        </w:tc>
        <w:tc>
          <w:tcPr>
            <w:tcW w:w="1134" w:type="dxa"/>
            <w:shd w:val="clear" w:color="auto" w:fill="D9D9D9" w:themeFill="background1" w:themeFillShade="D9"/>
            <w:vAlign w:val="center"/>
          </w:tcPr>
          <w:p w:rsidR="00036562" w:rsidRPr="00D74EA3" w:rsidRDefault="00036562" w:rsidP="00A8415A">
            <w:pPr>
              <w:pStyle w:val="Intro"/>
              <w:jc w:val="right"/>
              <w:rPr>
                <w:b w:val="0"/>
                <w:i/>
                <w:sz w:val="12"/>
                <w:szCs w:val="12"/>
                <w:lang w:val="en-GB"/>
              </w:rPr>
            </w:pPr>
            <w:r w:rsidRPr="00D74EA3">
              <w:rPr>
                <w:b w:val="0"/>
                <w:i/>
                <w:sz w:val="12"/>
                <w:szCs w:val="12"/>
              </w:rPr>
              <w:t>-196</w:t>
            </w:r>
          </w:p>
        </w:tc>
      </w:tr>
      <w:tr w:rsidR="00036562" w:rsidRPr="00D74EA3" w:rsidTr="00A8415A">
        <w:trPr>
          <w:trHeight w:val="284"/>
        </w:trPr>
        <w:tc>
          <w:tcPr>
            <w:tcW w:w="4962" w:type="dxa"/>
            <w:tcBorders>
              <w:right w:val="single" w:sz="8" w:space="0" w:color="808080" w:themeColor="background1" w:themeShade="80"/>
            </w:tcBorders>
            <w:vAlign w:val="center"/>
          </w:tcPr>
          <w:p w:rsidR="00036562" w:rsidRPr="00D74EA3" w:rsidRDefault="00036562" w:rsidP="00A8415A">
            <w:pPr>
              <w:rPr>
                <w:rFonts w:ascii="Arial" w:hAnsi="Arial" w:cs="Arial"/>
                <w:sz w:val="14"/>
                <w:szCs w:val="14"/>
              </w:rPr>
            </w:pPr>
            <w:r w:rsidRPr="00D74EA3">
              <w:rPr>
                <w:rFonts w:ascii="Arial" w:hAnsi="Arial" w:cs="Arial"/>
                <w:sz w:val="14"/>
                <w:szCs w:val="14"/>
              </w:rPr>
              <w:t>Assurance vie (</w:t>
            </w:r>
            <w:proofErr w:type="spellStart"/>
            <w:r w:rsidRPr="00D74EA3">
              <w:rPr>
                <w:rFonts w:ascii="Arial" w:hAnsi="Arial" w:cs="Arial"/>
                <w:sz w:val="14"/>
                <w:szCs w:val="14"/>
              </w:rPr>
              <w:t>avant</w:t>
            </w:r>
            <w:proofErr w:type="spellEnd"/>
            <w:r w:rsidRPr="00D74EA3">
              <w:rPr>
                <w:rFonts w:ascii="Arial" w:hAnsi="Arial" w:cs="Arial"/>
                <w:sz w:val="14"/>
                <w:szCs w:val="14"/>
              </w:rPr>
              <w:t xml:space="preserve"> </w:t>
            </w:r>
            <w:proofErr w:type="spellStart"/>
            <w:r w:rsidRPr="00D74EA3">
              <w:rPr>
                <w:rFonts w:ascii="Arial" w:hAnsi="Arial" w:cs="Arial"/>
                <w:sz w:val="14"/>
                <w:szCs w:val="14"/>
              </w:rPr>
              <w:t>réassurance</w:t>
            </w:r>
            <w:proofErr w:type="spellEnd"/>
            <w:r w:rsidRPr="00D74EA3">
              <w:rPr>
                <w:rFonts w:ascii="Arial" w:hAnsi="Arial" w:cs="Arial"/>
                <w:sz w:val="14"/>
                <w:szCs w:val="14"/>
              </w:rPr>
              <w:t>)</w:t>
            </w:r>
          </w:p>
        </w:tc>
        <w:tc>
          <w:tcPr>
            <w:tcW w:w="992"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-48</w:t>
            </w:r>
          </w:p>
        </w:tc>
        <w:tc>
          <w:tcPr>
            <w:tcW w:w="992"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-51</w:t>
            </w:r>
          </w:p>
        </w:tc>
        <w:tc>
          <w:tcPr>
            <w:tcW w:w="1134"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-51</w:t>
            </w:r>
          </w:p>
        </w:tc>
        <w:tc>
          <w:tcPr>
            <w:tcW w:w="1134"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-51</w:t>
            </w:r>
          </w:p>
        </w:tc>
        <w:tc>
          <w:tcPr>
            <w:tcW w:w="1134" w:type="dxa"/>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-35</w:t>
            </w:r>
          </w:p>
        </w:tc>
      </w:tr>
      <w:tr w:rsidR="00036562" w:rsidRPr="00D74EA3" w:rsidTr="00A8415A">
        <w:trPr>
          <w:trHeight w:val="113"/>
        </w:trPr>
        <w:tc>
          <w:tcPr>
            <w:tcW w:w="4962" w:type="dxa"/>
            <w:tcBorders>
              <w:right w:val="single" w:sz="8" w:space="0" w:color="808080" w:themeColor="background1" w:themeShade="80"/>
            </w:tcBorders>
            <w:vAlign w:val="center"/>
          </w:tcPr>
          <w:p w:rsidR="00036562" w:rsidRPr="00D74EA3" w:rsidRDefault="00036562" w:rsidP="00A8415A">
            <w:pPr>
              <w:ind w:firstLineChars="125" w:firstLine="150"/>
              <w:rPr>
                <w:rFonts w:ascii="Arial" w:hAnsi="Arial" w:cs="Arial"/>
                <w:i/>
                <w:iCs/>
                <w:sz w:val="12"/>
                <w:szCs w:val="12"/>
              </w:rPr>
            </w:pPr>
            <w:r w:rsidRPr="00D74EA3">
              <w:rPr>
                <w:rFonts w:ascii="Arial" w:hAnsi="Arial" w:cs="Arial"/>
                <w:i/>
                <w:iCs/>
                <w:sz w:val="12"/>
                <w:szCs w:val="12"/>
              </w:rPr>
              <w:t xml:space="preserve">Primes </w:t>
            </w:r>
            <w:proofErr w:type="spellStart"/>
            <w:r w:rsidRPr="00D74EA3">
              <w:rPr>
                <w:rFonts w:ascii="Arial" w:hAnsi="Arial" w:cs="Arial"/>
                <w:i/>
                <w:iCs/>
                <w:sz w:val="12"/>
                <w:szCs w:val="12"/>
              </w:rPr>
              <w:t>acquises</w:t>
            </w:r>
            <w:proofErr w:type="spellEnd"/>
          </w:p>
        </w:tc>
        <w:tc>
          <w:tcPr>
            <w:tcW w:w="992" w:type="dxa"/>
            <w:shd w:val="clear" w:color="auto" w:fill="auto"/>
            <w:vAlign w:val="center"/>
          </w:tcPr>
          <w:p w:rsidR="00036562" w:rsidRPr="00D74EA3" w:rsidRDefault="00036562" w:rsidP="00A8415A">
            <w:pPr>
              <w:pStyle w:val="Intro"/>
              <w:jc w:val="right"/>
              <w:rPr>
                <w:b w:val="0"/>
                <w:i/>
                <w:sz w:val="12"/>
                <w:szCs w:val="12"/>
                <w:lang w:val="en-GB"/>
              </w:rPr>
            </w:pPr>
            <w:r w:rsidRPr="00D74EA3">
              <w:rPr>
                <w:b w:val="0"/>
                <w:i/>
                <w:sz w:val="12"/>
                <w:szCs w:val="12"/>
              </w:rPr>
              <w:t>302</w:t>
            </w:r>
          </w:p>
        </w:tc>
        <w:tc>
          <w:tcPr>
            <w:tcW w:w="992" w:type="dxa"/>
            <w:shd w:val="clear" w:color="auto" w:fill="auto"/>
            <w:vAlign w:val="center"/>
          </w:tcPr>
          <w:p w:rsidR="00036562" w:rsidRPr="00D74EA3" w:rsidRDefault="00036562" w:rsidP="00A8415A">
            <w:pPr>
              <w:pStyle w:val="Intro"/>
              <w:jc w:val="right"/>
              <w:rPr>
                <w:b w:val="0"/>
                <w:i/>
                <w:sz w:val="12"/>
                <w:szCs w:val="12"/>
                <w:lang w:val="en-GB"/>
              </w:rPr>
            </w:pPr>
            <w:r w:rsidRPr="00D74EA3">
              <w:rPr>
                <w:b w:val="0"/>
                <w:i/>
                <w:sz w:val="12"/>
                <w:szCs w:val="12"/>
              </w:rPr>
              <w:t>265</w:t>
            </w:r>
          </w:p>
        </w:tc>
        <w:tc>
          <w:tcPr>
            <w:tcW w:w="1134" w:type="dxa"/>
            <w:shd w:val="clear" w:color="auto" w:fill="auto"/>
            <w:vAlign w:val="center"/>
          </w:tcPr>
          <w:p w:rsidR="00036562" w:rsidRPr="00D74EA3" w:rsidRDefault="00036562" w:rsidP="00A8415A">
            <w:pPr>
              <w:pStyle w:val="Intro"/>
              <w:jc w:val="right"/>
              <w:rPr>
                <w:b w:val="0"/>
                <w:i/>
                <w:sz w:val="12"/>
                <w:szCs w:val="12"/>
                <w:lang w:val="en-GB"/>
              </w:rPr>
            </w:pPr>
            <w:r w:rsidRPr="00D74EA3">
              <w:rPr>
                <w:b w:val="0"/>
                <w:i/>
                <w:sz w:val="12"/>
                <w:szCs w:val="12"/>
              </w:rPr>
              <w:t>289</w:t>
            </w:r>
          </w:p>
        </w:tc>
        <w:tc>
          <w:tcPr>
            <w:tcW w:w="1134" w:type="dxa"/>
            <w:shd w:val="clear" w:color="auto" w:fill="auto"/>
            <w:vAlign w:val="center"/>
          </w:tcPr>
          <w:p w:rsidR="00036562" w:rsidRPr="00D74EA3" w:rsidRDefault="00036562" w:rsidP="00A8415A">
            <w:pPr>
              <w:pStyle w:val="Intro"/>
              <w:jc w:val="right"/>
              <w:rPr>
                <w:b w:val="0"/>
                <w:i/>
                <w:sz w:val="12"/>
                <w:szCs w:val="12"/>
                <w:lang w:val="en-GB"/>
              </w:rPr>
            </w:pPr>
            <w:r w:rsidRPr="00D74EA3">
              <w:rPr>
                <w:b w:val="0"/>
                <w:i/>
                <w:sz w:val="12"/>
                <w:szCs w:val="12"/>
              </w:rPr>
              <w:t>445</w:t>
            </w:r>
          </w:p>
        </w:tc>
        <w:tc>
          <w:tcPr>
            <w:tcW w:w="1134" w:type="dxa"/>
            <w:shd w:val="clear" w:color="auto" w:fill="D9D9D9" w:themeFill="background1" w:themeFillShade="D9"/>
            <w:vAlign w:val="center"/>
          </w:tcPr>
          <w:p w:rsidR="00036562" w:rsidRPr="00D74EA3" w:rsidRDefault="00036562" w:rsidP="00A8415A">
            <w:pPr>
              <w:pStyle w:val="Intro"/>
              <w:jc w:val="right"/>
              <w:rPr>
                <w:b w:val="0"/>
                <w:i/>
                <w:sz w:val="12"/>
                <w:szCs w:val="12"/>
                <w:lang w:val="en-GB"/>
              </w:rPr>
            </w:pPr>
            <w:r w:rsidRPr="00D74EA3">
              <w:rPr>
                <w:b w:val="0"/>
                <w:i/>
                <w:sz w:val="12"/>
                <w:szCs w:val="12"/>
              </w:rPr>
              <w:t>426</w:t>
            </w:r>
          </w:p>
        </w:tc>
      </w:tr>
      <w:tr w:rsidR="00036562" w:rsidRPr="00D74EA3" w:rsidTr="00A8415A">
        <w:trPr>
          <w:trHeight w:val="113"/>
        </w:trPr>
        <w:tc>
          <w:tcPr>
            <w:tcW w:w="4962" w:type="dxa"/>
            <w:tcBorders>
              <w:right w:val="single" w:sz="8" w:space="0" w:color="808080" w:themeColor="background1" w:themeShade="80"/>
            </w:tcBorders>
            <w:vAlign w:val="center"/>
          </w:tcPr>
          <w:p w:rsidR="00036562" w:rsidRPr="00D74EA3" w:rsidRDefault="00036562" w:rsidP="00A8415A">
            <w:pPr>
              <w:ind w:firstLineChars="125" w:firstLine="150"/>
              <w:rPr>
                <w:rFonts w:ascii="Arial" w:hAnsi="Arial" w:cs="Arial"/>
                <w:i/>
                <w:iCs/>
                <w:sz w:val="12"/>
                <w:szCs w:val="12"/>
              </w:rPr>
            </w:pPr>
            <w:r w:rsidRPr="00D74EA3">
              <w:rPr>
                <w:rFonts w:ascii="Arial" w:hAnsi="Arial" w:cs="Arial"/>
                <w:i/>
                <w:iCs/>
                <w:sz w:val="12"/>
                <w:szCs w:val="12"/>
              </w:rPr>
              <w:t>Charges techniques</w:t>
            </w:r>
          </w:p>
        </w:tc>
        <w:tc>
          <w:tcPr>
            <w:tcW w:w="992" w:type="dxa"/>
            <w:shd w:val="clear" w:color="auto" w:fill="auto"/>
            <w:vAlign w:val="center"/>
          </w:tcPr>
          <w:p w:rsidR="00036562" w:rsidRPr="00D74EA3" w:rsidRDefault="00036562" w:rsidP="00A8415A">
            <w:pPr>
              <w:pStyle w:val="Intro"/>
              <w:jc w:val="right"/>
              <w:rPr>
                <w:b w:val="0"/>
                <w:i/>
                <w:sz w:val="12"/>
                <w:szCs w:val="12"/>
                <w:lang w:val="en-GB"/>
              </w:rPr>
            </w:pPr>
            <w:r w:rsidRPr="00D74EA3">
              <w:rPr>
                <w:b w:val="0"/>
                <w:i/>
                <w:sz w:val="12"/>
                <w:szCs w:val="12"/>
              </w:rPr>
              <w:t>-350</w:t>
            </w:r>
          </w:p>
        </w:tc>
        <w:tc>
          <w:tcPr>
            <w:tcW w:w="992" w:type="dxa"/>
            <w:shd w:val="clear" w:color="auto" w:fill="auto"/>
            <w:vAlign w:val="center"/>
          </w:tcPr>
          <w:p w:rsidR="00036562" w:rsidRPr="00D74EA3" w:rsidRDefault="00036562" w:rsidP="00A8415A">
            <w:pPr>
              <w:pStyle w:val="Intro"/>
              <w:jc w:val="right"/>
              <w:rPr>
                <w:b w:val="0"/>
                <w:i/>
                <w:sz w:val="12"/>
                <w:szCs w:val="12"/>
                <w:lang w:val="en-GB"/>
              </w:rPr>
            </w:pPr>
            <w:r w:rsidRPr="00D74EA3">
              <w:rPr>
                <w:b w:val="0"/>
                <w:i/>
                <w:sz w:val="12"/>
                <w:szCs w:val="12"/>
              </w:rPr>
              <w:t>-316</w:t>
            </w:r>
          </w:p>
        </w:tc>
        <w:tc>
          <w:tcPr>
            <w:tcW w:w="1134" w:type="dxa"/>
            <w:shd w:val="clear" w:color="auto" w:fill="auto"/>
            <w:vAlign w:val="center"/>
          </w:tcPr>
          <w:p w:rsidR="00036562" w:rsidRPr="00D74EA3" w:rsidRDefault="00036562" w:rsidP="00A8415A">
            <w:pPr>
              <w:pStyle w:val="Intro"/>
              <w:jc w:val="right"/>
              <w:rPr>
                <w:b w:val="0"/>
                <w:i/>
                <w:sz w:val="12"/>
                <w:szCs w:val="12"/>
                <w:lang w:val="en-GB"/>
              </w:rPr>
            </w:pPr>
            <w:r w:rsidRPr="00D74EA3">
              <w:rPr>
                <w:b w:val="0"/>
                <w:i/>
                <w:sz w:val="12"/>
                <w:szCs w:val="12"/>
              </w:rPr>
              <w:t>-340</w:t>
            </w:r>
          </w:p>
        </w:tc>
        <w:tc>
          <w:tcPr>
            <w:tcW w:w="1134" w:type="dxa"/>
            <w:shd w:val="clear" w:color="auto" w:fill="auto"/>
            <w:vAlign w:val="center"/>
          </w:tcPr>
          <w:p w:rsidR="00036562" w:rsidRPr="00D74EA3" w:rsidRDefault="00036562" w:rsidP="00A8415A">
            <w:pPr>
              <w:pStyle w:val="Intro"/>
              <w:jc w:val="right"/>
              <w:rPr>
                <w:b w:val="0"/>
                <w:i/>
                <w:sz w:val="12"/>
                <w:szCs w:val="12"/>
                <w:lang w:val="en-GB"/>
              </w:rPr>
            </w:pPr>
            <w:r w:rsidRPr="00D74EA3">
              <w:rPr>
                <w:b w:val="0"/>
                <w:i/>
                <w:sz w:val="12"/>
                <w:szCs w:val="12"/>
              </w:rPr>
              <w:t>-496</w:t>
            </w:r>
          </w:p>
        </w:tc>
        <w:tc>
          <w:tcPr>
            <w:tcW w:w="1134" w:type="dxa"/>
            <w:shd w:val="clear" w:color="auto" w:fill="D9D9D9" w:themeFill="background1" w:themeFillShade="D9"/>
            <w:vAlign w:val="center"/>
          </w:tcPr>
          <w:p w:rsidR="00036562" w:rsidRPr="00D74EA3" w:rsidRDefault="00036562" w:rsidP="00A8415A">
            <w:pPr>
              <w:pStyle w:val="Intro"/>
              <w:jc w:val="right"/>
              <w:rPr>
                <w:b w:val="0"/>
                <w:i/>
                <w:sz w:val="12"/>
                <w:szCs w:val="12"/>
                <w:lang w:val="en-GB"/>
              </w:rPr>
            </w:pPr>
            <w:r w:rsidRPr="00D74EA3">
              <w:rPr>
                <w:b w:val="0"/>
                <w:i/>
                <w:sz w:val="12"/>
                <w:szCs w:val="12"/>
              </w:rPr>
              <w:t>-461</w:t>
            </w:r>
          </w:p>
        </w:tc>
      </w:tr>
      <w:tr w:rsidR="00036562" w:rsidRPr="00D74EA3" w:rsidTr="00A8415A">
        <w:trPr>
          <w:trHeight w:val="284"/>
        </w:trPr>
        <w:tc>
          <w:tcPr>
            <w:tcW w:w="4962" w:type="dxa"/>
            <w:tcBorders>
              <w:right w:val="single" w:sz="8" w:space="0" w:color="808080" w:themeColor="background1" w:themeShade="80"/>
            </w:tcBorders>
            <w:vAlign w:val="center"/>
          </w:tcPr>
          <w:p w:rsidR="00036562" w:rsidRPr="00725FA5" w:rsidRDefault="00036562" w:rsidP="00A8415A">
            <w:pPr>
              <w:pStyle w:val="Intro"/>
              <w:jc w:val="left"/>
              <w:rPr>
                <w:b w:val="0"/>
                <w:sz w:val="14"/>
                <w:szCs w:val="14"/>
                <w:lang w:val="fr-FR"/>
              </w:rPr>
            </w:pPr>
            <w:r w:rsidRPr="00725FA5">
              <w:rPr>
                <w:b w:val="0"/>
                <w:sz w:val="14"/>
                <w:szCs w:val="14"/>
                <w:lang w:val="fr-FR"/>
              </w:rPr>
              <w:t>Résultat de la réassurance cédée</w:t>
            </w:r>
          </w:p>
        </w:tc>
        <w:tc>
          <w:tcPr>
            <w:tcW w:w="992"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-11</w:t>
            </w:r>
          </w:p>
        </w:tc>
        <w:tc>
          <w:tcPr>
            <w:tcW w:w="992"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-7</w:t>
            </w:r>
          </w:p>
        </w:tc>
        <w:tc>
          <w:tcPr>
            <w:tcW w:w="1134"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0</w:t>
            </w:r>
          </w:p>
        </w:tc>
        <w:tc>
          <w:tcPr>
            <w:tcW w:w="1134"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-10</w:t>
            </w:r>
          </w:p>
        </w:tc>
        <w:tc>
          <w:tcPr>
            <w:tcW w:w="1134" w:type="dxa"/>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-8</w:t>
            </w:r>
          </w:p>
        </w:tc>
      </w:tr>
      <w:tr w:rsidR="00036562" w:rsidRPr="00D74EA3" w:rsidTr="00A8415A">
        <w:trPr>
          <w:trHeight w:val="284"/>
        </w:trPr>
        <w:tc>
          <w:tcPr>
            <w:tcW w:w="4962" w:type="dxa"/>
            <w:tcBorders>
              <w:right w:val="single" w:sz="8" w:space="0" w:color="808080" w:themeColor="background1" w:themeShade="80"/>
            </w:tcBorders>
            <w:vAlign w:val="center"/>
          </w:tcPr>
          <w:p w:rsidR="00036562" w:rsidRPr="00D74EA3" w:rsidRDefault="00036562" w:rsidP="00A8415A">
            <w:pPr>
              <w:pStyle w:val="Intro"/>
              <w:jc w:val="left"/>
              <w:rPr>
                <w:b w:val="0"/>
                <w:sz w:val="14"/>
                <w:szCs w:val="14"/>
                <w:lang w:val="en-GB"/>
              </w:rPr>
            </w:pPr>
            <w:proofErr w:type="spellStart"/>
            <w:r w:rsidRPr="00D74EA3">
              <w:rPr>
                <w:b w:val="0"/>
                <w:sz w:val="14"/>
                <w:szCs w:val="14"/>
              </w:rPr>
              <w:t>Revenus</w:t>
            </w:r>
            <w:proofErr w:type="spellEnd"/>
            <w:r w:rsidRPr="00D74EA3">
              <w:rPr>
                <w:b w:val="0"/>
                <w:sz w:val="14"/>
                <w:szCs w:val="14"/>
              </w:rPr>
              <w:t xml:space="preserve"> de </w:t>
            </w:r>
            <w:proofErr w:type="spellStart"/>
            <w:r w:rsidRPr="00D74EA3">
              <w:rPr>
                <w:b w:val="0"/>
                <w:sz w:val="14"/>
                <w:szCs w:val="14"/>
              </w:rPr>
              <w:t>dividendes</w:t>
            </w:r>
            <w:proofErr w:type="spellEnd"/>
          </w:p>
        </w:tc>
        <w:tc>
          <w:tcPr>
            <w:tcW w:w="992"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12</w:t>
            </w:r>
          </w:p>
        </w:tc>
        <w:tc>
          <w:tcPr>
            <w:tcW w:w="992"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39</w:t>
            </w:r>
          </w:p>
        </w:tc>
        <w:tc>
          <w:tcPr>
            <w:tcW w:w="1134"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13</w:t>
            </w:r>
          </w:p>
        </w:tc>
        <w:tc>
          <w:tcPr>
            <w:tcW w:w="1134"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12</w:t>
            </w:r>
          </w:p>
        </w:tc>
        <w:tc>
          <w:tcPr>
            <w:tcW w:w="1134" w:type="dxa"/>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10</w:t>
            </w:r>
          </w:p>
        </w:tc>
      </w:tr>
      <w:tr w:rsidR="00036562" w:rsidRPr="00D74EA3" w:rsidTr="00A8415A">
        <w:trPr>
          <w:trHeight w:val="284"/>
        </w:trPr>
        <w:tc>
          <w:tcPr>
            <w:tcW w:w="4962" w:type="dxa"/>
            <w:tcBorders>
              <w:right w:val="single" w:sz="8" w:space="0" w:color="808080" w:themeColor="background1" w:themeShade="80"/>
            </w:tcBorders>
            <w:vAlign w:val="center"/>
          </w:tcPr>
          <w:p w:rsidR="00036562" w:rsidRPr="00725FA5" w:rsidRDefault="00036562" w:rsidP="00A8415A">
            <w:pPr>
              <w:pStyle w:val="Intro"/>
              <w:jc w:val="left"/>
              <w:rPr>
                <w:b w:val="0"/>
                <w:sz w:val="14"/>
                <w:szCs w:val="14"/>
                <w:lang w:val="fr-FR"/>
              </w:rPr>
            </w:pPr>
            <w:r w:rsidRPr="00725FA5">
              <w:rPr>
                <w:b w:val="0"/>
                <w:sz w:val="14"/>
                <w:szCs w:val="14"/>
                <w:lang w:val="fr-FR"/>
              </w:rPr>
              <w:t>Résultat net des instruments financiers à la juste valeur par le biais du compte de résultat</w:t>
            </w:r>
          </w:p>
        </w:tc>
        <w:tc>
          <w:tcPr>
            <w:tcW w:w="992"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57</w:t>
            </w:r>
          </w:p>
        </w:tc>
        <w:tc>
          <w:tcPr>
            <w:tcW w:w="992"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179</w:t>
            </w:r>
          </w:p>
        </w:tc>
        <w:tc>
          <w:tcPr>
            <w:tcW w:w="1134"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47</w:t>
            </w:r>
          </w:p>
        </w:tc>
        <w:tc>
          <w:tcPr>
            <w:tcW w:w="1134"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-68</w:t>
            </w:r>
          </w:p>
        </w:tc>
        <w:tc>
          <w:tcPr>
            <w:tcW w:w="1134" w:type="dxa"/>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93</w:t>
            </w:r>
          </w:p>
        </w:tc>
      </w:tr>
      <w:tr w:rsidR="00036562" w:rsidRPr="00D74EA3" w:rsidTr="00A8415A">
        <w:trPr>
          <w:trHeight w:val="284"/>
        </w:trPr>
        <w:tc>
          <w:tcPr>
            <w:tcW w:w="4962" w:type="dxa"/>
            <w:tcBorders>
              <w:right w:val="single" w:sz="8" w:space="0" w:color="808080" w:themeColor="background1" w:themeShade="80"/>
            </w:tcBorders>
            <w:vAlign w:val="center"/>
          </w:tcPr>
          <w:p w:rsidR="00036562" w:rsidRPr="00725FA5" w:rsidRDefault="00036562" w:rsidP="00A8415A">
            <w:pPr>
              <w:pStyle w:val="Intro"/>
              <w:jc w:val="left"/>
              <w:rPr>
                <w:b w:val="0"/>
                <w:sz w:val="14"/>
                <w:szCs w:val="14"/>
                <w:lang w:val="fr-FR"/>
              </w:rPr>
            </w:pPr>
            <w:r w:rsidRPr="00725FA5">
              <w:rPr>
                <w:b w:val="0"/>
                <w:sz w:val="14"/>
                <w:szCs w:val="14"/>
                <w:lang w:val="fr-FR"/>
              </w:rPr>
              <w:t>Résultat net réalisé sur des actifs disponibles à la vente</w:t>
            </w:r>
          </w:p>
        </w:tc>
        <w:tc>
          <w:tcPr>
            <w:tcW w:w="992"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80</w:t>
            </w:r>
          </w:p>
        </w:tc>
        <w:tc>
          <w:tcPr>
            <w:tcW w:w="992"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36</w:t>
            </w:r>
          </w:p>
        </w:tc>
        <w:tc>
          <w:tcPr>
            <w:tcW w:w="1134"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44</w:t>
            </w:r>
          </w:p>
        </w:tc>
        <w:tc>
          <w:tcPr>
            <w:tcW w:w="1134"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30</w:t>
            </w:r>
          </w:p>
        </w:tc>
        <w:tc>
          <w:tcPr>
            <w:tcW w:w="1134" w:type="dxa"/>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27</w:t>
            </w:r>
          </w:p>
        </w:tc>
      </w:tr>
      <w:tr w:rsidR="00036562" w:rsidRPr="00D74EA3" w:rsidTr="00A8415A">
        <w:trPr>
          <w:trHeight w:val="284"/>
        </w:trPr>
        <w:tc>
          <w:tcPr>
            <w:tcW w:w="4962" w:type="dxa"/>
            <w:tcBorders>
              <w:right w:val="single" w:sz="8" w:space="0" w:color="808080" w:themeColor="background1" w:themeShade="80"/>
            </w:tcBorders>
            <w:vAlign w:val="center"/>
          </w:tcPr>
          <w:p w:rsidR="00036562" w:rsidRPr="00D74EA3" w:rsidRDefault="00036562" w:rsidP="00A8415A">
            <w:pPr>
              <w:pStyle w:val="Intro"/>
              <w:jc w:val="left"/>
              <w:rPr>
                <w:b w:val="0"/>
                <w:sz w:val="14"/>
                <w:szCs w:val="14"/>
                <w:lang w:val="en-GB"/>
              </w:rPr>
            </w:pPr>
            <w:proofErr w:type="spellStart"/>
            <w:r w:rsidRPr="00D74EA3">
              <w:rPr>
                <w:b w:val="0"/>
                <w:sz w:val="14"/>
                <w:szCs w:val="14"/>
              </w:rPr>
              <w:t>Revenus</w:t>
            </w:r>
            <w:proofErr w:type="spellEnd"/>
            <w:r w:rsidRPr="00D74EA3">
              <w:rPr>
                <w:b w:val="0"/>
                <w:sz w:val="14"/>
                <w:szCs w:val="14"/>
              </w:rPr>
              <w:t xml:space="preserve"> nets de </w:t>
            </w:r>
            <w:proofErr w:type="spellStart"/>
            <w:r w:rsidRPr="00D74EA3">
              <w:rPr>
                <w:b w:val="0"/>
                <w:sz w:val="14"/>
                <w:szCs w:val="14"/>
              </w:rPr>
              <w:t>commissions</w:t>
            </w:r>
            <w:proofErr w:type="spellEnd"/>
          </w:p>
        </w:tc>
        <w:tc>
          <w:tcPr>
            <w:tcW w:w="992"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459</w:t>
            </w:r>
          </w:p>
        </w:tc>
        <w:tc>
          <w:tcPr>
            <w:tcW w:w="992"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465</w:t>
            </w:r>
          </w:p>
        </w:tc>
        <w:tc>
          <w:tcPr>
            <w:tcW w:w="1134"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383</w:t>
            </w:r>
          </w:p>
        </w:tc>
        <w:tc>
          <w:tcPr>
            <w:tcW w:w="1134"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371</w:t>
            </w:r>
          </w:p>
        </w:tc>
        <w:tc>
          <w:tcPr>
            <w:tcW w:w="1134" w:type="dxa"/>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346</w:t>
            </w:r>
          </w:p>
        </w:tc>
      </w:tr>
      <w:tr w:rsidR="00036562" w:rsidRPr="00D74EA3" w:rsidTr="00A8415A">
        <w:trPr>
          <w:trHeight w:val="113"/>
        </w:trPr>
        <w:tc>
          <w:tcPr>
            <w:tcW w:w="4962" w:type="dxa"/>
            <w:tcBorders>
              <w:right w:val="single" w:sz="8" w:space="0" w:color="808080" w:themeColor="background1" w:themeShade="80"/>
            </w:tcBorders>
            <w:vAlign w:val="center"/>
          </w:tcPr>
          <w:p w:rsidR="00036562" w:rsidRPr="00D74EA3" w:rsidRDefault="00036562" w:rsidP="00A8415A">
            <w:pPr>
              <w:pStyle w:val="Intro"/>
              <w:jc w:val="left"/>
              <w:rPr>
                <w:b w:val="0"/>
                <w:sz w:val="12"/>
                <w:szCs w:val="12"/>
                <w:lang w:val="en-GB"/>
              </w:rPr>
            </w:pPr>
            <w:r w:rsidRPr="00D74EA3">
              <w:rPr>
                <w:b w:val="0"/>
                <w:sz w:val="12"/>
                <w:szCs w:val="12"/>
              </w:rPr>
              <w:t xml:space="preserve">     </w:t>
            </w:r>
            <w:proofErr w:type="spellStart"/>
            <w:r w:rsidRPr="00D74EA3">
              <w:rPr>
                <w:b w:val="0"/>
                <w:sz w:val="12"/>
                <w:szCs w:val="12"/>
              </w:rPr>
              <w:t>Revenus</w:t>
            </w:r>
            <w:proofErr w:type="spellEnd"/>
            <w:r w:rsidRPr="00D74EA3">
              <w:rPr>
                <w:b w:val="0"/>
                <w:sz w:val="12"/>
                <w:szCs w:val="12"/>
              </w:rPr>
              <w:t xml:space="preserve"> de </w:t>
            </w:r>
            <w:proofErr w:type="spellStart"/>
            <w:r w:rsidRPr="00D74EA3">
              <w:rPr>
                <w:b w:val="0"/>
                <w:sz w:val="12"/>
                <w:szCs w:val="12"/>
              </w:rPr>
              <w:t>commissions</w:t>
            </w:r>
            <w:proofErr w:type="spellEnd"/>
          </w:p>
        </w:tc>
        <w:tc>
          <w:tcPr>
            <w:tcW w:w="992" w:type="dxa"/>
            <w:shd w:val="clear" w:color="auto" w:fill="auto"/>
            <w:vAlign w:val="center"/>
          </w:tcPr>
          <w:p w:rsidR="00036562" w:rsidRPr="00D74EA3" w:rsidRDefault="00036562" w:rsidP="00A8415A">
            <w:pPr>
              <w:pStyle w:val="Intro"/>
              <w:keepNext/>
              <w:jc w:val="right"/>
              <w:outlineLvl w:val="3"/>
              <w:rPr>
                <w:b w:val="0"/>
                <w:sz w:val="12"/>
                <w:szCs w:val="12"/>
                <w:lang w:val="en-GB"/>
              </w:rPr>
            </w:pPr>
            <w:r w:rsidRPr="00D74EA3">
              <w:rPr>
                <w:b w:val="0"/>
                <w:sz w:val="12"/>
                <w:szCs w:val="12"/>
              </w:rPr>
              <w:t>632</w:t>
            </w:r>
          </w:p>
        </w:tc>
        <w:tc>
          <w:tcPr>
            <w:tcW w:w="992" w:type="dxa"/>
            <w:shd w:val="clear" w:color="auto" w:fill="auto"/>
            <w:vAlign w:val="center"/>
          </w:tcPr>
          <w:p w:rsidR="00036562" w:rsidRPr="00D74EA3" w:rsidRDefault="00036562" w:rsidP="00A8415A">
            <w:pPr>
              <w:pStyle w:val="Intro"/>
              <w:keepNext/>
              <w:jc w:val="right"/>
              <w:outlineLvl w:val="3"/>
              <w:rPr>
                <w:b w:val="0"/>
                <w:sz w:val="12"/>
                <w:szCs w:val="12"/>
                <w:lang w:val="en-GB"/>
              </w:rPr>
            </w:pPr>
            <w:r w:rsidRPr="00D74EA3">
              <w:rPr>
                <w:b w:val="0"/>
                <w:sz w:val="12"/>
                <w:szCs w:val="12"/>
              </w:rPr>
              <w:t>634</w:t>
            </w:r>
          </w:p>
        </w:tc>
        <w:tc>
          <w:tcPr>
            <w:tcW w:w="1134" w:type="dxa"/>
            <w:shd w:val="clear" w:color="auto" w:fill="auto"/>
            <w:vAlign w:val="center"/>
          </w:tcPr>
          <w:p w:rsidR="00036562" w:rsidRPr="00D74EA3" w:rsidRDefault="00036562" w:rsidP="00A8415A">
            <w:pPr>
              <w:pStyle w:val="Intro"/>
              <w:keepNext/>
              <w:jc w:val="right"/>
              <w:outlineLvl w:val="3"/>
              <w:rPr>
                <w:b w:val="0"/>
                <w:sz w:val="12"/>
                <w:szCs w:val="12"/>
                <w:lang w:val="en-GB"/>
              </w:rPr>
            </w:pPr>
            <w:r w:rsidRPr="00D74EA3">
              <w:rPr>
                <w:b w:val="0"/>
                <w:sz w:val="12"/>
                <w:szCs w:val="12"/>
              </w:rPr>
              <w:t>547</w:t>
            </w:r>
          </w:p>
        </w:tc>
        <w:tc>
          <w:tcPr>
            <w:tcW w:w="1134" w:type="dxa"/>
            <w:shd w:val="clear" w:color="auto" w:fill="auto"/>
            <w:vAlign w:val="center"/>
          </w:tcPr>
          <w:p w:rsidR="00036562" w:rsidRPr="00D74EA3" w:rsidRDefault="00036562" w:rsidP="00A8415A">
            <w:pPr>
              <w:pStyle w:val="Intro"/>
              <w:keepNext/>
              <w:jc w:val="right"/>
              <w:outlineLvl w:val="3"/>
              <w:rPr>
                <w:b w:val="0"/>
                <w:sz w:val="12"/>
                <w:szCs w:val="12"/>
                <w:lang w:val="en-GB"/>
              </w:rPr>
            </w:pPr>
            <w:r w:rsidRPr="00D74EA3">
              <w:rPr>
                <w:b w:val="0"/>
                <w:sz w:val="12"/>
                <w:szCs w:val="12"/>
              </w:rPr>
              <w:t>533</w:t>
            </w:r>
          </w:p>
        </w:tc>
        <w:tc>
          <w:tcPr>
            <w:tcW w:w="1134" w:type="dxa"/>
            <w:shd w:val="clear" w:color="auto" w:fill="D9D9D9" w:themeFill="background1" w:themeFillShade="D9"/>
            <w:vAlign w:val="center"/>
          </w:tcPr>
          <w:p w:rsidR="00036562" w:rsidRPr="00D74EA3" w:rsidRDefault="00036562" w:rsidP="00A8415A">
            <w:pPr>
              <w:pStyle w:val="Intro"/>
              <w:keepNext/>
              <w:jc w:val="right"/>
              <w:outlineLvl w:val="3"/>
              <w:rPr>
                <w:b w:val="0"/>
                <w:sz w:val="12"/>
                <w:szCs w:val="12"/>
                <w:lang w:val="en-GB"/>
              </w:rPr>
            </w:pPr>
            <w:r w:rsidRPr="00D74EA3">
              <w:rPr>
                <w:b w:val="0"/>
                <w:sz w:val="12"/>
                <w:szCs w:val="12"/>
              </w:rPr>
              <w:t>507</w:t>
            </w:r>
          </w:p>
        </w:tc>
      </w:tr>
      <w:tr w:rsidR="00036562" w:rsidRPr="00D74EA3" w:rsidTr="00A8415A">
        <w:trPr>
          <w:trHeight w:val="113"/>
        </w:trPr>
        <w:tc>
          <w:tcPr>
            <w:tcW w:w="4962" w:type="dxa"/>
            <w:tcBorders>
              <w:right w:val="single" w:sz="8" w:space="0" w:color="808080" w:themeColor="background1" w:themeShade="80"/>
            </w:tcBorders>
            <w:vAlign w:val="center"/>
          </w:tcPr>
          <w:p w:rsidR="00036562" w:rsidRPr="00D74EA3" w:rsidRDefault="00036562" w:rsidP="00A8415A">
            <w:pPr>
              <w:pStyle w:val="Intro"/>
              <w:jc w:val="left"/>
              <w:rPr>
                <w:b w:val="0"/>
                <w:sz w:val="12"/>
                <w:szCs w:val="12"/>
                <w:lang w:val="en-GB"/>
              </w:rPr>
            </w:pPr>
            <w:r w:rsidRPr="00D74EA3">
              <w:rPr>
                <w:b w:val="0"/>
                <w:sz w:val="12"/>
                <w:szCs w:val="12"/>
              </w:rPr>
              <w:t xml:space="preserve">     Charges de </w:t>
            </w:r>
            <w:proofErr w:type="spellStart"/>
            <w:r w:rsidRPr="00D74EA3">
              <w:rPr>
                <w:b w:val="0"/>
                <w:sz w:val="12"/>
                <w:szCs w:val="12"/>
              </w:rPr>
              <w:t>commissions</w:t>
            </w:r>
            <w:proofErr w:type="spellEnd"/>
          </w:p>
        </w:tc>
        <w:tc>
          <w:tcPr>
            <w:tcW w:w="992" w:type="dxa"/>
            <w:shd w:val="clear" w:color="auto" w:fill="auto"/>
            <w:vAlign w:val="center"/>
          </w:tcPr>
          <w:p w:rsidR="00036562" w:rsidRPr="00D74EA3" w:rsidRDefault="00036562" w:rsidP="00A8415A">
            <w:pPr>
              <w:pStyle w:val="Intro"/>
              <w:keepNext/>
              <w:jc w:val="right"/>
              <w:outlineLvl w:val="3"/>
              <w:rPr>
                <w:b w:val="0"/>
                <w:sz w:val="12"/>
                <w:szCs w:val="12"/>
                <w:lang w:val="en-GB"/>
              </w:rPr>
            </w:pPr>
            <w:r w:rsidRPr="00D74EA3">
              <w:rPr>
                <w:b w:val="0"/>
                <w:sz w:val="12"/>
                <w:szCs w:val="12"/>
              </w:rPr>
              <w:t>-174</w:t>
            </w:r>
          </w:p>
        </w:tc>
        <w:tc>
          <w:tcPr>
            <w:tcW w:w="992" w:type="dxa"/>
            <w:shd w:val="clear" w:color="auto" w:fill="auto"/>
            <w:vAlign w:val="center"/>
          </w:tcPr>
          <w:p w:rsidR="00036562" w:rsidRPr="00D74EA3" w:rsidRDefault="00036562" w:rsidP="00A8415A">
            <w:pPr>
              <w:pStyle w:val="Intro"/>
              <w:keepNext/>
              <w:jc w:val="right"/>
              <w:outlineLvl w:val="3"/>
              <w:rPr>
                <w:b w:val="0"/>
                <w:sz w:val="12"/>
                <w:szCs w:val="12"/>
                <w:lang w:val="en-GB"/>
              </w:rPr>
            </w:pPr>
            <w:r w:rsidRPr="00D74EA3">
              <w:rPr>
                <w:b w:val="0"/>
                <w:sz w:val="12"/>
                <w:szCs w:val="12"/>
              </w:rPr>
              <w:t>-169</w:t>
            </w:r>
          </w:p>
        </w:tc>
        <w:tc>
          <w:tcPr>
            <w:tcW w:w="1134" w:type="dxa"/>
            <w:shd w:val="clear" w:color="auto" w:fill="auto"/>
            <w:vAlign w:val="center"/>
          </w:tcPr>
          <w:p w:rsidR="00036562" w:rsidRPr="00D74EA3" w:rsidRDefault="00036562" w:rsidP="00A8415A">
            <w:pPr>
              <w:pStyle w:val="Intro"/>
              <w:keepNext/>
              <w:jc w:val="right"/>
              <w:outlineLvl w:val="3"/>
              <w:rPr>
                <w:b w:val="0"/>
                <w:sz w:val="12"/>
                <w:szCs w:val="12"/>
                <w:lang w:val="en-GB"/>
              </w:rPr>
            </w:pPr>
            <w:r w:rsidRPr="00D74EA3">
              <w:rPr>
                <w:b w:val="0"/>
                <w:sz w:val="12"/>
                <w:szCs w:val="12"/>
              </w:rPr>
              <w:t>-164</w:t>
            </w:r>
          </w:p>
        </w:tc>
        <w:tc>
          <w:tcPr>
            <w:tcW w:w="1134" w:type="dxa"/>
            <w:shd w:val="clear" w:color="auto" w:fill="auto"/>
            <w:vAlign w:val="center"/>
          </w:tcPr>
          <w:p w:rsidR="00036562" w:rsidRPr="00D74EA3" w:rsidRDefault="00036562" w:rsidP="00A8415A">
            <w:pPr>
              <w:pStyle w:val="Intro"/>
              <w:keepNext/>
              <w:jc w:val="right"/>
              <w:outlineLvl w:val="3"/>
              <w:rPr>
                <w:b w:val="0"/>
                <w:sz w:val="12"/>
                <w:szCs w:val="12"/>
                <w:lang w:val="en-GB"/>
              </w:rPr>
            </w:pPr>
            <w:r w:rsidRPr="00D74EA3">
              <w:rPr>
                <w:b w:val="0"/>
                <w:sz w:val="12"/>
                <w:szCs w:val="12"/>
              </w:rPr>
              <w:t>-162</w:t>
            </w:r>
          </w:p>
        </w:tc>
        <w:tc>
          <w:tcPr>
            <w:tcW w:w="1134" w:type="dxa"/>
            <w:shd w:val="clear" w:color="auto" w:fill="D9D9D9" w:themeFill="background1" w:themeFillShade="D9"/>
            <w:vAlign w:val="center"/>
          </w:tcPr>
          <w:p w:rsidR="00036562" w:rsidRPr="00D74EA3" w:rsidRDefault="00036562" w:rsidP="00A8415A">
            <w:pPr>
              <w:pStyle w:val="Intro"/>
              <w:keepNext/>
              <w:jc w:val="right"/>
              <w:outlineLvl w:val="3"/>
              <w:rPr>
                <w:b w:val="0"/>
                <w:sz w:val="12"/>
                <w:szCs w:val="12"/>
                <w:lang w:val="en-GB"/>
              </w:rPr>
            </w:pPr>
            <w:r w:rsidRPr="00D74EA3">
              <w:rPr>
                <w:b w:val="0"/>
                <w:sz w:val="12"/>
                <w:szCs w:val="12"/>
              </w:rPr>
              <w:t>-161</w:t>
            </w:r>
          </w:p>
        </w:tc>
      </w:tr>
      <w:tr w:rsidR="00036562" w:rsidRPr="00D74EA3" w:rsidTr="00A8415A">
        <w:trPr>
          <w:trHeight w:val="284"/>
        </w:trPr>
        <w:tc>
          <w:tcPr>
            <w:tcW w:w="4962" w:type="dxa"/>
            <w:tcBorders>
              <w:bottom w:val="single" w:sz="8" w:space="0" w:color="808080" w:themeColor="background1" w:themeShade="80"/>
              <w:right w:val="single" w:sz="8" w:space="0" w:color="808080" w:themeColor="background1" w:themeShade="80"/>
            </w:tcBorders>
            <w:vAlign w:val="center"/>
          </w:tcPr>
          <w:p w:rsidR="00036562" w:rsidRPr="00D74EA3" w:rsidRDefault="00036562" w:rsidP="00A8415A">
            <w:pPr>
              <w:pStyle w:val="Intro"/>
              <w:jc w:val="left"/>
              <w:rPr>
                <w:b w:val="0"/>
                <w:sz w:val="14"/>
                <w:szCs w:val="14"/>
                <w:lang w:val="en-GB"/>
              </w:rPr>
            </w:pPr>
            <w:proofErr w:type="spellStart"/>
            <w:r w:rsidRPr="00D74EA3">
              <w:rPr>
                <w:b w:val="0"/>
                <w:sz w:val="14"/>
                <w:szCs w:val="14"/>
              </w:rPr>
              <w:t>Autres</w:t>
            </w:r>
            <w:proofErr w:type="spellEnd"/>
            <w:r w:rsidRPr="00D74EA3">
              <w:rPr>
                <w:b w:val="0"/>
                <w:sz w:val="14"/>
                <w:szCs w:val="14"/>
              </w:rPr>
              <w:t xml:space="preserve"> </w:t>
            </w:r>
            <w:proofErr w:type="spellStart"/>
            <w:r w:rsidRPr="00D74EA3">
              <w:rPr>
                <w:b w:val="0"/>
                <w:sz w:val="14"/>
                <w:szCs w:val="14"/>
              </w:rPr>
              <w:t>revenus</w:t>
            </w:r>
            <w:proofErr w:type="spellEnd"/>
            <w:r w:rsidRPr="00D74EA3">
              <w:rPr>
                <w:b w:val="0"/>
                <w:sz w:val="14"/>
                <w:szCs w:val="14"/>
              </w:rPr>
              <w:t xml:space="preserve"> nets</w:t>
            </w:r>
          </w:p>
        </w:tc>
        <w:tc>
          <w:tcPr>
            <w:tcW w:w="992"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49</w:t>
            </w:r>
          </w:p>
        </w:tc>
        <w:tc>
          <w:tcPr>
            <w:tcW w:w="992"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105</w:t>
            </w:r>
          </w:p>
        </w:tc>
        <w:tc>
          <w:tcPr>
            <w:tcW w:w="1134"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96</w:t>
            </w:r>
          </w:p>
        </w:tc>
        <w:tc>
          <w:tcPr>
            <w:tcW w:w="1134"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47</w:t>
            </w:r>
          </w:p>
        </w:tc>
        <w:tc>
          <w:tcPr>
            <w:tcW w:w="1134" w:type="dxa"/>
            <w:tcBorders>
              <w:bottom w:val="single" w:sz="8" w:space="0" w:color="808080" w:themeColor="background1" w:themeShade="80"/>
            </w:tcBorders>
            <w:shd w:val="clear" w:color="auto" w:fill="D9D9D9" w:themeFill="background1" w:themeFillShade="D9"/>
            <w:vAlign w:val="center"/>
          </w:tcPr>
          <w:p w:rsidR="00036562" w:rsidRPr="00036562" w:rsidRDefault="00036562" w:rsidP="00A8415A">
            <w:pPr>
              <w:pStyle w:val="Intro"/>
              <w:jc w:val="right"/>
              <w:rPr>
                <w:b w:val="0"/>
                <w:sz w:val="14"/>
                <w:szCs w:val="14"/>
                <w:highlight w:val="darkGray"/>
                <w:lang w:val="en-GB"/>
              </w:rPr>
            </w:pPr>
            <w:r w:rsidRPr="00D74EA3">
              <w:rPr>
                <w:b w:val="0"/>
                <w:sz w:val="14"/>
                <w:szCs w:val="14"/>
              </w:rPr>
              <w:t>51</w:t>
            </w:r>
          </w:p>
        </w:tc>
      </w:tr>
      <w:tr w:rsidR="00036562" w:rsidRPr="00D74EA3" w:rsidTr="00A8415A">
        <w:trPr>
          <w:trHeight w:val="284"/>
        </w:trPr>
        <w:tc>
          <w:tcPr>
            <w:tcW w:w="4962" w:type="dxa"/>
            <w:tcBorders>
              <w:top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036562" w:rsidRPr="00D74EA3" w:rsidRDefault="00036562" w:rsidP="00A8415A">
            <w:pPr>
              <w:pStyle w:val="Intro"/>
              <w:spacing w:before="120"/>
              <w:jc w:val="left"/>
              <w:rPr>
                <w:b w:val="0"/>
                <w:sz w:val="14"/>
                <w:szCs w:val="14"/>
                <w:lang w:val="en-GB"/>
              </w:rPr>
            </w:pPr>
            <w:r w:rsidRPr="00D74EA3">
              <w:rPr>
                <w:b w:val="0"/>
                <w:sz w:val="14"/>
                <w:szCs w:val="14"/>
              </w:rPr>
              <w:t xml:space="preserve">Total des </w:t>
            </w:r>
            <w:proofErr w:type="spellStart"/>
            <w:r w:rsidRPr="00D74EA3">
              <w:rPr>
                <w:b w:val="0"/>
                <w:sz w:val="14"/>
                <w:szCs w:val="14"/>
              </w:rPr>
              <w:t>revenus</w:t>
            </w:r>
            <w:proofErr w:type="spellEnd"/>
          </w:p>
        </w:tc>
        <w:tc>
          <w:tcPr>
            <w:tcW w:w="992" w:type="dxa"/>
            <w:tcBorders>
              <w:top w:val="single" w:sz="8" w:space="0" w:color="808080" w:themeColor="background1" w:themeShade="80"/>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1 855</w:t>
            </w:r>
          </w:p>
        </w:tc>
        <w:tc>
          <w:tcPr>
            <w:tcW w:w="992" w:type="dxa"/>
            <w:tcBorders>
              <w:top w:val="single" w:sz="8" w:space="0" w:color="808080" w:themeColor="background1" w:themeShade="80"/>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2 013</w:t>
            </w:r>
          </w:p>
        </w:tc>
        <w:tc>
          <w:tcPr>
            <w:tcW w:w="1134" w:type="dxa"/>
            <w:tcBorders>
              <w:top w:val="single" w:sz="8" w:space="0" w:color="808080" w:themeColor="background1" w:themeShade="80"/>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1 736</w:t>
            </w:r>
          </w:p>
        </w:tc>
        <w:tc>
          <w:tcPr>
            <w:tcW w:w="1134" w:type="dxa"/>
            <w:tcBorders>
              <w:top w:val="single" w:sz="8" w:space="0" w:color="808080" w:themeColor="background1" w:themeShade="80"/>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1 543</w:t>
            </w:r>
          </w:p>
        </w:tc>
        <w:tc>
          <w:tcPr>
            <w:tcW w:w="1134" w:type="dxa"/>
            <w:tcBorders>
              <w:top w:val="single" w:sz="8" w:space="0" w:color="808080" w:themeColor="background1" w:themeShade="80"/>
              <w:bottom w:val="single" w:sz="8" w:space="0" w:color="808080" w:themeColor="background1" w:themeShade="80"/>
            </w:tcBorders>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1 697</w:t>
            </w:r>
          </w:p>
        </w:tc>
      </w:tr>
      <w:tr w:rsidR="00036562" w:rsidRPr="00D74EA3" w:rsidTr="00A8415A">
        <w:trPr>
          <w:trHeight w:val="284"/>
        </w:trPr>
        <w:tc>
          <w:tcPr>
            <w:tcW w:w="4962" w:type="dxa"/>
            <w:tcBorders>
              <w:top w:val="single" w:sz="8" w:space="0" w:color="808080" w:themeColor="background1" w:themeShade="80"/>
              <w:right w:val="single" w:sz="8" w:space="0" w:color="808080" w:themeColor="background1" w:themeShade="80"/>
            </w:tcBorders>
            <w:vAlign w:val="center"/>
          </w:tcPr>
          <w:p w:rsidR="00036562" w:rsidRPr="00D74EA3" w:rsidRDefault="00036562" w:rsidP="00A8415A">
            <w:pPr>
              <w:pStyle w:val="Intro"/>
              <w:spacing w:before="120"/>
              <w:jc w:val="left"/>
              <w:rPr>
                <w:b w:val="0"/>
                <w:sz w:val="14"/>
                <w:szCs w:val="14"/>
                <w:lang w:val="en-GB"/>
              </w:rPr>
            </w:pPr>
            <w:r w:rsidRPr="00D74EA3">
              <w:rPr>
                <w:b w:val="0"/>
                <w:sz w:val="14"/>
                <w:szCs w:val="14"/>
              </w:rPr>
              <w:t xml:space="preserve">Charges </w:t>
            </w:r>
            <w:proofErr w:type="spellStart"/>
            <w:r w:rsidRPr="00D74EA3">
              <w:rPr>
                <w:b w:val="0"/>
                <w:sz w:val="14"/>
                <w:szCs w:val="14"/>
              </w:rPr>
              <w:t>d’exploitation</w:t>
            </w:r>
            <w:proofErr w:type="spellEnd"/>
          </w:p>
        </w:tc>
        <w:tc>
          <w:tcPr>
            <w:tcW w:w="992"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-1 125</w:t>
            </w:r>
          </w:p>
        </w:tc>
        <w:tc>
          <w:tcPr>
            <w:tcW w:w="992"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-941</w:t>
            </w:r>
          </w:p>
        </w:tc>
        <w:tc>
          <w:tcPr>
            <w:tcW w:w="1134"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-862</w:t>
            </w:r>
          </w:p>
        </w:tc>
        <w:tc>
          <w:tcPr>
            <w:tcW w:w="1134"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-962</w:t>
            </w:r>
          </w:p>
        </w:tc>
        <w:tc>
          <w:tcPr>
            <w:tcW w:w="1134" w:type="dxa"/>
            <w:tcBorders>
              <w:top w:val="single" w:sz="8" w:space="0" w:color="808080" w:themeColor="background1" w:themeShade="80"/>
            </w:tcBorders>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-1 186</w:t>
            </w:r>
          </w:p>
        </w:tc>
      </w:tr>
      <w:tr w:rsidR="00036562" w:rsidRPr="00D74EA3" w:rsidTr="00A8415A">
        <w:trPr>
          <w:trHeight w:val="284"/>
        </w:trPr>
        <w:tc>
          <w:tcPr>
            <w:tcW w:w="4962" w:type="dxa"/>
            <w:tcBorders>
              <w:right w:val="single" w:sz="8" w:space="0" w:color="808080" w:themeColor="background1" w:themeShade="80"/>
            </w:tcBorders>
            <w:vAlign w:val="center"/>
          </w:tcPr>
          <w:p w:rsidR="00036562" w:rsidRPr="00D74EA3" w:rsidRDefault="00036562" w:rsidP="00A8415A">
            <w:pPr>
              <w:pStyle w:val="Intro"/>
              <w:spacing w:before="120"/>
              <w:jc w:val="left"/>
              <w:rPr>
                <w:b w:val="0"/>
                <w:sz w:val="14"/>
                <w:szCs w:val="14"/>
                <w:lang w:val="en-GB"/>
              </w:rPr>
            </w:pPr>
            <w:proofErr w:type="spellStart"/>
            <w:r w:rsidRPr="00D74EA3">
              <w:rPr>
                <w:b w:val="0"/>
                <w:sz w:val="14"/>
                <w:szCs w:val="14"/>
              </w:rPr>
              <w:t>Réductions</w:t>
            </w:r>
            <w:proofErr w:type="spellEnd"/>
            <w:r w:rsidRPr="00D74EA3">
              <w:rPr>
                <w:b w:val="0"/>
                <w:sz w:val="14"/>
                <w:szCs w:val="14"/>
              </w:rPr>
              <w:t xml:space="preserve"> de </w:t>
            </w:r>
            <w:proofErr w:type="spellStart"/>
            <w:r w:rsidRPr="00D74EA3">
              <w:rPr>
                <w:b w:val="0"/>
                <w:sz w:val="14"/>
                <w:szCs w:val="14"/>
              </w:rPr>
              <w:t>valeur</w:t>
            </w:r>
            <w:proofErr w:type="spellEnd"/>
          </w:p>
        </w:tc>
        <w:tc>
          <w:tcPr>
            <w:tcW w:w="992"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-77</w:t>
            </w:r>
          </w:p>
        </w:tc>
        <w:tc>
          <w:tcPr>
            <w:tcW w:w="992"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-149</w:t>
            </w:r>
          </w:p>
        </w:tc>
        <w:tc>
          <w:tcPr>
            <w:tcW w:w="1134"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-49</w:t>
            </w:r>
          </w:p>
        </w:tc>
        <w:tc>
          <w:tcPr>
            <w:tcW w:w="1134"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-472</w:t>
            </w:r>
          </w:p>
        </w:tc>
        <w:tc>
          <w:tcPr>
            <w:tcW w:w="1134" w:type="dxa"/>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-28</w:t>
            </w:r>
          </w:p>
        </w:tc>
      </w:tr>
      <w:tr w:rsidR="00036562" w:rsidRPr="00D74EA3" w:rsidTr="00A8415A">
        <w:trPr>
          <w:trHeight w:val="113"/>
        </w:trPr>
        <w:tc>
          <w:tcPr>
            <w:tcW w:w="4962" w:type="dxa"/>
            <w:tcBorders>
              <w:right w:val="single" w:sz="8" w:space="0" w:color="808080" w:themeColor="background1" w:themeShade="80"/>
            </w:tcBorders>
            <w:vAlign w:val="center"/>
          </w:tcPr>
          <w:p w:rsidR="00036562" w:rsidRPr="00D74EA3" w:rsidRDefault="00036562" w:rsidP="00A8415A">
            <w:pPr>
              <w:pStyle w:val="Intro"/>
              <w:jc w:val="left"/>
              <w:rPr>
                <w:b w:val="0"/>
                <w:sz w:val="12"/>
                <w:szCs w:val="12"/>
                <w:lang w:val="en-GB"/>
              </w:rPr>
            </w:pPr>
            <w:r w:rsidRPr="00D74EA3">
              <w:rPr>
                <w:b w:val="0"/>
                <w:sz w:val="12"/>
                <w:szCs w:val="12"/>
              </w:rPr>
              <w:t xml:space="preserve">     </w:t>
            </w:r>
            <w:proofErr w:type="spellStart"/>
            <w:r w:rsidRPr="00D74EA3">
              <w:rPr>
                <w:b w:val="0"/>
                <w:sz w:val="12"/>
                <w:szCs w:val="12"/>
              </w:rPr>
              <w:t>sur</w:t>
            </w:r>
            <w:proofErr w:type="spellEnd"/>
            <w:r w:rsidRPr="00D74EA3">
              <w:rPr>
                <w:b w:val="0"/>
                <w:sz w:val="12"/>
                <w:szCs w:val="12"/>
              </w:rPr>
              <w:t xml:space="preserve"> </w:t>
            </w:r>
            <w:proofErr w:type="spellStart"/>
            <w:r w:rsidRPr="00D74EA3">
              <w:rPr>
                <w:b w:val="0"/>
                <w:sz w:val="12"/>
                <w:szCs w:val="12"/>
              </w:rPr>
              <w:t>prêts</w:t>
            </w:r>
            <w:proofErr w:type="spellEnd"/>
            <w:r w:rsidRPr="00D74EA3">
              <w:rPr>
                <w:b w:val="0"/>
                <w:sz w:val="12"/>
                <w:szCs w:val="12"/>
              </w:rPr>
              <w:t xml:space="preserve"> et </w:t>
            </w:r>
            <w:proofErr w:type="spellStart"/>
            <w:r w:rsidRPr="00D74EA3">
              <w:rPr>
                <w:b w:val="0"/>
                <w:sz w:val="12"/>
                <w:szCs w:val="12"/>
              </w:rPr>
              <w:t>créances</w:t>
            </w:r>
            <w:proofErr w:type="spellEnd"/>
          </w:p>
        </w:tc>
        <w:tc>
          <w:tcPr>
            <w:tcW w:w="992" w:type="dxa"/>
            <w:shd w:val="clear" w:color="auto" w:fill="auto"/>
            <w:vAlign w:val="center"/>
          </w:tcPr>
          <w:p w:rsidR="00036562" w:rsidRPr="00D74EA3" w:rsidRDefault="00036562" w:rsidP="00A8415A">
            <w:pPr>
              <w:pStyle w:val="Intro"/>
              <w:jc w:val="right"/>
              <w:rPr>
                <w:b w:val="0"/>
                <w:sz w:val="12"/>
                <w:szCs w:val="12"/>
                <w:lang w:val="en-GB"/>
              </w:rPr>
            </w:pPr>
            <w:r w:rsidRPr="00D74EA3">
              <w:rPr>
                <w:b w:val="0"/>
                <w:sz w:val="12"/>
                <w:szCs w:val="12"/>
              </w:rPr>
              <w:t>-73</w:t>
            </w:r>
          </w:p>
        </w:tc>
        <w:tc>
          <w:tcPr>
            <w:tcW w:w="992" w:type="dxa"/>
            <w:shd w:val="clear" w:color="auto" w:fill="auto"/>
            <w:vAlign w:val="center"/>
          </w:tcPr>
          <w:p w:rsidR="00036562" w:rsidRPr="00D74EA3" w:rsidRDefault="00036562" w:rsidP="00A8415A">
            <w:pPr>
              <w:pStyle w:val="Intro"/>
              <w:jc w:val="right"/>
              <w:rPr>
                <w:b w:val="0"/>
                <w:sz w:val="12"/>
                <w:szCs w:val="12"/>
                <w:lang w:val="en-GB"/>
              </w:rPr>
            </w:pPr>
            <w:r w:rsidRPr="00D74EA3">
              <w:rPr>
                <w:b w:val="0"/>
                <w:sz w:val="12"/>
                <w:szCs w:val="12"/>
              </w:rPr>
              <w:t>-138</w:t>
            </w:r>
          </w:p>
        </w:tc>
        <w:tc>
          <w:tcPr>
            <w:tcW w:w="1134" w:type="dxa"/>
            <w:shd w:val="clear" w:color="auto" w:fill="auto"/>
            <w:vAlign w:val="center"/>
          </w:tcPr>
          <w:p w:rsidR="00036562" w:rsidRPr="00D74EA3" w:rsidRDefault="00036562" w:rsidP="00A8415A">
            <w:pPr>
              <w:pStyle w:val="Intro"/>
              <w:jc w:val="right"/>
              <w:rPr>
                <w:b w:val="0"/>
                <w:sz w:val="12"/>
                <w:szCs w:val="12"/>
                <w:lang w:val="en-GB"/>
              </w:rPr>
            </w:pPr>
            <w:r w:rsidRPr="00D74EA3">
              <w:rPr>
                <w:b w:val="0"/>
                <w:sz w:val="12"/>
                <w:szCs w:val="12"/>
              </w:rPr>
              <w:t>-34</w:t>
            </w:r>
          </w:p>
        </w:tc>
        <w:tc>
          <w:tcPr>
            <w:tcW w:w="1134" w:type="dxa"/>
            <w:shd w:val="clear" w:color="auto" w:fill="auto"/>
            <w:vAlign w:val="center"/>
          </w:tcPr>
          <w:p w:rsidR="00036562" w:rsidRPr="00D74EA3" w:rsidRDefault="00036562" w:rsidP="00A8415A">
            <w:pPr>
              <w:pStyle w:val="Intro"/>
              <w:jc w:val="right"/>
              <w:rPr>
                <w:b w:val="0"/>
                <w:sz w:val="12"/>
                <w:szCs w:val="12"/>
                <w:lang w:val="en-GB"/>
              </w:rPr>
            </w:pPr>
            <w:r w:rsidRPr="00D74EA3">
              <w:rPr>
                <w:b w:val="0"/>
                <w:sz w:val="12"/>
                <w:szCs w:val="12"/>
              </w:rPr>
              <w:t>-78</w:t>
            </w:r>
          </w:p>
        </w:tc>
        <w:tc>
          <w:tcPr>
            <w:tcW w:w="1134" w:type="dxa"/>
            <w:shd w:val="clear" w:color="auto" w:fill="D9D9D9" w:themeFill="background1" w:themeFillShade="D9"/>
            <w:vAlign w:val="center"/>
          </w:tcPr>
          <w:p w:rsidR="00036562" w:rsidRPr="00D74EA3" w:rsidRDefault="00036562" w:rsidP="00A8415A">
            <w:pPr>
              <w:pStyle w:val="Intro"/>
              <w:jc w:val="right"/>
              <w:rPr>
                <w:b w:val="0"/>
                <w:sz w:val="12"/>
                <w:szCs w:val="12"/>
                <w:lang w:val="en-GB"/>
              </w:rPr>
            </w:pPr>
            <w:r w:rsidRPr="00D74EA3">
              <w:rPr>
                <w:b w:val="0"/>
                <w:sz w:val="12"/>
                <w:szCs w:val="12"/>
              </w:rPr>
              <w:t>-4</w:t>
            </w:r>
          </w:p>
        </w:tc>
      </w:tr>
      <w:tr w:rsidR="00036562" w:rsidRPr="00D74EA3" w:rsidTr="00A8415A">
        <w:trPr>
          <w:trHeight w:val="113"/>
        </w:trPr>
        <w:tc>
          <w:tcPr>
            <w:tcW w:w="4962" w:type="dxa"/>
            <w:tcBorders>
              <w:right w:val="single" w:sz="8" w:space="0" w:color="808080" w:themeColor="background1" w:themeShade="80"/>
            </w:tcBorders>
            <w:vAlign w:val="center"/>
          </w:tcPr>
          <w:p w:rsidR="00036562" w:rsidRPr="00725FA5" w:rsidRDefault="00036562" w:rsidP="00A8415A">
            <w:pPr>
              <w:pStyle w:val="Intro"/>
              <w:jc w:val="left"/>
              <w:rPr>
                <w:b w:val="0"/>
                <w:sz w:val="12"/>
                <w:szCs w:val="12"/>
                <w:lang w:val="fr-FR"/>
              </w:rPr>
            </w:pPr>
            <w:r w:rsidRPr="00725FA5">
              <w:rPr>
                <w:b w:val="0"/>
                <w:sz w:val="12"/>
                <w:szCs w:val="12"/>
                <w:lang w:val="fr-FR"/>
              </w:rPr>
              <w:t xml:space="preserve">     sur actifs disponibles à la vente</w:t>
            </w:r>
          </w:p>
        </w:tc>
        <w:tc>
          <w:tcPr>
            <w:tcW w:w="992" w:type="dxa"/>
            <w:shd w:val="clear" w:color="auto" w:fill="auto"/>
            <w:vAlign w:val="center"/>
          </w:tcPr>
          <w:p w:rsidR="00036562" w:rsidRPr="00D74EA3" w:rsidRDefault="00036562" w:rsidP="00A8415A">
            <w:pPr>
              <w:pStyle w:val="Intro"/>
              <w:jc w:val="right"/>
              <w:rPr>
                <w:b w:val="0"/>
                <w:sz w:val="12"/>
                <w:szCs w:val="12"/>
                <w:lang w:val="en-GB"/>
              </w:rPr>
            </w:pPr>
            <w:r w:rsidRPr="00D74EA3">
              <w:rPr>
                <w:b w:val="0"/>
                <w:sz w:val="12"/>
                <w:szCs w:val="12"/>
              </w:rPr>
              <w:t>-3</w:t>
            </w:r>
          </w:p>
        </w:tc>
        <w:tc>
          <w:tcPr>
            <w:tcW w:w="992" w:type="dxa"/>
            <w:shd w:val="clear" w:color="auto" w:fill="auto"/>
            <w:vAlign w:val="center"/>
          </w:tcPr>
          <w:p w:rsidR="00036562" w:rsidRPr="00D74EA3" w:rsidRDefault="00036562" w:rsidP="00A8415A">
            <w:pPr>
              <w:pStyle w:val="Intro"/>
              <w:jc w:val="right"/>
              <w:rPr>
                <w:b w:val="0"/>
                <w:sz w:val="12"/>
                <w:szCs w:val="12"/>
                <w:lang w:val="en-GB"/>
              </w:rPr>
            </w:pPr>
            <w:r w:rsidRPr="00D74EA3">
              <w:rPr>
                <w:b w:val="0"/>
                <w:sz w:val="12"/>
                <w:szCs w:val="12"/>
              </w:rPr>
              <w:t>-7</w:t>
            </w:r>
          </w:p>
        </w:tc>
        <w:tc>
          <w:tcPr>
            <w:tcW w:w="1134" w:type="dxa"/>
            <w:shd w:val="clear" w:color="auto" w:fill="auto"/>
            <w:vAlign w:val="center"/>
          </w:tcPr>
          <w:p w:rsidR="00036562" w:rsidRPr="00D74EA3" w:rsidRDefault="00036562" w:rsidP="00A8415A">
            <w:pPr>
              <w:pStyle w:val="Intro"/>
              <w:jc w:val="right"/>
              <w:rPr>
                <w:b w:val="0"/>
                <w:sz w:val="12"/>
                <w:szCs w:val="12"/>
                <w:lang w:val="en-GB"/>
              </w:rPr>
            </w:pPr>
            <w:r w:rsidRPr="00D74EA3">
              <w:rPr>
                <w:b w:val="0"/>
                <w:sz w:val="12"/>
                <w:szCs w:val="12"/>
              </w:rPr>
              <w:t>-15</w:t>
            </w:r>
          </w:p>
        </w:tc>
        <w:tc>
          <w:tcPr>
            <w:tcW w:w="1134" w:type="dxa"/>
            <w:shd w:val="clear" w:color="auto" w:fill="auto"/>
            <w:vAlign w:val="center"/>
          </w:tcPr>
          <w:p w:rsidR="00036562" w:rsidRPr="00D74EA3" w:rsidRDefault="00036562" w:rsidP="00A8415A">
            <w:pPr>
              <w:pStyle w:val="Intro"/>
              <w:jc w:val="right"/>
              <w:rPr>
                <w:b w:val="0"/>
                <w:sz w:val="12"/>
                <w:szCs w:val="12"/>
                <w:lang w:val="en-GB"/>
              </w:rPr>
            </w:pPr>
            <w:r w:rsidRPr="00D74EA3">
              <w:rPr>
                <w:b w:val="0"/>
                <w:sz w:val="12"/>
                <w:szCs w:val="12"/>
              </w:rPr>
              <w:t>-21</w:t>
            </w:r>
          </w:p>
        </w:tc>
        <w:tc>
          <w:tcPr>
            <w:tcW w:w="1134" w:type="dxa"/>
            <w:shd w:val="clear" w:color="auto" w:fill="D9D9D9" w:themeFill="background1" w:themeFillShade="D9"/>
            <w:vAlign w:val="center"/>
          </w:tcPr>
          <w:p w:rsidR="00036562" w:rsidRPr="00D74EA3" w:rsidRDefault="00036562" w:rsidP="00A8415A">
            <w:pPr>
              <w:pStyle w:val="Intro"/>
              <w:jc w:val="right"/>
              <w:rPr>
                <w:b w:val="0"/>
                <w:sz w:val="12"/>
                <w:szCs w:val="12"/>
                <w:lang w:val="en-GB"/>
              </w:rPr>
            </w:pPr>
            <w:r w:rsidRPr="00D74EA3">
              <w:rPr>
                <w:b w:val="0"/>
                <w:sz w:val="12"/>
                <w:szCs w:val="12"/>
              </w:rPr>
              <w:t>-24</w:t>
            </w:r>
          </w:p>
        </w:tc>
      </w:tr>
      <w:tr w:rsidR="00036562" w:rsidRPr="00D74EA3" w:rsidTr="00A8415A">
        <w:trPr>
          <w:trHeight w:val="113"/>
        </w:trPr>
        <w:tc>
          <w:tcPr>
            <w:tcW w:w="4962" w:type="dxa"/>
            <w:tcBorders>
              <w:right w:val="single" w:sz="8" w:space="0" w:color="808080" w:themeColor="background1" w:themeShade="80"/>
            </w:tcBorders>
            <w:vAlign w:val="center"/>
          </w:tcPr>
          <w:p w:rsidR="00036562" w:rsidRPr="00D74EA3" w:rsidRDefault="00036562" w:rsidP="00A8415A">
            <w:pPr>
              <w:pStyle w:val="Intro"/>
              <w:jc w:val="left"/>
              <w:rPr>
                <w:b w:val="0"/>
                <w:sz w:val="12"/>
                <w:szCs w:val="12"/>
                <w:lang w:val="en-GB"/>
              </w:rPr>
            </w:pPr>
            <w:r w:rsidRPr="00D74EA3">
              <w:rPr>
                <w:b w:val="0"/>
                <w:sz w:val="12"/>
                <w:szCs w:val="12"/>
              </w:rPr>
              <w:t xml:space="preserve">     </w:t>
            </w:r>
            <w:proofErr w:type="spellStart"/>
            <w:r w:rsidRPr="00D74EA3">
              <w:rPr>
                <w:b w:val="0"/>
                <w:sz w:val="12"/>
                <w:szCs w:val="12"/>
              </w:rPr>
              <w:t>sur</w:t>
            </w:r>
            <w:proofErr w:type="spellEnd"/>
            <w:r w:rsidRPr="00D74EA3">
              <w:rPr>
                <w:b w:val="0"/>
                <w:sz w:val="12"/>
                <w:szCs w:val="12"/>
              </w:rPr>
              <w:t xml:space="preserve"> goodwill</w:t>
            </w:r>
          </w:p>
        </w:tc>
        <w:tc>
          <w:tcPr>
            <w:tcW w:w="992" w:type="dxa"/>
            <w:shd w:val="clear" w:color="auto" w:fill="auto"/>
            <w:vAlign w:val="center"/>
          </w:tcPr>
          <w:p w:rsidR="00036562" w:rsidRPr="00D74EA3" w:rsidRDefault="00036562" w:rsidP="00A8415A">
            <w:pPr>
              <w:pStyle w:val="Intro"/>
              <w:jc w:val="right"/>
              <w:rPr>
                <w:b w:val="0"/>
                <w:sz w:val="12"/>
                <w:szCs w:val="12"/>
                <w:lang w:val="en-GB"/>
              </w:rPr>
            </w:pPr>
            <w:r w:rsidRPr="00D74EA3">
              <w:rPr>
                <w:b w:val="0"/>
                <w:sz w:val="12"/>
                <w:szCs w:val="12"/>
              </w:rPr>
              <w:t>0</w:t>
            </w:r>
          </w:p>
        </w:tc>
        <w:tc>
          <w:tcPr>
            <w:tcW w:w="992" w:type="dxa"/>
            <w:shd w:val="clear" w:color="auto" w:fill="auto"/>
            <w:vAlign w:val="center"/>
          </w:tcPr>
          <w:p w:rsidR="00036562" w:rsidRPr="00D74EA3" w:rsidRDefault="00036562" w:rsidP="00A8415A">
            <w:pPr>
              <w:pStyle w:val="Intro"/>
              <w:jc w:val="right"/>
              <w:rPr>
                <w:b w:val="0"/>
                <w:sz w:val="12"/>
                <w:szCs w:val="12"/>
                <w:lang w:val="en-GB"/>
              </w:rPr>
            </w:pPr>
            <w:r w:rsidRPr="00D74EA3">
              <w:rPr>
                <w:b w:val="0"/>
                <w:sz w:val="12"/>
                <w:szCs w:val="12"/>
              </w:rPr>
              <w:t>0</w:t>
            </w:r>
          </w:p>
        </w:tc>
        <w:tc>
          <w:tcPr>
            <w:tcW w:w="1134" w:type="dxa"/>
            <w:shd w:val="clear" w:color="auto" w:fill="auto"/>
            <w:vAlign w:val="center"/>
          </w:tcPr>
          <w:p w:rsidR="00036562" w:rsidRPr="00D74EA3" w:rsidRDefault="00036562" w:rsidP="00A8415A">
            <w:pPr>
              <w:pStyle w:val="Intro"/>
              <w:jc w:val="right"/>
              <w:rPr>
                <w:b w:val="0"/>
                <w:sz w:val="12"/>
                <w:szCs w:val="12"/>
                <w:lang w:val="en-GB"/>
              </w:rPr>
            </w:pPr>
            <w:r w:rsidRPr="00D74EA3">
              <w:rPr>
                <w:b w:val="0"/>
                <w:sz w:val="12"/>
                <w:szCs w:val="12"/>
              </w:rPr>
              <w:t>0</w:t>
            </w:r>
          </w:p>
        </w:tc>
        <w:tc>
          <w:tcPr>
            <w:tcW w:w="1134" w:type="dxa"/>
            <w:shd w:val="clear" w:color="auto" w:fill="auto"/>
            <w:vAlign w:val="center"/>
          </w:tcPr>
          <w:p w:rsidR="00036562" w:rsidRPr="00D74EA3" w:rsidRDefault="00036562" w:rsidP="00A8415A">
            <w:pPr>
              <w:pStyle w:val="Intro"/>
              <w:jc w:val="right"/>
              <w:rPr>
                <w:b w:val="0"/>
                <w:sz w:val="12"/>
                <w:szCs w:val="12"/>
                <w:lang w:val="en-GB"/>
              </w:rPr>
            </w:pPr>
            <w:r w:rsidRPr="00D74EA3">
              <w:rPr>
                <w:b w:val="0"/>
                <w:sz w:val="12"/>
                <w:szCs w:val="12"/>
              </w:rPr>
              <w:t>-344</w:t>
            </w:r>
          </w:p>
        </w:tc>
        <w:tc>
          <w:tcPr>
            <w:tcW w:w="1134" w:type="dxa"/>
            <w:shd w:val="clear" w:color="auto" w:fill="D9D9D9" w:themeFill="background1" w:themeFillShade="D9"/>
            <w:vAlign w:val="center"/>
          </w:tcPr>
          <w:p w:rsidR="00036562" w:rsidRPr="00D74EA3" w:rsidRDefault="00036562" w:rsidP="00A8415A">
            <w:pPr>
              <w:pStyle w:val="Intro"/>
              <w:jc w:val="right"/>
              <w:rPr>
                <w:b w:val="0"/>
                <w:sz w:val="12"/>
                <w:szCs w:val="12"/>
                <w:lang w:val="en-GB"/>
              </w:rPr>
            </w:pPr>
            <w:r w:rsidRPr="00D74EA3">
              <w:rPr>
                <w:b w:val="0"/>
                <w:sz w:val="12"/>
                <w:szCs w:val="12"/>
              </w:rPr>
              <w:t>0</w:t>
            </w:r>
          </w:p>
        </w:tc>
      </w:tr>
      <w:tr w:rsidR="00036562" w:rsidRPr="00D74EA3" w:rsidTr="00A8415A">
        <w:trPr>
          <w:trHeight w:val="113"/>
        </w:trPr>
        <w:tc>
          <w:tcPr>
            <w:tcW w:w="4962" w:type="dxa"/>
            <w:tcBorders>
              <w:right w:val="single" w:sz="8" w:space="0" w:color="808080" w:themeColor="background1" w:themeShade="80"/>
            </w:tcBorders>
            <w:vAlign w:val="center"/>
          </w:tcPr>
          <w:p w:rsidR="00036562" w:rsidRPr="00D74EA3" w:rsidRDefault="00036562" w:rsidP="00A8415A">
            <w:pPr>
              <w:pStyle w:val="Intro"/>
              <w:jc w:val="left"/>
              <w:rPr>
                <w:b w:val="0"/>
                <w:sz w:val="12"/>
                <w:szCs w:val="12"/>
                <w:lang w:val="en-GB"/>
              </w:rPr>
            </w:pPr>
            <w:r w:rsidRPr="00D74EA3">
              <w:rPr>
                <w:b w:val="0"/>
                <w:sz w:val="12"/>
                <w:szCs w:val="12"/>
              </w:rPr>
              <w:t xml:space="preserve">     </w:t>
            </w:r>
            <w:proofErr w:type="spellStart"/>
            <w:r w:rsidRPr="00D74EA3">
              <w:rPr>
                <w:b w:val="0"/>
                <w:sz w:val="12"/>
                <w:szCs w:val="12"/>
              </w:rPr>
              <w:t>autres</w:t>
            </w:r>
            <w:proofErr w:type="spellEnd"/>
          </w:p>
        </w:tc>
        <w:tc>
          <w:tcPr>
            <w:tcW w:w="992" w:type="dxa"/>
            <w:shd w:val="clear" w:color="auto" w:fill="auto"/>
            <w:vAlign w:val="center"/>
          </w:tcPr>
          <w:p w:rsidR="00036562" w:rsidRPr="00D74EA3" w:rsidRDefault="00036562" w:rsidP="00A8415A">
            <w:pPr>
              <w:pStyle w:val="Intro"/>
              <w:jc w:val="right"/>
              <w:rPr>
                <w:b w:val="0"/>
                <w:sz w:val="12"/>
                <w:szCs w:val="12"/>
                <w:lang w:val="en-GB"/>
              </w:rPr>
            </w:pPr>
            <w:r w:rsidRPr="00D74EA3">
              <w:rPr>
                <w:b w:val="0"/>
                <w:sz w:val="12"/>
                <w:szCs w:val="12"/>
              </w:rPr>
              <w:t>-1</w:t>
            </w:r>
          </w:p>
        </w:tc>
        <w:tc>
          <w:tcPr>
            <w:tcW w:w="992" w:type="dxa"/>
            <w:shd w:val="clear" w:color="auto" w:fill="auto"/>
            <w:vAlign w:val="center"/>
          </w:tcPr>
          <w:p w:rsidR="00036562" w:rsidRPr="00D74EA3" w:rsidRDefault="00036562" w:rsidP="00A8415A">
            <w:pPr>
              <w:pStyle w:val="Intro"/>
              <w:jc w:val="right"/>
              <w:rPr>
                <w:b w:val="0"/>
                <w:sz w:val="12"/>
                <w:szCs w:val="12"/>
                <w:lang w:val="en-GB"/>
              </w:rPr>
            </w:pPr>
            <w:r w:rsidRPr="00D74EA3">
              <w:rPr>
                <w:b w:val="0"/>
                <w:sz w:val="12"/>
                <w:szCs w:val="12"/>
              </w:rPr>
              <w:t>-5</w:t>
            </w:r>
          </w:p>
        </w:tc>
        <w:tc>
          <w:tcPr>
            <w:tcW w:w="1134" w:type="dxa"/>
            <w:shd w:val="clear" w:color="auto" w:fill="auto"/>
            <w:vAlign w:val="center"/>
          </w:tcPr>
          <w:p w:rsidR="00036562" w:rsidRPr="00D74EA3" w:rsidRDefault="00036562" w:rsidP="00A8415A">
            <w:pPr>
              <w:pStyle w:val="Intro"/>
              <w:jc w:val="right"/>
              <w:rPr>
                <w:b w:val="0"/>
                <w:sz w:val="12"/>
                <w:szCs w:val="12"/>
                <w:lang w:val="en-GB"/>
              </w:rPr>
            </w:pPr>
            <w:r w:rsidRPr="00D74EA3">
              <w:rPr>
                <w:b w:val="0"/>
                <w:sz w:val="12"/>
                <w:szCs w:val="12"/>
              </w:rPr>
              <w:t>0</w:t>
            </w:r>
          </w:p>
        </w:tc>
        <w:tc>
          <w:tcPr>
            <w:tcW w:w="1134" w:type="dxa"/>
            <w:shd w:val="clear" w:color="auto" w:fill="auto"/>
            <w:vAlign w:val="center"/>
          </w:tcPr>
          <w:p w:rsidR="00036562" w:rsidRPr="00D74EA3" w:rsidRDefault="00036562" w:rsidP="00A8415A">
            <w:pPr>
              <w:pStyle w:val="Intro"/>
              <w:jc w:val="right"/>
              <w:rPr>
                <w:b w:val="0"/>
                <w:sz w:val="12"/>
                <w:szCs w:val="12"/>
                <w:lang w:val="en-GB"/>
              </w:rPr>
            </w:pPr>
            <w:r w:rsidRPr="00D74EA3">
              <w:rPr>
                <w:b w:val="0"/>
                <w:sz w:val="12"/>
                <w:szCs w:val="12"/>
              </w:rPr>
              <w:t>-29</w:t>
            </w:r>
          </w:p>
        </w:tc>
        <w:tc>
          <w:tcPr>
            <w:tcW w:w="1134" w:type="dxa"/>
            <w:shd w:val="clear" w:color="auto" w:fill="D9D9D9" w:themeFill="background1" w:themeFillShade="D9"/>
            <w:vAlign w:val="center"/>
          </w:tcPr>
          <w:p w:rsidR="00036562" w:rsidRPr="00D74EA3" w:rsidRDefault="00036562" w:rsidP="00A8415A">
            <w:pPr>
              <w:pStyle w:val="Intro"/>
              <w:jc w:val="right"/>
              <w:rPr>
                <w:b w:val="0"/>
                <w:sz w:val="12"/>
                <w:szCs w:val="12"/>
                <w:lang w:val="en-GB"/>
              </w:rPr>
            </w:pPr>
            <w:r w:rsidRPr="00D74EA3">
              <w:rPr>
                <w:b w:val="0"/>
                <w:sz w:val="12"/>
                <w:szCs w:val="12"/>
              </w:rPr>
              <w:t>-1</w:t>
            </w:r>
          </w:p>
        </w:tc>
      </w:tr>
      <w:tr w:rsidR="00036562" w:rsidRPr="00D74EA3" w:rsidTr="00A8415A">
        <w:trPr>
          <w:trHeight w:val="284"/>
        </w:trPr>
        <w:tc>
          <w:tcPr>
            <w:tcW w:w="4962" w:type="dxa"/>
            <w:tcBorders>
              <w:bottom w:val="single" w:sz="8" w:space="0" w:color="808080" w:themeColor="background1" w:themeShade="80"/>
              <w:right w:val="single" w:sz="8" w:space="0" w:color="808080" w:themeColor="background1" w:themeShade="80"/>
            </w:tcBorders>
            <w:vAlign w:val="center"/>
          </w:tcPr>
          <w:p w:rsidR="00036562" w:rsidRPr="00725FA5" w:rsidRDefault="00036562" w:rsidP="00A8415A">
            <w:pPr>
              <w:pStyle w:val="Intro"/>
              <w:spacing w:before="120"/>
              <w:jc w:val="left"/>
              <w:rPr>
                <w:b w:val="0"/>
                <w:sz w:val="14"/>
                <w:szCs w:val="14"/>
                <w:lang w:val="fr-FR"/>
              </w:rPr>
            </w:pPr>
            <w:r w:rsidRPr="00725FA5">
              <w:rPr>
                <w:b w:val="0"/>
                <w:sz w:val="14"/>
                <w:szCs w:val="14"/>
                <w:lang w:val="fr-FR"/>
              </w:rPr>
              <w:t>Quote-part dans le résultat des entreprises associées et joint-ventures</w:t>
            </w:r>
          </w:p>
        </w:tc>
        <w:tc>
          <w:tcPr>
            <w:tcW w:w="992"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6</w:t>
            </w:r>
          </w:p>
        </w:tc>
        <w:tc>
          <w:tcPr>
            <w:tcW w:w="992"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8</w:t>
            </w:r>
          </w:p>
        </w:tc>
        <w:tc>
          <w:tcPr>
            <w:tcW w:w="1134"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6</w:t>
            </w:r>
          </w:p>
        </w:tc>
        <w:tc>
          <w:tcPr>
            <w:tcW w:w="1134"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5</w:t>
            </w:r>
          </w:p>
        </w:tc>
        <w:tc>
          <w:tcPr>
            <w:tcW w:w="1134" w:type="dxa"/>
            <w:tcBorders>
              <w:bottom w:val="single" w:sz="8" w:space="0" w:color="808080" w:themeColor="background1" w:themeShade="80"/>
            </w:tcBorders>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7</w:t>
            </w:r>
          </w:p>
        </w:tc>
      </w:tr>
      <w:tr w:rsidR="00036562" w:rsidRPr="00D74EA3" w:rsidTr="00A8415A">
        <w:trPr>
          <w:trHeight w:val="284"/>
        </w:trPr>
        <w:tc>
          <w:tcPr>
            <w:tcW w:w="4962" w:type="dxa"/>
            <w:tcBorders>
              <w:top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036562" w:rsidRPr="00D74EA3" w:rsidRDefault="00036562" w:rsidP="00A8415A">
            <w:pPr>
              <w:pStyle w:val="Intro"/>
              <w:spacing w:before="120"/>
              <w:jc w:val="left"/>
              <w:rPr>
                <w:b w:val="0"/>
                <w:sz w:val="14"/>
                <w:szCs w:val="14"/>
                <w:lang w:val="en-GB"/>
              </w:rPr>
            </w:pPr>
            <w:proofErr w:type="spellStart"/>
            <w:r w:rsidRPr="00D74EA3">
              <w:rPr>
                <w:b w:val="0"/>
                <w:sz w:val="14"/>
                <w:szCs w:val="14"/>
              </w:rPr>
              <w:t>Résultat</w:t>
            </w:r>
            <w:proofErr w:type="spellEnd"/>
            <w:r w:rsidRPr="00D74EA3">
              <w:rPr>
                <w:b w:val="0"/>
                <w:sz w:val="14"/>
                <w:szCs w:val="14"/>
              </w:rPr>
              <w:t xml:space="preserve"> </w:t>
            </w:r>
            <w:proofErr w:type="spellStart"/>
            <w:r w:rsidRPr="00D74EA3">
              <w:rPr>
                <w:b w:val="0"/>
                <w:sz w:val="14"/>
                <w:szCs w:val="14"/>
              </w:rPr>
              <w:t>avant</w:t>
            </w:r>
            <w:proofErr w:type="spellEnd"/>
            <w:r w:rsidRPr="00D74EA3">
              <w:rPr>
                <w:b w:val="0"/>
                <w:sz w:val="14"/>
                <w:szCs w:val="14"/>
              </w:rPr>
              <w:t xml:space="preserve"> </w:t>
            </w:r>
            <w:proofErr w:type="spellStart"/>
            <w:r w:rsidRPr="00D74EA3">
              <w:rPr>
                <w:b w:val="0"/>
                <w:sz w:val="14"/>
                <w:szCs w:val="14"/>
              </w:rPr>
              <w:t>impôts</w:t>
            </w:r>
            <w:proofErr w:type="spellEnd"/>
          </w:p>
        </w:tc>
        <w:tc>
          <w:tcPr>
            <w:tcW w:w="992" w:type="dxa"/>
            <w:tcBorders>
              <w:top w:val="single" w:sz="8" w:space="0" w:color="808080" w:themeColor="background1" w:themeShade="80"/>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659</w:t>
            </w:r>
          </w:p>
        </w:tc>
        <w:tc>
          <w:tcPr>
            <w:tcW w:w="992" w:type="dxa"/>
            <w:tcBorders>
              <w:top w:val="single" w:sz="8" w:space="0" w:color="808080" w:themeColor="background1" w:themeShade="80"/>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930</w:t>
            </w:r>
          </w:p>
        </w:tc>
        <w:tc>
          <w:tcPr>
            <w:tcW w:w="1134" w:type="dxa"/>
            <w:tcBorders>
              <w:top w:val="single" w:sz="8" w:space="0" w:color="808080" w:themeColor="background1" w:themeShade="80"/>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831</w:t>
            </w:r>
          </w:p>
        </w:tc>
        <w:tc>
          <w:tcPr>
            <w:tcW w:w="1134" w:type="dxa"/>
            <w:tcBorders>
              <w:top w:val="single" w:sz="8" w:space="0" w:color="808080" w:themeColor="background1" w:themeShade="80"/>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114</w:t>
            </w:r>
          </w:p>
        </w:tc>
        <w:tc>
          <w:tcPr>
            <w:tcW w:w="1134" w:type="dxa"/>
            <w:tcBorders>
              <w:top w:val="single" w:sz="8" w:space="0" w:color="808080" w:themeColor="background1" w:themeShade="80"/>
              <w:bottom w:val="single" w:sz="8" w:space="0" w:color="808080" w:themeColor="background1" w:themeShade="80"/>
            </w:tcBorders>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489</w:t>
            </w:r>
          </w:p>
        </w:tc>
      </w:tr>
      <w:tr w:rsidR="00036562" w:rsidRPr="00D74EA3" w:rsidTr="00A8415A">
        <w:trPr>
          <w:trHeight w:val="284"/>
        </w:trPr>
        <w:tc>
          <w:tcPr>
            <w:tcW w:w="4962" w:type="dxa"/>
            <w:tcBorders>
              <w:top w:val="single" w:sz="8" w:space="0" w:color="808080" w:themeColor="background1" w:themeShade="80"/>
              <w:right w:val="single" w:sz="8" w:space="0" w:color="808080" w:themeColor="background1" w:themeShade="80"/>
            </w:tcBorders>
            <w:vAlign w:val="center"/>
          </w:tcPr>
          <w:p w:rsidR="00036562" w:rsidRPr="00D74EA3" w:rsidRDefault="00036562" w:rsidP="00A8415A">
            <w:pPr>
              <w:pStyle w:val="Intro"/>
              <w:spacing w:before="120"/>
              <w:jc w:val="left"/>
              <w:rPr>
                <w:b w:val="0"/>
                <w:sz w:val="14"/>
                <w:szCs w:val="14"/>
                <w:lang w:val="en-GB"/>
              </w:rPr>
            </w:pPr>
            <w:proofErr w:type="spellStart"/>
            <w:r w:rsidRPr="00D74EA3">
              <w:rPr>
                <w:b w:val="0"/>
                <w:sz w:val="14"/>
                <w:szCs w:val="14"/>
              </w:rPr>
              <w:t>Impôts</w:t>
            </w:r>
            <w:proofErr w:type="spellEnd"/>
          </w:p>
        </w:tc>
        <w:tc>
          <w:tcPr>
            <w:tcW w:w="992"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-149</w:t>
            </w:r>
          </w:p>
        </w:tc>
        <w:tc>
          <w:tcPr>
            <w:tcW w:w="992"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-264</w:t>
            </w:r>
          </w:p>
        </w:tc>
        <w:tc>
          <w:tcPr>
            <w:tcW w:w="1134"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-231</w:t>
            </w:r>
          </w:p>
        </w:tc>
        <w:tc>
          <w:tcPr>
            <w:tcW w:w="1134"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749</w:t>
            </w:r>
          </w:p>
        </w:tc>
        <w:tc>
          <w:tcPr>
            <w:tcW w:w="1134" w:type="dxa"/>
            <w:tcBorders>
              <w:top w:val="single" w:sz="8" w:space="0" w:color="808080" w:themeColor="background1" w:themeShade="80"/>
            </w:tcBorders>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-97</w:t>
            </w:r>
          </w:p>
        </w:tc>
      </w:tr>
      <w:tr w:rsidR="00036562" w:rsidRPr="00D74EA3" w:rsidTr="00A8415A">
        <w:trPr>
          <w:trHeight w:val="284"/>
        </w:trPr>
        <w:tc>
          <w:tcPr>
            <w:tcW w:w="4962" w:type="dxa"/>
            <w:tcBorders>
              <w:bottom w:val="single" w:sz="8" w:space="0" w:color="808080" w:themeColor="background1" w:themeShade="80"/>
              <w:right w:val="single" w:sz="8" w:space="0" w:color="808080" w:themeColor="background1" w:themeShade="80"/>
            </w:tcBorders>
            <w:vAlign w:val="center"/>
          </w:tcPr>
          <w:p w:rsidR="00036562" w:rsidRPr="00725FA5" w:rsidRDefault="00036562" w:rsidP="00A8415A">
            <w:pPr>
              <w:pStyle w:val="Intro"/>
              <w:spacing w:before="120"/>
              <w:jc w:val="left"/>
              <w:rPr>
                <w:b w:val="0"/>
                <w:sz w:val="14"/>
                <w:szCs w:val="14"/>
                <w:lang w:val="fr-FR"/>
              </w:rPr>
            </w:pPr>
            <w:r w:rsidRPr="00725FA5">
              <w:rPr>
                <w:b w:val="0"/>
                <w:sz w:val="14"/>
                <w:szCs w:val="14"/>
                <w:lang w:val="fr-FR"/>
              </w:rPr>
              <w:t>Résultat net après impôts des activités abandonnées</w:t>
            </w:r>
          </w:p>
        </w:tc>
        <w:tc>
          <w:tcPr>
            <w:tcW w:w="992"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0</w:t>
            </w:r>
          </w:p>
        </w:tc>
        <w:tc>
          <w:tcPr>
            <w:tcW w:w="992"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0</w:t>
            </w:r>
          </w:p>
        </w:tc>
        <w:tc>
          <w:tcPr>
            <w:tcW w:w="1134"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0</w:t>
            </w:r>
          </w:p>
        </w:tc>
        <w:tc>
          <w:tcPr>
            <w:tcW w:w="1134"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0</w:t>
            </w:r>
          </w:p>
        </w:tc>
        <w:tc>
          <w:tcPr>
            <w:tcW w:w="1134" w:type="dxa"/>
            <w:tcBorders>
              <w:bottom w:val="single" w:sz="8" w:space="0" w:color="808080" w:themeColor="background1" w:themeShade="80"/>
            </w:tcBorders>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0</w:t>
            </w:r>
          </w:p>
        </w:tc>
      </w:tr>
      <w:tr w:rsidR="00036562" w:rsidRPr="00D74EA3" w:rsidTr="00A8415A">
        <w:trPr>
          <w:trHeight w:val="284"/>
        </w:trPr>
        <w:tc>
          <w:tcPr>
            <w:tcW w:w="4962" w:type="dxa"/>
            <w:tcBorders>
              <w:top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036562" w:rsidRPr="00D74EA3" w:rsidRDefault="00036562" w:rsidP="00A8415A">
            <w:pPr>
              <w:pStyle w:val="Intro"/>
              <w:spacing w:before="120"/>
              <w:jc w:val="left"/>
              <w:rPr>
                <w:b w:val="0"/>
                <w:sz w:val="14"/>
                <w:szCs w:val="14"/>
                <w:lang w:val="en-GB"/>
              </w:rPr>
            </w:pPr>
            <w:proofErr w:type="spellStart"/>
            <w:r w:rsidRPr="00D74EA3">
              <w:rPr>
                <w:b w:val="0"/>
                <w:sz w:val="14"/>
                <w:szCs w:val="14"/>
              </w:rPr>
              <w:t>Résultat</w:t>
            </w:r>
            <w:proofErr w:type="spellEnd"/>
            <w:r w:rsidRPr="00D74EA3">
              <w:rPr>
                <w:b w:val="0"/>
                <w:sz w:val="14"/>
                <w:szCs w:val="14"/>
              </w:rPr>
              <w:t xml:space="preserve"> </w:t>
            </w:r>
            <w:proofErr w:type="spellStart"/>
            <w:r w:rsidRPr="00D74EA3">
              <w:rPr>
                <w:b w:val="0"/>
                <w:sz w:val="14"/>
                <w:szCs w:val="14"/>
              </w:rPr>
              <w:t>après</w:t>
            </w:r>
            <w:proofErr w:type="spellEnd"/>
            <w:r w:rsidRPr="00D74EA3">
              <w:rPr>
                <w:b w:val="0"/>
                <w:sz w:val="14"/>
                <w:szCs w:val="14"/>
              </w:rPr>
              <w:t xml:space="preserve"> </w:t>
            </w:r>
            <w:proofErr w:type="spellStart"/>
            <w:r w:rsidRPr="00D74EA3">
              <w:rPr>
                <w:b w:val="0"/>
                <w:sz w:val="14"/>
                <w:szCs w:val="14"/>
              </w:rPr>
              <w:t>impôts</w:t>
            </w:r>
            <w:proofErr w:type="spellEnd"/>
          </w:p>
        </w:tc>
        <w:tc>
          <w:tcPr>
            <w:tcW w:w="992" w:type="dxa"/>
            <w:tcBorders>
              <w:top w:val="single" w:sz="8" w:space="0" w:color="808080" w:themeColor="background1" w:themeShade="80"/>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510</w:t>
            </w:r>
          </w:p>
        </w:tc>
        <w:tc>
          <w:tcPr>
            <w:tcW w:w="992" w:type="dxa"/>
            <w:tcBorders>
              <w:top w:val="single" w:sz="8" w:space="0" w:color="808080" w:themeColor="background1" w:themeShade="80"/>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666</w:t>
            </w:r>
          </w:p>
        </w:tc>
        <w:tc>
          <w:tcPr>
            <w:tcW w:w="1134" w:type="dxa"/>
            <w:tcBorders>
              <w:top w:val="single" w:sz="8" w:space="0" w:color="808080" w:themeColor="background1" w:themeShade="80"/>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600</w:t>
            </w:r>
          </w:p>
        </w:tc>
        <w:tc>
          <w:tcPr>
            <w:tcW w:w="1134" w:type="dxa"/>
            <w:tcBorders>
              <w:top w:val="single" w:sz="8" w:space="0" w:color="808080" w:themeColor="background1" w:themeShade="80"/>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863</w:t>
            </w:r>
          </w:p>
        </w:tc>
        <w:tc>
          <w:tcPr>
            <w:tcW w:w="1134" w:type="dxa"/>
            <w:tcBorders>
              <w:top w:val="single" w:sz="8" w:space="0" w:color="808080" w:themeColor="background1" w:themeShade="80"/>
              <w:bottom w:val="single" w:sz="8" w:space="0" w:color="808080" w:themeColor="background1" w:themeShade="80"/>
            </w:tcBorders>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392</w:t>
            </w:r>
          </w:p>
        </w:tc>
      </w:tr>
      <w:tr w:rsidR="00036562" w:rsidRPr="00D74EA3" w:rsidTr="00A8415A">
        <w:trPr>
          <w:trHeight w:val="284"/>
        </w:trPr>
        <w:tc>
          <w:tcPr>
            <w:tcW w:w="4962" w:type="dxa"/>
            <w:tcBorders>
              <w:top w:val="single" w:sz="8" w:space="0" w:color="808080" w:themeColor="background1" w:themeShade="80"/>
              <w:right w:val="single" w:sz="8" w:space="0" w:color="808080" w:themeColor="background1" w:themeShade="80"/>
            </w:tcBorders>
            <w:vAlign w:val="center"/>
          </w:tcPr>
          <w:p w:rsidR="00036562" w:rsidRPr="00725FA5" w:rsidRDefault="00036562" w:rsidP="00A8415A">
            <w:pPr>
              <w:pStyle w:val="Intro"/>
              <w:spacing w:before="120"/>
              <w:jc w:val="left"/>
              <w:rPr>
                <w:b w:val="0"/>
                <w:sz w:val="14"/>
                <w:szCs w:val="14"/>
                <w:lang w:val="fr-FR"/>
              </w:rPr>
            </w:pPr>
            <w:r w:rsidRPr="00725FA5">
              <w:rPr>
                <w:b w:val="0"/>
                <w:sz w:val="14"/>
                <w:szCs w:val="14"/>
                <w:lang w:val="fr-FR"/>
              </w:rPr>
              <w:t xml:space="preserve">      attribuable à des participations minoritaires</w:t>
            </w:r>
          </w:p>
        </w:tc>
        <w:tc>
          <w:tcPr>
            <w:tcW w:w="992"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0</w:t>
            </w:r>
          </w:p>
        </w:tc>
        <w:tc>
          <w:tcPr>
            <w:tcW w:w="992"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0</w:t>
            </w:r>
          </w:p>
        </w:tc>
        <w:tc>
          <w:tcPr>
            <w:tcW w:w="1134"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0</w:t>
            </w:r>
          </w:p>
        </w:tc>
        <w:tc>
          <w:tcPr>
            <w:tcW w:w="1134"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0</w:t>
            </w:r>
          </w:p>
        </w:tc>
        <w:tc>
          <w:tcPr>
            <w:tcW w:w="1134" w:type="dxa"/>
            <w:tcBorders>
              <w:top w:val="single" w:sz="8" w:space="0" w:color="808080" w:themeColor="background1" w:themeShade="80"/>
            </w:tcBorders>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0</w:t>
            </w:r>
          </w:p>
        </w:tc>
      </w:tr>
      <w:tr w:rsidR="00036562" w:rsidRPr="00D74EA3" w:rsidTr="00A8415A">
        <w:trPr>
          <w:trHeight w:val="284"/>
        </w:trPr>
        <w:tc>
          <w:tcPr>
            <w:tcW w:w="4962" w:type="dxa"/>
            <w:tcBorders>
              <w:right w:val="single" w:sz="8" w:space="0" w:color="808080" w:themeColor="background1" w:themeShade="80"/>
            </w:tcBorders>
            <w:vAlign w:val="center"/>
          </w:tcPr>
          <w:p w:rsidR="00036562" w:rsidRPr="00725FA5" w:rsidRDefault="00036562" w:rsidP="00A8415A">
            <w:pPr>
              <w:pStyle w:val="Intro"/>
              <w:spacing w:before="120"/>
              <w:ind w:left="176" w:hanging="176"/>
              <w:jc w:val="left"/>
              <w:rPr>
                <w:sz w:val="14"/>
                <w:szCs w:val="14"/>
                <w:lang w:val="fr-FR"/>
              </w:rPr>
            </w:pPr>
            <w:r w:rsidRPr="00725FA5">
              <w:rPr>
                <w:sz w:val="14"/>
                <w:szCs w:val="14"/>
                <w:lang w:val="fr-FR"/>
              </w:rPr>
              <w:t xml:space="preserve">     attribuable aux actionnaires de la société mère</w:t>
            </w:r>
          </w:p>
        </w:tc>
        <w:tc>
          <w:tcPr>
            <w:tcW w:w="992" w:type="dxa"/>
            <w:shd w:val="clear" w:color="auto" w:fill="auto"/>
            <w:vAlign w:val="center"/>
          </w:tcPr>
          <w:p w:rsidR="00036562" w:rsidRPr="00D74EA3" w:rsidRDefault="00036562" w:rsidP="00A8415A">
            <w:pPr>
              <w:pStyle w:val="Intro"/>
              <w:jc w:val="right"/>
              <w:rPr>
                <w:sz w:val="14"/>
                <w:szCs w:val="14"/>
                <w:lang w:val="en-GB"/>
              </w:rPr>
            </w:pPr>
            <w:r w:rsidRPr="00D74EA3">
              <w:rPr>
                <w:sz w:val="14"/>
                <w:szCs w:val="14"/>
              </w:rPr>
              <w:t>510</w:t>
            </w:r>
          </w:p>
        </w:tc>
        <w:tc>
          <w:tcPr>
            <w:tcW w:w="992" w:type="dxa"/>
            <w:shd w:val="clear" w:color="auto" w:fill="auto"/>
            <w:vAlign w:val="center"/>
          </w:tcPr>
          <w:p w:rsidR="00036562" w:rsidRPr="00D74EA3" w:rsidRDefault="00036562" w:rsidP="00A8415A">
            <w:pPr>
              <w:pStyle w:val="Intro"/>
              <w:jc w:val="right"/>
              <w:rPr>
                <w:sz w:val="14"/>
                <w:szCs w:val="14"/>
                <w:lang w:val="en-GB"/>
              </w:rPr>
            </w:pPr>
            <w:r w:rsidRPr="00D74EA3">
              <w:rPr>
                <w:sz w:val="14"/>
                <w:szCs w:val="14"/>
              </w:rPr>
              <w:t>666</w:t>
            </w:r>
          </w:p>
        </w:tc>
        <w:tc>
          <w:tcPr>
            <w:tcW w:w="1134" w:type="dxa"/>
            <w:shd w:val="clear" w:color="auto" w:fill="auto"/>
            <w:vAlign w:val="center"/>
          </w:tcPr>
          <w:p w:rsidR="00036562" w:rsidRPr="00D74EA3" w:rsidRDefault="00036562" w:rsidP="00A8415A">
            <w:pPr>
              <w:pStyle w:val="Intro"/>
              <w:jc w:val="right"/>
              <w:rPr>
                <w:sz w:val="14"/>
                <w:szCs w:val="14"/>
                <w:lang w:val="en-GB"/>
              </w:rPr>
            </w:pPr>
            <w:r w:rsidRPr="00D74EA3">
              <w:rPr>
                <w:sz w:val="14"/>
                <w:szCs w:val="14"/>
              </w:rPr>
              <w:t>600</w:t>
            </w:r>
          </w:p>
        </w:tc>
        <w:tc>
          <w:tcPr>
            <w:tcW w:w="1134" w:type="dxa"/>
            <w:shd w:val="clear" w:color="auto" w:fill="auto"/>
            <w:vAlign w:val="center"/>
          </w:tcPr>
          <w:p w:rsidR="00036562" w:rsidRPr="00D74EA3" w:rsidRDefault="00036562" w:rsidP="00A8415A">
            <w:pPr>
              <w:pStyle w:val="Intro"/>
              <w:jc w:val="right"/>
              <w:rPr>
                <w:sz w:val="14"/>
                <w:szCs w:val="14"/>
                <w:lang w:val="en-GB"/>
              </w:rPr>
            </w:pPr>
            <w:r w:rsidRPr="00D74EA3">
              <w:rPr>
                <w:sz w:val="14"/>
                <w:szCs w:val="14"/>
              </w:rPr>
              <w:t>862</w:t>
            </w:r>
          </w:p>
        </w:tc>
        <w:tc>
          <w:tcPr>
            <w:tcW w:w="1134" w:type="dxa"/>
            <w:shd w:val="clear" w:color="auto" w:fill="D9D9D9" w:themeFill="background1" w:themeFillShade="D9"/>
            <w:vAlign w:val="center"/>
          </w:tcPr>
          <w:p w:rsidR="00036562" w:rsidRPr="00D74EA3" w:rsidRDefault="00036562" w:rsidP="00A8415A">
            <w:pPr>
              <w:pStyle w:val="Intro"/>
              <w:jc w:val="right"/>
              <w:rPr>
                <w:sz w:val="14"/>
                <w:szCs w:val="14"/>
                <w:lang w:val="en-GB"/>
              </w:rPr>
            </w:pPr>
            <w:r w:rsidRPr="00D74EA3">
              <w:rPr>
                <w:sz w:val="14"/>
                <w:szCs w:val="14"/>
              </w:rPr>
              <w:t>392</w:t>
            </w:r>
          </w:p>
        </w:tc>
      </w:tr>
      <w:tr w:rsidR="00036562" w:rsidRPr="00D74EA3" w:rsidTr="00A8415A">
        <w:trPr>
          <w:trHeight w:val="170"/>
        </w:trPr>
        <w:tc>
          <w:tcPr>
            <w:tcW w:w="4962" w:type="dxa"/>
            <w:tcBorders>
              <w:top w:val="single" w:sz="8" w:space="0" w:color="808080" w:themeColor="background1" w:themeShade="80"/>
              <w:right w:val="single" w:sz="8" w:space="0" w:color="808080" w:themeColor="background1" w:themeShade="80"/>
            </w:tcBorders>
            <w:vAlign w:val="center"/>
          </w:tcPr>
          <w:p w:rsidR="00036562" w:rsidRPr="00725FA5" w:rsidRDefault="00036562" w:rsidP="00A8415A">
            <w:pPr>
              <w:pStyle w:val="Intro"/>
              <w:jc w:val="left"/>
              <w:rPr>
                <w:b w:val="0"/>
                <w:sz w:val="14"/>
                <w:szCs w:val="14"/>
                <w:vertAlign w:val="superscript"/>
                <w:lang w:val="fr-FR"/>
              </w:rPr>
            </w:pPr>
            <w:r w:rsidRPr="00725FA5">
              <w:rPr>
                <w:b w:val="0"/>
                <w:sz w:val="14"/>
                <w:szCs w:val="14"/>
                <w:lang w:val="fr-FR"/>
              </w:rPr>
              <w:t>Bénéfice de base par action (EUR)</w:t>
            </w:r>
            <w:r>
              <w:rPr>
                <w:b w:val="0"/>
                <w:sz w:val="14"/>
                <w:szCs w:val="14"/>
                <w:lang w:val="fr-FR"/>
              </w:rPr>
              <w:t>*</w:t>
            </w:r>
          </w:p>
        </w:tc>
        <w:tc>
          <w:tcPr>
            <w:tcW w:w="992"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1.19</w:t>
            </w:r>
          </w:p>
        </w:tc>
        <w:tc>
          <w:tcPr>
            <w:tcW w:w="992"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1.56</w:t>
            </w:r>
          </w:p>
        </w:tc>
        <w:tc>
          <w:tcPr>
            <w:tcW w:w="1134"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1.41</w:t>
            </w:r>
          </w:p>
        </w:tc>
        <w:tc>
          <w:tcPr>
            <w:tcW w:w="1134"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-0.36</w:t>
            </w:r>
          </w:p>
        </w:tc>
        <w:tc>
          <w:tcPr>
            <w:tcW w:w="1134" w:type="dxa"/>
            <w:tcBorders>
              <w:top w:val="single" w:sz="8" w:space="0" w:color="808080" w:themeColor="background1" w:themeShade="80"/>
            </w:tcBorders>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0.91</w:t>
            </w:r>
          </w:p>
        </w:tc>
      </w:tr>
      <w:tr w:rsidR="00036562" w:rsidRPr="00D74EA3" w:rsidTr="00A8415A">
        <w:trPr>
          <w:trHeight w:val="170"/>
        </w:trPr>
        <w:tc>
          <w:tcPr>
            <w:tcW w:w="4962" w:type="dxa"/>
            <w:tcBorders>
              <w:bottom w:val="single" w:sz="8" w:space="0" w:color="808080" w:themeColor="background1" w:themeShade="80"/>
              <w:right w:val="single" w:sz="8" w:space="0" w:color="808080" w:themeColor="background1" w:themeShade="80"/>
            </w:tcBorders>
            <w:vAlign w:val="center"/>
          </w:tcPr>
          <w:p w:rsidR="00036562" w:rsidRPr="00725FA5" w:rsidRDefault="00036562" w:rsidP="00A8415A">
            <w:pPr>
              <w:pStyle w:val="Intro"/>
              <w:jc w:val="left"/>
              <w:rPr>
                <w:b w:val="0"/>
                <w:sz w:val="14"/>
                <w:szCs w:val="14"/>
                <w:vertAlign w:val="superscript"/>
                <w:lang w:val="fr-FR"/>
              </w:rPr>
            </w:pPr>
            <w:r w:rsidRPr="00725FA5">
              <w:rPr>
                <w:b w:val="0"/>
                <w:sz w:val="14"/>
                <w:szCs w:val="14"/>
                <w:lang w:val="fr-FR"/>
              </w:rPr>
              <w:t>Bénéfice dilué par action (EUR)</w:t>
            </w:r>
            <w:r>
              <w:rPr>
                <w:b w:val="0"/>
                <w:sz w:val="14"/>
                <w:szCs w:val="14"/>
                <w:lang w:val="fr-FR"/>
              </w:rPr>
              <w:t>*</w:t>
            </w:r>
          </w:p>
        </w:tc>
        <w:tc>
          <w:tcPr>
            <w:tcW w:w="992"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1.19</w:t>
            </w:r>
          </w:p>
        </w:tc>
        <w:tc>
          <w:tcPr>
            <w:tcW w:w="992"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1.56</w:t>
            </w:r>
          </w:p>
        </w:tc>
        <w:tc>
          <w:tcPr>
            <w:tcW w:w="1134"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1.41</w:t>
            </w:r>
          </w:p>
        </w:tc>
        <w:tc>
          <w:tcPr>
            <w:tcW w:w="1134"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-0.36</w:t>
            </w:r>
          </w:p>
        </w:tc>
        <w:tc>
          <w:tcPr>
            <w:tcW w:w="1134" w:type="dxa"/>
            <w:tcBorders>
              <w:bottom w:val="single" w:sz="8" w:space="0" w:color="808080" w:themeColor="background1" w:themeShade="80"/>
            </w:tcBorders>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0.91</w:t>
            </w:r>
          </w:p>
        </w:tc>
      </w:tr>
    </w:tbl>
    <w:p w:rsidR="00036562" w:rsidRPr="00BE57E5" w:rsidRDefault="00036562" w:rsidP="00036562">
      <w:pPr>
        <w:autoSpaceDE w:val="0"/>
        <w:autoSpaceDN w:val="0"/>
        <w:adjustRightInd w:val="0"/>
        <w:ind w:right="283"/>
        <w:rPr>
          <w:rFonts w:ascii="ArialMT" w:eastAsiaTheme="minorHAnsi" w:hAnsi="ArialMT" w:cs="ArialMT"/>
          <w:sz w:val="12"/>
          <w:szCs w:val="12"/>
          <w:lang w:val="fr-FR"/>
        </w:rPr>
      </w:pPr>
      <w:r w:rsidRPr="00BE57E5">
        <w:rPr>
          <w:rFonts w:ascii="ArialMT" w:eastAsiaTheme="minorHAnsi" w:hAnsi="ArialMT" w:cs="ArialMT"/>
          <w:sz w:val="12"/>
          <w:szCs w:val="12"/>
          <w:lang w:val="fr-FR"/>
        </w:rPr>
        <w:t>* Note : en cas de paiement d’un coupon sur les titres de capital de base vendus au gouvernement régional flamand et les instruments additionnels Tier-1 inclus dans les capitaux propres, il sera déduit du numérateur (</w:t>
      </w:r>
      <w:r w:rsidRPr="00BE57E5">
        <w:rPr>
          <w:rFonts w:ascii="ArialMT" w:eastAsiaTheme="minorHAnsi" w:hAnsi="ArialMT" w:cs="ArialMT"/>
          <w:i/>
          <w:sz w:val="12"/>
          <w:szCs w:val="12"/>
          <w:lang w:val="fr-FR"/>
        </w:rPr>
        <w:t>au pro rata</w:t>
      </w:r>
      <w:r w:rsidRPr="00BE57E5">
        <w:rPr>
          <w:rFonts w:ascii="ArialMT" w:eastAsiaTheme="minorHAnsi" w:hAnsi="ArialMT" w:cs="ArialMT"/>
          <w:sz w:val="12"/>
          <w:szCs w:val="12"/>
          <w:lang w:val="fr-FR"/>
        </w:rPr>
        <w:t>). En cas de paiement d'une pénalité sur les titres du capital de base, elle sera déduite de la même manière.</w:t>
      </w:r>
    </w:p>
    <w:p w:rsidR="00036562" w:rsidRPr="00BF2AF3" w:rsidRDefault="00036562" w:rsidP="00036562">
      <w:pPr>
        <w:autoSpaceDE w:val="0"/>
        <w:autoSpaceDN w:val="0"/>
        <w:adjustRightInd w:val="0"/>
        <w:ind w:right="283"/>
        <w:rPr>
          <w:rFonts w:ascii="ArialMT" w:eastAsiaTheme="minorHAnsi" w:hAnsi="ArialMT" w:cs="ArialMT"/>
          <w:sz w:val="12"/>
          <w:szCs w:val="12"/>
          <w:lang w:val="fr-FR"/>
        </w:rPr>
      </w:pPr>
    </w:p>
    <w:p w:rsidR="00036562" w:rsidRPr="00BF2AF3" w:rsidRDefault="00036562" w:rsidP="00036562">
      <w:pPr>
        <w:jc w:val="both"/>
        <w:rPr>
          <w:b/>
          <w:i/>
          <w:noProof/>
          <w:sz w:val="18"/>
          <w:szCs w:val="18"/>
          <w:lang w:val="fr-FR" w:eastAsia="nl-BE"/>
        </w:rPr>
      </w:pPr>
    </w:p>
    <w:p w:rsidR="00036562" w:rsidRPr="00BF2AF3" w:rsidRDefault="00036562" w:rsidP="00036562">
      <w:pPr>
        <w:jc w:val="both"/>
        <w:rPr>
          <w:b/>
          <w:i/>
          <w:noProof/>
          <w:sz w:val="10"/>
          <w:szCs w:val="10"/>
          <w:lang w:val="fr-FR" w:eastAsia="nl-BE"/>
        </w:rPr>
      </w:pPr>
    </w:p>
    <w:p w:rsidR="00036562" w:rsidRPr="00BF2AF3" w:rsidRDefault="00036562" w:rsidP="00036562">
      <w:pPr>
        <w:jc w:val="both"/>
        <w:rPr>
          <w:rFonts w:ascii="Arial" w:hAnsi="Arial"/>
          <w:bCs/>
          <w:i/>
          <w:snapToGrid w:val="0"/>
          <w:sz w:val="18"/>
          <w:szCs w:val="18"/>
          <w:lang w:val="fr-FR"/>
        </w:rPr>
      </w:pPr>
    </w:p>
    <w:p w:rsidR="00036562" w:rsidRPr="00BF2AF3" w:rsidRDefault="00036562" w:rsidP="00036562">
      <w:pPr>
        <w:jc w:val="both"/>
        <w:rPr>
          <w:rFonts w:ascii="Arial" w:hAnsi="Arial"/>
          <w:bCs/>
          <w:i/>
          <w:snapToGrid w:val="0"/>
          <w:sz w:val="18"/>
          <w:szCs w:val="18"/>
          <w:lang w:val="fr-FR"/>
        </w:rPr>
      </w:pPr>
    </w:p>
    <w:tbl>
      <w:tblPr>
        <w:tblW w:w="10336" w:type="dxa"/>
        <w:tblLook w:val="01E0" w:firstRow="1" w:lastRow="1" w:firstColumn="1" w:lastColumn="1" w:noHBand="0" w:noVBand="0"/>
      </w:tblPr>
      <w:tblGrid>
        <w:gridCol w:w="989"/>
        <w:gridCol w:w="989"/>
        <w:gridCol w:w="2984"/>
        <w:gridCol w:w="236"/>
        <w:gridCol w:w="898"/>
        <w:gridCol w:w="1131"/>
        <w:gridCol w:w="1131"/>
        <w:gridCol w:w="990"/>
        <w:gridCol w:w="988"/>
      </w:tblGrid>
      <w:tr w:rsidR="00036562" w:rsidRPr="00D74EA3" w:rsidTr="00A8415A">
        <w:tc>
          <w:tcPr>
            <w:tcW w:w="4962" w:type="dxa"/>
            <w:gridSpan w:val="3"/>
            <w:tcBorders>
              <w:bottom w:val="single" w:sz="8" w:space="0" w:color="808080" w:themeColor="background1" w:themeShade="80"/>
            </w:tcBorders>
            <w:shd w:val="clear" w:color="auto" w:fill="auto"/>
            <w:vAlign w:val="center"/>
          </w:tcPr>
          <w:p w:rsidR="00036562" w:rsidRPr="00725FA5" w:rsidRDefault="00036562" w:rsidP="00A8415A">
            <w:pPr>
              <w:pStyle w:val="Intro"/>
              <w:jc w:val="left"/>
              <w:rPr>
                <w:color w:val="00B0F0"/>
                <w:sz w:val="14"/>
                <w:szCs w:val="14"/>
                <w:lang w:val="fr-FR"/>
              </w:rPr>
            </w:pPr>
            <w:r w:rsidRPr="00725FA5">
              <w:rPr>
                <w:color w:val="00B0F0"/>
                <w:sz w:val="14"/>
                <w:szCs w:val="14"/>
                <w:lang w:val="fr-FR"/>
              </w:rPr>
              <w:lastRenderedPageBreak/>
              <w:t xml:space="preserve">Chiffres clés du bilan consolidé </w:t>
            </w:r>
            <w:r w:rsidRPr="00725FA5">
              <w:rPr>
                <w:color w:val="00B0F0"/>
                <w:sz w:val="14"/>
                <w:szCs w:val="14"/>
                <w:lang w:val="fr-FR"/>
              </w:rPr>
              <w:br/>
              <w:t>Groupe KBC (en millions EUR)</w:t>
            </w:r>
          </w:p>
        </w:tc>
        <w:tc>
          <w:tcPr>
            <w:tcW w:w="236" w:type="dxa"/>
            <w:tcBorders>
              <w:bottom w:val="single" w:sz="8" w:space="0" w:color="808080" w:themeColor="background1" w:themeShade="80"/>
            </w:tcBorders>
            <w:shd w:val="clear" w:color="auto" w:fill="auto"/>
            <w:vAlign w:val="center"/>
          </w:tcPr>
          <w:p w:rsidR="00036562" w:rsidRPr="00725FA5" w:rsidRDefault="00036562" w:rsidP="00A8415A">
            <w:pPr>
              <w:pStyle w:val="Intro"/>
              <w:ind w:left="-216" w:right="-108"/>
              <w:jc w:val="right"/>
              <w:rPr>
                <w:color w:val="00B0F0"/>
                <w:sz w:val="14"/>
                <w:szCs w:val="14"/>
                <w:lang w:val="fr-FR"/>
              </w:rPr>
            </w:pPr>
          </w:p>
        </w:tc>
        <w:tc>
          <w:tcPr>
            <w:tcW w:w="898" w:type="dxa"/>
            <w:tcBorders>
              <w:bottom w:val="single" w:sz="8" w:space="0" w:color="808080" w:themeColor="background1" w:themeShade="80"/>
            </w:tcBorders>
            <w:shd w:val="clear" w:color="auto" w:fill="auto"/>
            <w:vAlign w:val="center"/>
          </w:tcPr>
          <w:p w:rsidR="00036562" w:rsidRPr="00D74EA3" w:rsidRDefault="00036562" w:rsidP="00A8415A">
            <w:pPr>
              <w:pStyle w:val="Intro"/>
              <w:ind w:left="-203" w:hanging="203"/>
              <w:jc w:val="right"/>
              <w:rPr>
                <w:color w:val="00B0F0"/>
                <w:sz w:val="14"/>
                <w:szCs w:val="14"/>
                <w:lang w:val="en-GB"/>
              </w:rPr>
            </w:pPr>
            <w:r w:rsidRPr="00D74EA3">
              <w:rPr>
                <w:color w:val="00B0F0"/>
                <w:sz w:val="14"/>
                <w:szCs w:val="14"/>
              </w:rPr>
              <w:t>31-03-2015</w:t>
            </w:r>
          </w:p>
        </w:tc>
        <w:tc>
          <w:tcPr>
            <w:tcW w:w="1131"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color w:val="00B0F0"/>
                <w:sz w:val="14"/>
                <w:szCs w:val="14"/>
                <w:lang w:val="en-GB"/>
              </w:rPr>
            </w:pPr>
            <w:r w:rsidRPr="00D74EA3">
              <w:rPr>
                <w:color w:val="00B0F0"/>
                <w:sz w:val="14"/>
                <w:szCs w:val="14"/>
              </w:rPr>
              <w:t>30-06-2015</w:t>
            </w:r>
          </w:p>
        </w:tc>
        <w:tc>
          <w:tcPr>
            <w:tcW w:w="1131"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color w:val="00B0F0"/>
                <w:sz w:val="14"/>
                <w:szCs w:val="14"/>
                <w:lang w:val="en-GB"/>
              </w:rPr>
            </w:pPr>
            <w:r w:rsidRPr="00D74EA3">
              <w:rPr>
                <w:color w:val="00B0F0"/>
                <w:sz w:val="14"/>
                <w:szCs w:val="14"/>
              </w:rPr>
              <w:t>30-09-2015</w:t>
            </w:r>
          </w:p>
        </w:tc>
        <w:tc>
          <w:tcPr>
            <w:tcW w:w="990"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color w:val="00B0F0"/>
                <w:sz w:val="14"/>
                <w:szCs w:val="14"/>
                <w:lang w:val="en-GB"/>
              </w:rPr>
            </w:pPr>
            <w:r w:rsidRPr="00D74EA3">
              <w:rPr>
                <w:color w:val="00B0F0"/>
                <w:sz w:val="14"/>
                <w:szCs w:val="14"/>
              </w:rPr>
              <w:t>31-12-2015</w:t>
            </w:r>
          </w:p>
        </w:tc>
        <w:tc>
          <w:tcPr>
            <w:tcW w:w="988" w:type="dxa"/>
            <w:tcBorders>
              <w:bottom w:val="single" w:sz="8" w:space="0" w:color="808080" w:themeColor="background1" w:themeShade="80"/>
            </w:tcBorders>
            <w:vAlign w:val="center"/>
          </w:tcPr>
          <w:p w:rsidR="00036562" w:rsidRPr="00D74EA3" w:rsidRDefault="00036562" w:rsidP="00A8415A">
            <w:pPr>
              <w:pStyle w:val="Intro"/>
              <w:jc w:val="right"/>
              <w:rPr>
                <w:color w:val="00B0F0"/>
                <w:sz w:val="14"/>
                <w:szCs w:val="14"/>
                <w:lang w:val="en-GB"/>
              </w:rPr>
            </w:pPr>
            <w:r w:rsidRPr="00D74EA3">
              <w:rPr>
                <w:color w:val="00B0F0"/>
                <w:sz w:val="14"/>
                <w:szCs w:val="14"/>
              </w:rPr>
              <w:t>31-03-2016</w:t>
            </w:r>
          </w:p>
        </w:tc>
      </w:tr>
      <w:tr w:rsidR="00036562" w:rsidRPr="00D74EA3" w:rsidTr="00A8415A">
        <w:trPr>
          <w:trHeight w:val="227"/>
        </w:trPr>
        <w:tc>
          <w:tcPr>
            <w:tcW w:w="4962" w:type="dxa"/>
            <w:gridSpan w:val="3"/>
            <w:tcBorders>
              <w:top w:val="single" w:sz="8" w:space="0" w:color="808080" w:themeColor="background1" w:themeShade="80"/>
              <w:right w:val="single" w:sz="8" w:space="0" w:color="808080" w:themeColor="background1" w:themeShade="80"/>
            </w:tcBorders>
            <w:vAlign w:val="center"/>
          </w:tcPr>
          <w:p w:rsidR="00036562" w:rsidRPr="00D74EA3" w:rsidRDefault="00036562" w:rsidP="00A8415A">
            <w:pPr>
              <w:pStyle w:val="Intro"/>
              <w:jc w:val="left"/>
              <w:rPr>
                <w:b w:val="0"/>
                <w:sz w:val="14"/>
                <w:szCs w:val="14"/>
                <w:lang w:val="en-GB"/>
              </w:rPr>
            </w:pPr>
            <w:proofErr w:type="spellStart"/>
            <w:r w:rsidRPr="00D74EA3">
              <w:rPr>
                <w:b w:val="0"/>
                <w:sz w:val="14"/>
                <w:szCs w:val="14"/>
              </w:rPr>
              <w:t>Actifs</w:t>
            </w:r>
            <w:proofErr w:type="spellEnd"/>
            <w:r w:rsidRPr="00D74EA3">
              <w:rPr>
                <w:b w:val="0"/>
                <w:sz w:val="14"/>
                <w:szCs w:val="14"/>
              </w:rPr>
              <w:t xml:space="preserve"> </w:t>
            </w:r>
            <w:proofErr w:type="spellStart"/>
            <w:r w:rsidRPr="00D74EA3">
              <w:rPr>
                <w:b w:val="0"/>
                <w:sz w:val="14"/>
                <w:szCs w:val="14"/>
              </w:rPr>
              <w:t>totaux</w:t>
            </w:r>
            <w:proofErr w:type="spellEnd"/>
          </w:p>
        </w:tc>
        <w:tc>
          <w:tcPr>
            <w:tcW w:w="236" w:type="dxa"/>
            <w:tcBorders>
              <w:top w:val="single" w:sz="8" w:space="0" w:color="808080" w:themeColor="background1" w:themeShade="80"/>
              <w:left w:val="single" w:sz="8" w:space="0" w:color="808080" w:themeColor="background1" w:themeShade="80"/>
            </w:tcBorders>
            <w:vAlign w:val="center"/>
          </w:tcPr>
          <w:p w:rsidR="00036562" w:rsidRPr="00D74EA3" w:rsidRDefault="00036562" w:rsidP="00A8415A">
            <w:pPr>
              <w:pStyle w:val="Intro"/>
              <w:jc w:val="right"/>
              <w:rPr>
                <w:b w:val="0"/>
                <w:sz w:val="14"/>
                <w:szCs w:val="14"/>
                <w:lang w:val="en-GB"/>
              </w:rPr>
            </w:pPr>
          </w:p>
        </w:tc>
        <w:tc>
          <w:tcPr>
            <w:tcW w:w="898"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258 396</w:t>
            </w:r>
          </w:p>
        </w:tc>
        <w:tc>
          <w:tcPr>
            <w:tcW w:w="1131"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256 654</w:t>
            </w:r>
          </w:p>
        </w:tc>
        <w:tc>
          <w:tcPr>
            <w:tcW w:w="1131"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257 632</w:t>
            </w:r>
          </w:p>
        </w:tc>
        <w:tc>
          <w:tcPr>
            <w:tcW w:w="990" w:type="dxa"/>
            <w:tcBorders>
              <w:top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252 356</w:t>
            </w:r>
          </w:p>
        </w:tc>
        <w:tc>
          <w:tcPr>
            <w:tcW w:w="988" w:type="dxa"/>
            <w:tcBorders>
              <w:top w:val="single" w:sz="8" w:space="0" w:color="808080" w:themeColor="background1" w:themeShade="80"/>
            </w:tcBorders>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261 551</w:t>
            </w:r>
          </w:p>
        </w:tc>
      </w:tr>
      <w:tr w:rsidR="00036562" w:rsidRPr="00D74EA3" w:rsidTr="00A8415A">
        <w:trPr>
          <w:trHeight w:val="227"/>
        </w:trPr>
        <w:tc>
          <w:tcPr>
            <w:tcW w:w="4962" w:type="dxa"/>
            <w:gridSpan w:val="3"/>
            <w:tcBorders>
              <w:right w:val="single" w:sz="8" w:space="0" w:color="808080" w:themeColor="background1" w:themeShade="80"/>
            </w:tcBorders>
            <w:vAlign w:val="center"/>
          </w:tcPr>
          <w:p w:rsidR="00036562" w:rsidRPr="00725FA5" w:rsidRDefault="00036562" w:rsidP="00A8415A">
            <w:pPr>
              <w:pStyle w:val="Intro"/>
              <w:jc w:val="left"/>
              <w:rPr>
                <w:b w:val="0"/>
                <w:sz w:val="14"/>
                <w:szCs w:val="14"/>
                <w:lang w:val="fr-FR"/>
              </w:rPr>
            </w:pPr>
            <w:r w:rsidRPr="00725FA5">
              <w:rPr>
                <w:b w:val="0"/>
                <w:sz w:val="14"/>
                <w:szCs w:val="14"/>
                <w:lang w:val="fr-FR"/>
              </w:rPr>
              <w:t>Prêts et avances à la clientèle</w:t>
            </w:r>
          </w:p>
        </w:tc>
        <w:tc>
          <w:tcPr>
            <w:tcW w:w="236" w:type="dxa"/>
            <w:tcBorders>
              <w:left w:val="single" w:sz="8" w:space="0" w:color="808080" w:themeColor="background1" w:themeShade="80"/>
            </w:tcBorders>
            <w:vAlign w:val="center"/>
          </w:tcPr>
          <w:p w:rsidR="00036562" w:rsidRPr="00725FA5" w:rsidRDefault="00036562" w:rsidP="00A8415A">
            <w:pPr>
              <w:pStyle w:val="Intro"/>
              <w:jc w:val="right"/>
              <w:rPr>
                <w:b w:val="0"/>
                <w:sz w:val="14"/>
                <w:szCs w:val="14"/>
                <w:lang w:val="fr-FR"/>
              </w:rPr>
            </w:pPr>
          </w:p>
        </w:tc>
        <w:tc>
          <w:tcPr>
            <w:tcW w:w="898"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124 632</w:t>
            </w:r>
          </w:p>
        </w:tc>
        <w:tc>
          <w:tcPr>
            <w:tcW w:w="1131"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126 093</w:t>
            </w:r>
          </w:p>
        </w:tc>
        <w:tc>
          <w:tcPr>
            <w:tcW w:w="1131"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126 971</w:t>
            </w:r>
          </w:p>
        </w:tc>
        <w:tc>
          <w:tcPr>
            <w:tcW w:w="990"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128 223</w:t>
            </w:r>
          </w:p>
        </w:tc>
        <w:tc>
          <w:tcPr>
            <w:tcW w:w="988" w:type="dxa"/>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129 703</w:t>
            </w:r>
          </w:p>
        </w:tc>
      </w:tr>
      <w:tr w:rsidR="00036562" w:rsidRPr="00D74EA3" w:rsidTr="00A8415A">
        <w:trPr>
          <w:trHeight w:val="227"/>
        </w:trPr>
        <w:tc>
          <w:tcPr>
            <w:tcW w:w="4962" w:type="dxa"/>
            <w:gridSpan w:val="3"/>
            <w:tcBorders>
              <w:right w:val="single" w:sz="8" w:space="0" w:color="808080" w:themeColor="background1" w:themeShade="80"/>
            </w:tcBorders>
            <w:vAlign w:val="center"/>
          </w:tcPr>
          <w:p w:rsidR="00036562" w:rsidRPr="00725FA5" w:rsidRDefault="00036562" w:rsidP="00A8415A">
            <w:pPr>
              <w:pStyle w:val="Intro"/>
              <w:jc w:val="left"/>
              <w:rPr>
                <w:b w:val="0"/>
                <w:sz w:val="14"/>
                <w:szCs w:val="14"/>
                <w:lang w:val="fr-FR"/>
              </w:rPr>
            </w:pPr>
            <w:r w:rsidRPr="00725FA5">
              <w:rPr>
                <w:b w:val="0"/>
                <w:sz w:val="14"/>
                <w:szCs w:val="14"/>
                <w:lang w:val="fr-FR"/>
              </w:rPr>
              <w:t>Titres (actions et titres de créance)</w:t>
            </w:r>
          </w:p>
        </w:tc>
        <w:tc>
          <w:tcPr>
            <w:tcW w:w="236" w:type="dxa"/>
            <w:tcBorders>
              <w:left w:val="single" w:sz="8" w:space="0" w:color="808080" w:themeColor="background1" w:themeShade="80"/>
            </w:tcBorders>
            <w:vAlign w:val="center"/>
          </w:tcPr>
          <w:p w:rsidR="00036562" w:rsidRPr="00725FA5" w:rsidRDefault="00036562" w:rsidP="00A8415A">
            <w:pPr>
              <w:pStyle w:val="Intro"/>
              <w:jc w:val="right"/>
              <w:rPr>
                <w:b w:val="0"/>
                <w:sz w:val="14"/>
                <w:szCs w:val="14"/>
                <w:lang w:val="fr-FR"/>
              </w:rPr>
            </w:pPr>
          </w:p>
        </w:tc>
        <w:tc>
          <w:tcPr>
            <w:tcW w:w="898"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71 948</w:t>
            </w:r>
          </w:p>
        </w:tc>
        <w:tc>
          <w:tcPr>
            <w:tcW w:w="1131"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70 755</w:t>
            </w:r>
          </w:p>
        </w:tc>
        <w:tc>
          <w:tcPr>
            <w:tcW w:w="1131"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71 115</w:t>
            </w:r>
          </w:p>
        </w:tc>
        <w:tc>
          <w:tcPr>
            <w:tcW w:w="990"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72 623</w:t>
            </w:r>
          </w:p>
        </w:tc>
        <w:tc>
          <w:tcPr>
            <w:tcW w:w="988" w:type="dxa"/>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72 860</w:t>
            </w:r>
          </w:p>
        </w:tc>
      </w:tr>
      <w:tr w:rsidR="00036562" w:rsidRPr="00D74EA3" w:rsidTr="00A8415A">
        <w:trPr>
          <w:trHeight w:val="227"/>
        </w:trPr>
        <w:tc>
          <w:tcPr>
            <w:tcW w:w="4962" w:type="dxa"/>
            <w:gridSpan w:val="3"/>
            <w:tcBorders>
              <w:right w:val="single" w:sz="8" w:space="0" w:color="808080" w:themeColor="background1" w:themeShade="80"/>
            </w:tcBorders>
            <w:vAlign w:val="center"/>
          </w:tcPr>
          <w:p w:rsidR="00036562" w:rsidRPr="00725FA5" w:rsidRDefault="00036562" w:rsidP="00A8415A">
            <w:pPr>
              <w:pStyle w:val="Intro"/>
              <w:jc w:val="left"/>
              <w:rPr>
                <w:b w:val="0"/>
                <w:sz w:val="14"/>
                <w:szCs w:val="14"/>
                <w:lang w:val="fr-FR"/>
              </w:rPr>
            </w:pPr>
            <w:r w:rsidRPr="00725FA5">
              <w:rPr>
                <w:b w:val="0"/>
                <w:sz w:val="14"/>
                <w:szCs w:val="14"/>
                <w:lang w:val="fr-FR"/>
              </w:rPr>
              <w:t>Dépôts de la clientèle et certificats de dette</w:t>
            </w:r>
          </w:p>
        </w:tc>
        <w:tc>
          <w:tcPr>
            <w:tcW w:w="236" w:type="dxa"/>
            <w:tcBorders>
              <w:left w:val="single" w:sz="8" w:space="0" w:color="808080" w:themeColor="background1" w:themeShade="80"/>
            </w:tcBorders>
            <w:vAlign w:val="center"/>
          </w:tcPr>
          <w:p w:rsidR="00036562" w:rsidRPr="00725FA5" w:rsidRDefault="00036562" w:rsidP="00A8415A">
            <w:pPr>
              <w:pStyle w:val="Intro"/>
              <w:jc w:val="right"/>
              <w:rPr>
                <w:b w:val="0"/>
                <w:sz w:val="14"/>
                <w:szCs w:val="14"/>
                <w:lang w:val="fr-FR"/>
              </w:rPr>
            </w:pPr>
          </w:p>
        </w:tc>
        <w:tc>
          <w:tcPr>
            <w:tcW w:w="898"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167 922</w:t>
            </w:r>
          </w:p>
        </w:tc>
        <w:tc>
          <w:tcPr>
            <w:tcW w:w="1131"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170 159</w:t>
            </w:r>
          </w:p>
        </w:tc>
        <w:tc>
          <w:tcPr>
            <w:tcW w:w="1131"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171 412</w:t>
            </w:r>
          </w:p>
        </w:tc>
        <w:tc>
          <w:tcPr>
            <w:tcW w:w="990"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170 109</w:t>
            </w:r>
          </w:p>
        </w:tc>
        <w:tc>
          <w:tcPr>
            <w:tcW w:w="988" w:type="dxa"/>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173 646</w:t>
            </w:r>
          </w:p>
        </w:tc>
      </w:tr>
      <w:tr w:rsidR="00036562" w:rsidRPr="00D74EA3" w:rsidTr="00A8415A">
        <w:trPr>
          <w:trHeight w:val="227"/>
        </w:trPr>
        <w:tc>
          <w:tcPr>
            <w:tcW w:w="4962" w:type="dxa"/>
            <w:gridSpan w:val="3"/>
            <w:tcBorders>
              <w:right w:val="single" w:sz="8" w:space="0" w:color="808080" w:themeColor="background1" w:themeShade="80"/>
            </w:tcBorders>
            <w:vAlign w:val="center"/>
          </w:tcPr>
          <w:p w:rsidR="00036562" w:rsidRPr="00D74EA3" w:rsidRDefault="00036562" w:rsidP="00A8415A">
            <w:pPr>
              <w:pStyle w:val="Intro"/>
              <w:jc w:val="left"/>
              <w:rPr>
                <w:b w:val="0"/>
                <w:sz w:val="14"/>
                <w:szCs w:val="14"/>
                <w:lang w:val="en-GB"/>
              </w:rPr>
            </w:pPr>
            <w:proofErr w:type="spellStart"/>
            <w:r w:rsidRPr="00D74EA3">
              <w:rPr>
                <w:b w:val="0"/>
                <w:sz w:val="14"/>
                <w:szCs w:val="14"/>
              </w:rPr>
              <w:t>Provisions</w:t>
            </w:r>
            <w:proofErr w:type="spellEnd"/>
            <w:r w:rsidRPr="00D74EA3">
              <w:rPr>
                <w:b w:val="0"/>
                <w:sz w:val="14"/>
                <w:szCs w:val="14"/>
              </w:rPr>
              <w:t xml:space="preserve"> </w:t>
            </w:r>
            <w:proofErr w:type="spellStart"/>
            <w:r w:rsidRPr="00D74EA3">
              <w:rPr>
                <w:b w:val="0"/>
                <w:sz w:val="14"/>
                <w:szCs w:val="14"/>
              </w:rPr>
              <w:t>techniques</w:t>
            </w:r>
            <w:proofErr w:type="spellEnd"/>
            <w:r w:rsidRPr="00D74EA3">
              <w:rPr>
                <w:b w:val="0"/>
                <w:sz w:val="14"/>
                <w:szCs w:val="14"/>
              </w:rPr>
              <w:t xml:space="preserve"> </w:t>
            </w:r>
            <w:proofErr w:type="spellStart"/>
            <w:r w:rsidRPr="00D74EA3">
              <w:rPr>
                <w:b w:val="0"/>
                <w:sz w:val="14"/>
                <w:szCs w:val="14"/>
              </w:rPr>
              <w:t>avant</w:t>
            </w:r>
            <w:proofErr w:type="spellEnd"/>
            <w:r w:rsidRPr="00D74EA3">
              <w:rPr>
                <w:b w:val="0"/>
                <w:sz w:val="14"/>
                <w:szCs w:val="14"/>
              </w:rPr>
              <w:t xml:space="preserve"> </w:t>
            </w:r>
            <w:proofErr w:type="spellStart"/>
            <w:r w:rsidRPr="00D74EA3">
              <w:rPr>
                <w:b w:val="0"/>
                <w:sz w:val="14"/>
                <w:szCs w:val="14"/>
              </w:rPr>
              <w:t>réassurance</w:t>
            </w:r>
            <w:proofErr w:type="spellEnd"/>
          </w:p>
        </w:tc>
        <w:tc>
          <w:tcPr>
            <w:tcW w:w="236" w:type="dxa"/>
            <w:tcBorders>
              <w:left w:val="single" w:sz="8" w:space="0" w:color="808080" w:themeColor="background1" w:themeShade="80"/>
            </w:tcBorders>
            <w:vAlign w:val="center"/>
          </w:tcPr>
          <w:p w:rsidR="00036562" w:rsidRPr="00D74EA3" w:rsidRDefault="00036562" w:rsidP="00A8415A">
            <w:pPr>
              <w:pStyle w:val="Intro"/>
              <w:jc w:val="right"/>
              <w:rPr>
                <w:b w:val="0"/>
                <w:sz w:val="14"/>
                <w:szCs w:val="14"/>
                <w:lang w:val="en-GB"/>
              </w:rPr>
            </w:pPr>
          </w:p>
        </w:tc>
        <w:tc>
          <w:tcPr>
            <w:tcW w:w="898"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19 181</w:t>
            </w:r>
          </w:p>
        </w:tc>
        <w:tc>
          <w:tcPr>
            <w:tcW w:w="1131"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19 198</w:t>
            </w:r>
          </w:p>
        </w:tc>
        <w:tc>
          <w:tcPr>
            <w:tcW w:w="1131"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19 365</w:t>
            </w:r>
          </w:p>
        </w:tc>
        <w:tc>
          <w:tcPr>
            <w:tcW w:w="990"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19 532</w:t>
            </w:r>
          </w:p>
        </w:tc>
        <w:tc>
          <w:tcPr>
            <w:tcW w:w="988" w:type="dxa"/>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19 619</w:t>
            </w:r>
          </w:p>
        </w:tc>
      </w:tr>
      <w:tr w:rsidR="00036562" w:rsidRPr="00D74EA3" w:rsidTr="00A8415A">
        <w:trPr>
          <w:trHeight w:val="227"/>
        </w:trPr>
        <w:tc>
          <w:tcPr>
            <w:tcW w:w="4962" w:type="dxa"/>
            <w:gridSpan w:val="3"/>
            <w:tcBorders>
              <w:right w:val="single" w:sz="8" w:space="0" w:color="808080" w:themeColor="background1" w:themeShade="80"/>
            </w:tcBorders>
            <w:vAlign w:val="center"/>
          </w:tcPr>
          <w:p w:rsidR="00036562" w:rsidRPr="00725FA5" w:rsidRDefault="00036562" w:rsidP="00A8415A">
            <w:pPr>
              <w:pStyle w:val="Intro"/>
              <w:jc w:val="left"/>
              <w:rPr>
                <w:b w:val="0"/>
                <w:sz w:val="14"/>
                <w:szCs w:val="14"/>
                <w:lang w:val="fr-FR"/>
              </w:rPr>
            </w:pPr>
            <w:r w:rsidRPr="00725FA5">
              <w:rPr>
                <w:b w:val="0"/>
                <w:sz w:val="14"/>
                <w:szCs w:val="14"/>
                <w:lang w:val="fr-FR"/>
              </w:rPr>
              <w:t>Dettes de contrats d’investissement, assurance</w:t>
            </w:r>
          </w:p>
        </w:tc>
        <w:tc>
          <w:tcPr>
            <w:tcW w:w="236" w:type="dxa"/>
            <w:tcBorders>
              <w:left w:val="single" w:sz="8" w:space="0" w:color="808080" w:themeColor="background1" w:themeShade="80"/>
            </w:tcBorders>
            <w:vAlign w:val="center"/>
          </w:tcPr>
          <w:p w:rsidR="00036562" w:rsidRPr="00725FA5" w:rsidRDefault="00036562" w:rsidP="00A8415A">
            <w:pPr>
              <w:pStyle w:val="Intro"/>
              <w:jc w:val="right"/>
              <w:rPr>
                <w:b w:val="0"/>
                <w:sz w:val="14"/>
                <w:szCs w:val="14"/>
                <w:lang w:val="fr-FR"/>
              </w:rPr>
            </w:pPr>
          </w:p>
        </w:tc>
        <w:tc>
          <w:tcPr>
            <w:tcW w:w="898"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13 263</w:t>
            </w:r>
          </w:p>
        </w:tc>
        <w:tc>
          <w:tcPr>
            <w:tcW w:w="1131"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12 937</w:t>
            </w:r>
          </w:p>
        </w:tc>
        <w:tc>
          <w:tcPr>
            <w:tcW w:w="1131"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12 422</w:t>
            </w:r>
          </w:p>
        </w:tc>
        <w:tc>
          <w:tcPr>
            <w:tcW w:w="990"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12 387</w:t>
            </w:r>
          </w:p>
        </w:tc>
        <w:tc>
          <w:tcPr>
            <w:tcW w:w="988" w:type="dxa"/>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12 508</w:t>
            </w:r>
          </w:p>
        </w:tc>
      </w:tr>
      <w:tr w:rsidR="00036562" w:rsidRPr="00D74EA3" w:rsidTr="00A8415A">
        <w:trPr>
          <w:trHeight w:val="227"/>
        </w:trPr>
        <w:tc>
          <w:tcPr>
            <w:tcW w:w="4962" w:type="dxa"/>
            <w:gridSpan w:val="3"/>
            <w:tcBorders>
              <w:right w:val="single" w:sz="8" w:space="0" w:color="808080" w:themeColor="background1" w:themeShade="80"/>
            </w:tcBorders>
            <w:vAlign w:val="center"/>
          </w:tcPr>
          <w:p w:rsidR="00036562" w:rsidRPr="00725FA5" w:rsidRDefault="00036562" w:rsidP="00A8415A">
            <w:pPr>
              <w:pStyle w:val="Intro"/>
              <w:jc w:val="left"/>
              <w:rPr>
                <w:b w:val="0"/>
                <w:sz w:val="14"/>
                <w:szCs w:val="14"/>
                <w:lang w:val="fr-FR"/>
              </w:rPr>
            </w:pPr>
            <w:r w:rsidRPr="00725FA5">
              <w:rPr>
                <w:b w:val="0"/>
                <w:sz w:val="14"/>
                <w:szCs w:val="14"/>
                <w:lang w:val="fr-FR"/>
              </w:rPr>
              <w:t>Capitaux propres des actionnaires de la société mère</w:t>
            </w:r>
          </w:p>
        </w:tc>
        <w:tc>
          <w:tcPr>
            <w:tcW w:w="236" w:type="dxa"/>
            <w:tcBorders>
              <w:left w:val="single" w:sz="8" w:space="0" w:color="808080" w:themeColor="background1" w:themeShade="80"/>
            </w:tcBorders>
            <w:vAlign w:val="center"/>
          </w:tcPr>
          <w:p w:rsidR="00036562" w:rsidRPr="00725FA5" w:rsidRDefault="00036562" w:rsidP="00A8415A">
            <w:pPr>
              <w:pStyle w:val="Intro"/>
              <w:jc w:val="right"/>
              <w:rPr>
                <w:b w:val="0"/>
                <w:sz w:val="14"/>
                <w:szCs w:val="14"/>
                <w:lang w:val="fr-FR"/>
              </w:rPr>
            </w:pPr>
          </w:p>
        </w:tc>
        <w:tc>
          <w:tcPr>
            <w:tcW w:w="898"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13 928</w:t>
            </w:r>
          </w:p>
        </w:tc>
        <w:tc>
          <w:tcPr>
            <w:tcW w:w="1131"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13 576</w:t>
            </w:r>
          </w:p>
        </w:tc>
        <w:tc>
          <w:tcPr>
            <w:tcW w:w="1131"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14 022</w:t>
            </w:r>
          </w:p>
        </w:tc>
        <w:tc>
          <w:tcPr>
            <w:tcW w:w="990" w:type="dxa"/>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14 411</w:t>
            </w:r>
          </w:p>
        </w:tc>
        <w:tc>
          <w:tcPr>
            <w:tcW w:w="988" w:type="dxa"/>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14 335</w:t>
            </w:r>
          </w:p>
        </w:tc>
      </w:tr>
      <w:tr w:rsidR="00036562" w:rsidRPr="00D74EA3" w:rsidTr="00A8415A">
        <w:trPr>
          <w:trHeight w:val="227"/>
        </w:trPr>
        <w:tc>
          <w:tcPr>
            <w:tcW w:w="4962" w:type="dxa"/>
            <w:gridSpan w:val="3"/>
            <w:tcBorders>
              <w:bottom w:val="single" w:sz="8" w:space="0" w:color="808080" w:themeColor="background1" w:themeShade="80"/>
              <w:right w:val="single" w:sz="8" w:space="0" w:color="808080" w:themeColor="background1" w:themeShade="80"/>
            </w:tcBorders>
            <w:vAlign w:val="center"/>
          </w:tcPr>
          <w:p w:rsidR="00036562" w:rsidRPr="00725FA5" w:rsidRDefault="00036562" w:rsidP="00A8415A">
            <w:pPr>
              <w:pStyle w:val="Intro"/>
              <w:jc w:val="left"/>
              <w:rPr>
                <w:b w:val="0"/>
                <w:sz w:val="14"/>
                <w:szCs w:val="14"/>
                <w:lang w:val="fr-FR"/>
              </w:rPr>
            </w:pPr>
            <w:r w:rsidRPr="00725FA5">
              <w:rPr>
                <w:b w:val="0"/>
                <w:sz w:val="14"/>
                <w:szCs w:val="14"/>
                <w:lang w:val="fr-FR"/>
              </w:rPr>
              <w:t>Titres de capital de base sans droit de vote</w:t>
            </w:r>
          </w:p>
        </w:tc>
        <w:tc>
          <w:tcPr>
            <w:tcW w:w="236" w:type="dxa"/>
            <w:tcBorders>
              <w:left w:val="single" w:sz="8" w:space="0" w:color="808080" w:themeColor="background1" w:themeShade="80"/>
              <w:bottom w:val="single" w:sz="8" w:space="0" w:color="808080" w:themeColor="background1" w:themeShade="80"/>
            </w:tcBorders>
            <w:vAlign w:val="center"/>
          </w:tcPr>
          <w:p w:rsidR="00036562" w:rsidRPr="00725FA5" w:rsidRDefault="00036562" w:rsidP="00A8415A">
            <w:pPr>
              <w:pStyle w:val="Intro"/>
              <w:jc w:val="right"/>
              <w:rPr>
                <w:b w:val="0"/>
                <w:sz w:val="14"/>
                <w:szCs w:val="14"/>
                <w:lang w:val="fr-FR"/>
              </w:rPr>
            </w:pPr>
          </w:p>
        </w:tc>
        <w:tc>
          <w:tcPr>
            <w:tcW w:w="898"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2 000</w:t>
            </w:r>
          </w:p>
        </w:tc>
        <w:tc>
          <w:tcPr>
            <w:tcW w:w="1131"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2 000</w:t>
            </w:r>
          </w:p>
        </w:tc>
        <w:tc>
          <w:tcPr>
            <w:tcW w:w="1131"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2 000</w:t>
            </w:r>
          </w:p>
        </w:tc>
        <w:tc>
          <w:tcPr>
            <w:tcW w:w="990" w:type="dxa"/>
            <w:tcBorders>
              <w:bottom w:val="single" w:sz="8" w:space="0" w:color="808080" w:themeColor="background1" w:themeShade="80"/>
            </w:tcBorders>
            <w:shd w:val="clear" w:color="auto" w:fill="auto"/>
            <w:vAlign w:val="center"/>
          </w:tcPr>
          <w:p w:rsidR="00036562" w:rsidRPr="00D74EA3" w:rsidRDefault="00036562" w:rsidP="00A8415A">
            <w:pPr>
              <w:pStyle w:val="Intro"/>
              <w:jc w:val="right"/>
              <w:rPr>
                <w:b w:val="0"/>
                <w:sz w:val="14"/>
                <w:szCs w:val="14"/>
                <w:lang w:val="en-GB"/>
              </w:rPr>
            </w:pPr>
            <w:r w:rsidRPr="00D74EA3">
              <w:rPr>
                <w:b w:val="0"/>
                <w:sz w:val="14"/>
                <w:szCs w:val="14"/>
              </w:rPr>
              <w:t>0</w:t>
            </w:r>
          </w:p>
        </w:tc>
        <w:tc>
          <w:tcPr>
            <w:tcW w:w="988" w:type="dxa"/>
            <w:tcBorders>
              <w:bottom w:val="single" w:sz="8" w:space="0" w:color="808080" w:themeColor="background1" w:themeShade="80"/>
            </w:tcBorders>
            <w:shd w:val="clear" w:color="auto" w:fill="D9D9D9" w:themeFill="background1" w:themeFillShade="D9"/>
            <w:vAlign w:val="center"/>
          </w:tcPr>
          <w:p w:rsidR="00036562" w:rsidRPr="00D74EA3" w:rsidRDefault="00036562" w:rsidP="00A8415A">
            <w:pPr>
              <w:pStyle w:val="Intro"/>
              <w:jc w:val="right"/>
              <w:rPr>
                <w:b w:val="0"/>
                <w:sz w:val="14"/>
                <w:szCs w:val="14"/>
                <w:lang w:val="en-GB"/>
              </w:rPr>
            </w:pPr>
            <w:r w:rsidRPr="00D74EA3">
              <w:rPr>
                <w:b w:val="0"/>
                <w:sz w:val="14"/>
                <w:szCs w:val="14"/>
              </w:rPr>
              <w:t>0</w:t>
            </w:r>
          </w:p>
        </w:tc>
      </w:tr>
      <w:tr w:rsidR="00036562" w:rsidRPr="00D74EA3" w:rsidTr="00A8415A">
        <w:trPr>
          <w:gridAfter w:val="7"/>
          <w:wAfter w:w="8358" w:type="dxa"/>
          <w:trHeight w:val="339"/>
        </w:trPr>
        <w:tc>
          <w:tcPr>
            <w:tcW w:w="989" w:type="dxa"/>
            <w:tcBorders>
              <w:top w:val="single" w:sz="8" w:space="0" w:color="808080" w:themeColor="background1" w:themeShade="80"/>
            </w:tcBorders>
          </w:tcPr>
          <w:p w:rsidR="00036562" w:rsidRPr="00D74EA3" w:rsidRDefault="00036562" w:rsidP="00A8415A">
            <w:pPr>
              <w:spacing w:after="120"/>
              <w:contextualSpacing/>
              <w:jc w:val="both"/>
              <w:rPr>
                <w:rFonts w:ascii="Arial" w:eastAsiaTheme="minorHAnsi" w:hAnsi="Arial" w:cs="Arial"/>
                <w:color w:val="808080" w:themeColor="background1" w:themeShade="80"/>
                <w:sz w:val="12"/>
                <w:szCs w:val="12"/>
              </w:rPr>
            </w:pPr>
          </w:p>
        </w:tc>
        <w:tc>
          <w:tcPr>
            <w:tcW w:w="989" w:type="dxa"/>
            <w:tcBorders>
              <w:top w:val="single" w:sz="8" w:space="0" w:color="808080" w:themeColor="background1" w:themeShade="80"/>
            </w:tcBorders>
          </w:tcPr>
          <w:p w:rsidR="00036562" w:rsidRPr="00D74EA3" w:rsidRDefault="00036562" w:rsidP="00A8415A">
            <w:pPr>
              <w:spacing w:after="120"/>
              <w:contextualSpacing/>
              <w:jc w:val="both"/>
              <w:rPr>
                <w:rFonts w:ascii="Arial" w:eastAsiaTheme="minorHAnsi" w:hAnsi="Arial" w:cs="Arial"/>
                <w:color w:val="808080" w:themeColor="background1" w:themeShade="80"/>
                <w:sz w:val="12"/>
                <w:szCs w:val="12"/>
              </w:rPr>
            </w:pPr>
          </w:p>
        </w:tc>
      </w:tr>
    </w:tbl>
    <w:p w:rsidR="00036562" w:rsidRDefault="00036562" w:rsidP="00036562">
      <w:pPr>
        <w:autoSpaceDE w:val="0"/>
        <w:autoSpaceDN w:val="0"/>
        <w:adjustRightInd w:val="0"/>
        <w:spacing w:after="0" w:line="240" w:lineRule="auto"/>
        <w:ind w:right="4"/>
        <w:rPr>
          <w:rFonts w:ascii="Rockwell" w:hAnsi="Rockwell" w:cs="Arial"/>
          <w:b/>
          <w:bCs/>
          <w:color w:val="003366"/>
          <w:sz w:val="28"/>
          <w:szCs w:val="28"/>
          <w:lang w:val="fr-FR"/>
        </w:rPr>
      </w:pPr>
    </w:p>
    <w:p w:rsidR="00355604" w:rsidRPr="00355604" w:rsidRDefault="00355604" w:rsidP="00355604">
      <w:pPr>
        <w:rPr>
          <w:rFonts w:ascii="Rockwell" w:hAnsi="Rockwell"/>
          <w:b/>
          <w:color w:val="002060"/>
          <w:sz w:val="28"/>
          <w:szCs w:val="28"/>
        </w:rPr>
      </w:pPr>
      <w:proofErr w:type="spellStart"/>
      <w:r w:rsidRPr="00355604">
        <w:rPr>
          <w:rFonts w:ascii="Rockwell" w:hAnsi="Rockwell"/>
          <w:b/>
          <w:color w:val="002060"/>
          <w:sz w:val="28"/>
          <w:szCs w:val="28"/>
        </w:rPr>
        <w:t>Analyse</w:t>
      </w:r>
      <w:proofErr w:type="spellEnd"/>
      <w:r w:rsidRPr="00355604">
        <w:rPr>
          <w:rFonts w:ascii="Rockwell" w:hAnsi="Rockwell"/>
          <w:b/>
          <w:color w:val="002060"/>
          <w:sz w:val="28"/>
          <w:szCs w:val="28"/>
        </w:rPr>
        <w:t xml:space="preserve"> du </w:t>
      </w:r>
      <w:proofErr w:type="spellStart"/>
      <w:r w:rsidRPr="00355604">
        <w:rPr>
          <w:rFonts w:ascii="Rockwell" w:hAnsi="Rockwell"/>
          <w:b/>
          <w:color w:val="002060"/>
          <w:sz w:val="28"/>
          <w:szCs w:val="28"/>
        </w:rPr>
        <w:t>trimestre</w:t>
      </w:r>
      <w:proofErr w:type="spellEnd"/>
      <w:r w:rsidRPr="00355604">
        <w:rPr>
          <w:rFonts w:ascii="Rockwell" w:hAnsi="Rockwell"/>
          <w:b/>
          <w:color w:val="002060"/>
          <w:sz w:val="28"/>
          <w:szCs w:val="28"/>
        </w:rPr>
        <w:t xml:space="preserve"> (1TR2016)</w:t>
      </w:r>
    </w:p>
    <w:p w:rsidR="007F4206" w:rsidRPr="001C2ABF" w:rsidRDefault="007F4206" w:rsidP="00036562">
      <w:pPr>
        <w:autoSpaceDE w:val="0"/>
        <w:autoSpaceDN w:val="0"/>
        <w:adjustRightInd w:val="0"/>
        <w:spacing w:after="120" w:line="240" w:lineRule="auto"/>
        <w:ind w:right="6"/>
        <w:rPr>
          <w:rFonts w:ascii="Rockwell" w:hAnsi="Rockwell"/>
          <w:sz w:val="28"/>
          <w:szCs w:val="28"/>
          <w:lang w:val="fr-FR"/>
        </w:rPr>
      </w:pPr>
    </w:p>
    <w:p w:rsidR="00036562" w:rsidRDefault="007F4206" w:rsidP="007F4206">
      <w:pPr>
        <w:autoSpaceDE w:val="0"/>
        <w:autoSpaceDN w:val="0"/>
        <w:adjustRightInd w:val="0"/>
        <w:spacing w:after="120" w:line="240" w:lineRule="auto"/>
        <w:ind w:right="6" w:firstLine="720"/>
        <w:rPr>
          <w:rFonts w:ascii="Rockwell" w:hAnsi="Rockwell" w:cs="Arial"/>
          <w:b/>
          <w:bCs/>
          <w:color w:val="003768"/>
          <w:sz w:val="28"/>
          <w:szCs w:val="28"/>
          <w:lang w:val="fr-FR" w:eastAsia="nl-BE"/>
        </w:rPr>
      </w:pPr>
      <w:r w:rsidRPr="00725FA5">
        <w:rPr>
          <w:rFonts w:ascii="Arial" w:hAnsi="Arial"/>
          <w:sz w:val="16"/>
          <w:szCs w:val="16"/>
          <w:lang w:val="fr-FR"/>
        </w:rPr>
        <w:t xml:space="preserve">Résultat net (en millions EUR)                     </w:t>
      </w:r>
      <w:r>
        <w:rPr>
          <w:rFonts w:ascii="Arial" w:hAnsi="Arial"/>
          <w:sz w:val="16"/>
          <w:szCs w:val="16"/>
          <w:lang w:val="fr-FR"/>
        </w:rPr>
        <w:t xml:space="preserve">                           </w:t>
      </w:r>
      <w:r w:rsidRPr="00725FA5">
        <w:rPr>
          <w:rFonts w:ascii="Arial" w:hAnsi="Arial"/>
          <w:sz w:val="16"/>
          <w:szCs w:val="16"/>
          <w:lang w:val="fr-FR"/>
        </w:rPr>
        <w:t>Ventilation du résultat net pour le 1TR2016 (en millions EUR)</w:t>
      </w:r>
    </w:p>
    <w:p w:rsidR="00D14EBE" w:rsidRDefault="007F4206" w:rsidP="008C575A">
      <w:pPr>
        <w:autoSpaceDE w:val="0"/>
        <w:autoSpaceDN w:val="0"/>
        <w:adjustRightInd w:val="0"/>
        <w:spacing w:after="0" w:line="240" w:lineRule="auto"/>
        <w:ind w:right="4"/>
        <w:rPr>
          <w:rFonts w:ascii="Rockwell" w:hAnsi="Rockwell" w:cs="Arial"/>
          <w:b/>
          <w:bCs/>
          <w:color w:val="003768"/>
          <w:sz w:val="28"/>
          <w:szCs w:val="28"/>
          <w:lang w:val="fr-FR" w:eastAsia="nl-BE"/>
        </w:rPr>
      </w:pPr>
      <w:r>
        <w:rPr>
          <w:noProof/>
          <w:lang w:val="nl-BE" w:eastAsia="nl-BE"/>
        </w:rPr>
        <w:drawing>
          <wp:inline distT="0" distB="0" distL="0" distR="0" wp14:anchorId="1779AD18" wp14:editId="31F23A1A">
            <wp:extent cx="2823812" cy="2114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5393" cy="2160664"/>
                    </a:xfrm>
                    <a:prstGeom prst="rect">
                      <a:avLst/>
                    </a:prstGeom>
                  </pic:spPr>
                </pic:pic>
              </a:graphicData>
            </a:graphic>
          </wp:inline>
        </w:drawing>
      </w:r>
      <w:r w:rsidR="00355604">
        <w:rPr>
          <w:noProof/>
          <w:lang w:val="nl-BE" w:eastAsia="nl-BE"/>
        </w:rPr>
        <w:drawing>
          <wp:inline distT="0" distB="0" distL="0" distR="0" wp14:anchorId="7C868277" wp14:editId="4F480731">
            <wp:extent cx="3317503" cy="2419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17503" cy="2419350"/>
                    </a:xfrm>
                    <a:prstGeom prst="rect">
                      <a:avLst/>
                    </a:prstGeom>
                  </pic:spPr>
                </pic:pic>
              </a:graphicData>
            </a:graphic>
          </wp:inline>
        </w:drawing>
      </w:r>
    </w:p>
    <w:p w:rsidR="007F4206" w:rsidRPr="007F4206" w:rsidRDefault="007F4206" w:rsidP="007F4206">
      <w:pPr>
        <w:spacing w:after="120"/>
        <w:jc w:val="both"/>
        <w:rPr>
          <w:rFonts w:asciiTheme="minorHAnsi" w:hAnsiTheme="minorHAnsi" w:cs="Arial"/>
          <w:color w:val="002060"/>
          <w:lang w:val="fr-FR"/>
        </w:rPr>
      </w:pPr>
    </w:p>
    <w:p w:rsidR="007F4206" w:rsidRPr="007F4206" w:rsidRDefault="007F4206" w:rsidP="007F4206">
      <w:pPr>
        <w:spacing w:after="120"/>
        <w:rPr>
          <w:rFonts w:asciiTheme="minorHAnsi" w:hAnsiTheme="minorHAnsi" w:cs="Arial"/>
          <w:color w:val="002060"/>
          <w:lang w:val="fr-FR"/>
        </w:rPr>
      </w:pPr>
      <w:r w:rsidRPr="007F4206">
        <w:rPr>
          <w:rFonts w:asciiTheme="minorHAnsi" w:hAnsiTheme="minorHAnsi" w:cs="Arial"/>
          <w:color w:val="002060"/>
          <w:lang w:val="fr-FR"/>
        </w:rPr>
        <w:t xml:space="preserve">Le résultat net pour le trimestre considéré s’est établi à 392 millions d’euros, contre 862 millions d’euros au trimestre précédent et 510 millions d’euros au premier trimestre 2015. </w:t>
      </w:r>
    </w:p>
    <w:p w:rsidR="00D14EBE" w:rsidRPr="007F4206" w:rsidRDefault="00D14EBE" w:rsidP="008C575A">
      <w:pPr>
        <w:autoSpaceDE w:val="0"/>
        <w:autoSpaceDN w:val="0"/>
        <w:adjustRightInd w:val="0"/>
        <w:spacing w:after="0" w:line="240" w:lineRule="auto"/>
        <w:ind w:right="4"/>
        <w:rPr>
          <w:rFonts w:asciiTheme="minorHAnsi" w:hAnsiTheme="minorHAnsi" w:cs="Arial"/>
          <w:b/>
          <w:bCs/>
          <w:color w:val="003768"/>
          <w:lang w:val="fr-FR" w:eastAsia="nl-BE"/>
        </w:rPr>
      </w:pPr>
    </w:p>
    <w:p w:rsidR="007F4206" w:rsidRPr="007F4206" w:rsidRDefault="007F4206" w:rsidP="007F4206">
      <w:pPr>
        <w:spacing w:after="120"/>
        <w:rPr>
          <w:rFonts w:ascii="Arial" w:hAnsi="Arial" w:cs="Arial"/>
          <w:sz w:val="24"/>
          <w:szCs w:val="24"/>
          <w:lang w:val="fr-FR"/>
        </w:rPr>
      </w:pPr>
      <w:r w:rsidRPr="007F4206">
        <w:rPr>
          <w:rFonts w:ascii="Rockwell" w:hAnsi="Rockwell"/>
          <w:color w:val="00B0F0"/>
          <w:sz w:val="24"/>
          <w:szCs w:val="24"/>
          <w:lang w:val="fr-FR"/>
        </w:rPr>
        <w:t>Le total des revenus augmente de 10% en rythme trimestriel suite à la liquidation de KBC Financial Holding Inc. au quatrième trimestre 2015, mais reste stable après exclusion de cet élément. Les revenus nets d’intérêts haussent légèrement, les ventes d’assurances affichent un bon bilan, tandis que les revenus nets de commissions régressent.</w:t>
      </w:r>
    </w:p>
    <w:p w:rsidR="007F4206" w:rsidRPr="007F4206" w:rsidRDefault="007F4206" w:rsidP="007F4206">
      <w:pPr>
        <w:numPr>
          <w:ilvl w:val="0"/>
          <w:numId w:val="6"/>
        </w:numPr>
        <w:tabs>
          <w:tab w:val="clear" w:pos="1080"/>
          <w:tab w:val="num" w:pos="284"/>
        </w:tabs>
        <w:spacing w:after="120" w:line="240" w:lineRule="auto"/>
        <w:ind w:left="284" w:hanging="284"/>
        <w:rPr>
          <w:rFonts w:asciiTheme="minorHAnsi" w:hAnsiTheme="minorHAnsi"/>
          <w:strike/>
          <w:color w:val="002060"/>
          <w:lang w:val="fr-FR"/>
        </w:rPr>
      </w:pPr>
      <w:r w:rsidRPr="007F4206">
        <w:rPr>
          <w:rFonts w:asciiTheme="minorHAnsi" w:hAnsiTheme="minorHAnsi" w:cs="Arial"/>
          <w:color w:val="002060"/>
          <w:lang w:val="fr-FR"/>
        </w:rPr>
        <w:t>Les revenus nets d’intérêts se sont inscrits à 1 067 millions d’euros au premier trimestre 2016. Dans le contexte actuel de faibles rendements, nos revenus nets d’intérêts haussent légèrement en comparaison trimestrielle,</w:t>
      </w:r>
      <w:r w:rsidRPr="007F4206">
        <w:rPr>
          <w:rFonts w:asciiTheme="minorHAnsi" w:hAnsiTheme="minorHAnsi"/>
          <w:color w:val="002060"/>
          <w:lang w:val="fr-FR"/>
        </w:rPr>
        <w:t xml:space="preserve"> mais se sont contractés de 2% en rythme annuel. La tendance observée en glissement trimestriel s’explique par l’amélioration des revenus de prêts liée à la croissance des volumes, par la réduction des coûts de financement et par les baisses de taux d’intérêt sur les comptes d’épargne, qui ont neutralisé l'impact du recul des revenus de réinvestissement et des pressions subies par les marges sur prêts. En conséquence, la marge nette d’intérêts s’est établie à 1,96% pour le trimestre sous revue, plus ou moins en ligne avec le niveau du trimestre précédent, mais inférieure de 14 points de base par rapport au même trimestre de l’année précédente. La croissance des volumes a continué de soutenir les revenus d’intérêts : les prêts ont augmenté tant en glissement trimestriel (+1%) qu’en rythme annuel (+4%), </w:t>
      </w:r>
      <w:r w:rsidRPr="007F4206">
        <w:rPr>
          <w:rFonts w:asciiTheme="minorHAnsi" w:hAnsiTheme="minorHAnsi"/>
          <w:color w:val="002060"/>
          <w:lang w:val="fr-FR"/>
        </w:rPr>
        <w:lastRenderedPageBreak/>
        <w:t>tandis que les volumes de dépôts ont progressé de 2% en comparaison trimestrielle et de 3% en rythme annuel.</w:t>
      </w:r>
    </w:p>
    <w:p w:rsidR="007F4206" w:rsidRPr="007F4206" w:rsidRDefault="007F4206" w:rsidP="00884D01">
      <w:pPr>
        <w:numPr>
          <w:ilvl w:val="0"/>
          <w:numId w:val="6"/>
        </w:numPr>
        <w:tabs>
          <w:tab w:val="clear" w:pos="1080"/>
          <w:tab w:val="num" w:pos="284"/>
          <w:tab w:val="left" w:pos="8647"/>
        </w:tabs>
        <w:spacing w:after="120" w:line="240" w:lineRule="auto"/>
        <w:ind w:left="284" w:hanging="284"/>
        <w:contextualSpacing/>
        <w:rPr>
          <w:rFonts w:asciiTheme="minorHAnsi" w:hAnsiTheme="minorHAnsi" w:cs="Arial"/>
          <w:color w:val="002060"/>
          <w:lang w:val="fr-FR"/>
        </w:rPr>
      </w:pPr>
      <w:r w:rsidRPr="007F4206">
        <w:rPr>
          <w:rFonts w:asciiTheme="minorHAnsi" w:hAnsiTheme="minorHAnsi" w:cs="Arial"/>
          <w:color w:val="002060"/>
          <w:lang w:val="fr-FR"/>
        </w:rPr>
        <w:t xml:space="preserve">Les revenus techniques issus de nos activités d’assurance vie et non-vie se sont inscrits en hausse en rythme trimestriel mais en baisse en comparaison annuelle. Les primes brutes acquises moins les charges techniques brutes et le résultat de la réassurance cédée ont contribué au total des revenus à hauteur de 102 millions d’euros, soit une augmentation de 19% par rapport au trimestre précédent mais un repli de 6% par rapport au même trimestre de l’année précédente. </w:t>
      </w:r>
    </w:p>
    <w:p w:rsidR="007F4206" w:rsidRPr="007F4206" w:rsidRDefault="007F4206" w:rsidP="00884D01">
      <w:pPr>
        <w:tabs>
          <w:tab w:val="num" w:pos="284"/>
          <w:tab w:val="left" w:pos="8647"/>
        </w:tabs>
        <w:spacing w:after="120" w:line="240" w:lineRule="auto"/>
        <w:ind w:left="284" w:hanging="284"/>
        <w:contextualSpacing/>
        <w:rPr>
          <w:rFonts w:asciiTheme="minorHAnsi" w:hAnsiTheme="minorHAnsi" w:cs="Arial"/>
          <w:color w:val="002060"/>
          <w:lang w:val="fr-FR"/>
        </w:rPr>
      </w:pPr>
      <w:r w:rsidRPr="007F4206">
        <w:rPr>
          <w:rFonts w:asciiTheme="minorHAnsi" w:hAnsiTheme="minorHAnsi" w:cs="Arial"/>
          <w:color w:val="002060"/>
          <w:lang w:val="fr-FR"/>
        </w:rPr>
        <w:tab/>
        <w:t>Les primes acquises dans nos activités d’assurance non-vie se sont accrues de 1% en comparaison trimestrielle et de 7% en rythme annuel. Au premier trimestre, les demandes d’indemnisation de sinistres ont augmenté de 2% en rythme trimestriel et de 28% par rapport à leur niveau du premier trimestre 2015, essentiellement du fait de la contribution au « </w:t>
      </w:r>
      <w:proofErr w:type="spellStart"/>
      <w:r w:rsidRPr="007F4206">
        <w:rPr>
          <w:rFonts w:asciiTheme="minorHAnsi" w:hAnsiTheme="minorHAnsi" w:cs="Arial"/>
          <w:color w:val="002060"/>
          <w:lang w:val="fr-FR"/>
        </w:rPr>
        <w:t>Terrorism</w:t>
      </w:r>
      <w:proofErr w:type="spellEnd"/>
      <w:r w:rsidRPr="007F4206">
        <w:rPr>
          <w:rFonts w:asciiTheme="minorHAnsi" w:hAnsiTheme="minorHAnsi" w:cs="Arial"/>
          <w:color w:val="002060"/>
          <w:lang w:val="fr-FR"/>
        </w:rPr>
        <w:t xml:space="preserve"> </w:t>
      </w:r>
      <w:proofErr w:type="spellStart"/>
      <w:r w:rsidRPr="007F4206">
        <w:rPr>
          <w:rFonts w:asciiTheme="minorHAnsi" w:hAnsiTheme="minorHAnsi" w:cs="Arial"/>
          <w:color w:val="002060"/>
          <w:lang w:val="fr-FR"/>
        </w:rPr>
        <w:t>Reinsurance</w:t>
      </w:r>
      <w:proofErr w:type="spellEnd"/>
      <w:r w:rsidRPr="007F4206">
        <w:rPr>
          <w:rFonts w:asciiTheme="minorHAnsi" w:hAnsiTheme="minorHAnsi" w:cs="Arial"/>
          <w:color w:val="002060"/>
          <w:lang w:val="fr-FR"/>
        </w:rPr>
        <w:t xml:space="preserve"> and </w:t>
      </w:r>
      <w:proofErr w:type="spellStart"/>
      <w:r w:rsidRPr="007F4206">
        <w:rPr>
          <w:rFonts w:asciiTheme="minorHAnsi" w:hAnsiTheme="minorHAnsi" w:cs="Arial"/>
          <w:color w:val="002060"/>
          <w:lang w:val="fr-FR"/>
        </w:rPr>
        <w:t>Insurance</w:t>
      </w:r>
      <w:proofErr w:type="spellEnd"/>
      <w:r w:rsidRPr="007F4206">
        <w:rPr>
          <w:rFonts w:asciiTheme="minorHAnsi" w:hAnsiTheme="minorHAnsi" w:cs="Arial"/>
          <w:color w:val="002060"/>
          <w:lang w:val="fr-FR"/>
        </w:rPr>
        <w:t xml:space="preserve"> Pool » (pool d'assurance et de réassurance contre le risque lié au terrorisme). Le ratio combiné atteint 91% </w:t>
      </w:r>
      <w:proofErr w:type="spellStart"/>
      <w:r w:rsidRPr="007F4206">
        <w:rPr>
          <w:rFonts w:asciiTheme="minorHAnsi" w:hAnsiTheme="minorHAnsi" w:cs="Arial"/>
          <w:color w:val="002060"/>
          <w:lang w:val="fr-FR"/>
        </w:rPr>
        <w:t>year</w:t>
      </w:r>
      <w:proofErr w:type="spellEnd"/>
      <w:r w:rsidRPr="007F4206">
        <w:rPr>
          <w:rFonts w:asciiTheme="minorHAnsi" w:hAnsiTheme="minorHAnsi" w:cs="Arial"/>
          <w:color w:val="002060"/>
          <w:lang w:val="fr-FR"/>
        </w:rPr>
        <w:t xml:space="preserve">-to-date et se ressent des demandes d’indemnisation consécutives aux attentats terroristes de Bruxelles. Ces facteurs mis à part, le ratio combiné atteint tout de même l’excellent niveau de 82%. </w:t>
      </w:r>
    </w:p>
    <w:p w:rsidR="007F4206" w:rsidRPr="007F4206" w:rsidRDefault="007F4206" w:rsidP="00884D01">
      <w:pPr>
        <w:tabs>
          <w:tab w:val="num" w:pos="284"/>
          <w:tab w:val="left" w:pos="8647"/>
        </w:tabs>
        <w:spacing w:after="120" w:line="240" w:lineRule="auto"/>
        <w:ind w:left="284" w:hanging="284"/>
        <w:contextualSpacing/>
        <w:rPr>
          <w:rFonts w:asciiTheme="minorHAnsi" w:hAnsiTheme="minorHAnsi" w:cs="Arial"/>
          <w:color w:val="002060"/>
          <w:lang w:val="fr-FR" w:eastAsia="nl-BE"/>
        </w:rPr>
      </w:pPr>
      <w:r w:rsidRPr="007F4206">
        <w:rPr>
          <w:rFonts w:asciiTheme="minorHAnsi" w:hAnsiTheme="minorHAnsi" w:cs="Arial"/>
          <w:color w:val="002060"/>
          <w:lang w:val="fr-FR"/>
        </w:rPr>
        <w:tab/>
        <w:t>Les ventes de produits d’assurance vie à taux garanti s’inscrivent à un niveau globalement stable en comparaison trimestrielle et en hausse de 28% en rythme annuel</w:t>
      </w:r>
      <w:r w:rsidRPr="007F4206">
        <w:rPr>
          <w:rFonts w:asciiTheme="minorHAnsi" w:hAnsiTheme="minorHAnsi" w:cs="Arial"/>
          <w:color w:val="002060"/>
          <w:lang w:val="fr-FR" w:eastAsia="nl-BE"/>
        </w:rPr>
        <w:t>, influencées par les conditions de faibles taux d’intérêt et l’incertitude du climat d’investissement</w:t>
      </w:r>
      <w:r w:rsidRPr="007F4206">
        <w:rPr>
          <w:rFonts w:asciiTheme="minorHAnsi" w:hAnsiTheme="minorHAnsi" w:cs="Arial"/>
          <w:color w:val="002060"/>
          <w:lang w:val="fr-FR"/>
        </w:rPr>
        <w:t>. Les ventes de produits d’assurance vie de la branche 23 (non inclus dans les recettes de primes d'assurance vie) ont progressé de 29% en comparaison trimestrielle et de 24% en rythme annuel. Cette performance est à mettre à l'actif d'initiatives commerciales fructueuses, notamment en Belgique et en Slovaquie.</w:t>
      </w:r>
    </w:p>
    <w:p w:rsidR="007F4206" w:rsidRPr="007F4206" w:rsidRDefault="007F4206" w:rsidP="00884D01">
      <w:pPr>
        <w:tabs>
          <w:tab w:val="num" w:pos="284"/>
          <w:tab w:val="left" w:pos="8647"/>
        </w:tabs>
        <w:spacing w:after="120" w:line="240" w:lineRule="auto"/>
        <w:ind w:left="284" w:hanging="284"/>
        <w:contextualSpacing/>
        <w:rPr>
          <w:rFonts w:asciiTheme="minorHAnsi" w:hAnsiTheme="minorHAnsi" w:cs="Arial"/>
          <w:color w:val="002060"/>
          <w:lang w:val="fr-FR" w:eastAsia="nl-BE"/>
        </w:rPr>
      </w:pPr>
      <w:r w:rsidRPr="007F4206">
        <w:rPr>
          <w:rFonts w:asciiTheme="minorHAnsi" w:hAnsiTheme="minorHAnsi" w:cs="Arial"/>
          <w:color w:val="002060"/>
          <w:lang w:val="fr-FR"/>
        </w:rPr>
        <w:tab/>
        <w:t xml:space="preserve">Il est à noter qu’au premier trimestre 2016, les revenus d’investissement issus d’activités d’assurance ont augmenté de 12% par rapport au trimestre précédent et diminué de 30% par rapport au même trimestre de l’année dernière. Ceci s'explique avant tout par un recul du résultat réalisé des actifs disponibles à la vente et par l'évolution des réductions de valeur (augmentation en comparaison annuelle et repli en rythme trimestriel). </w:t>
      </w:r>
    </w:p>
    <w:p w:rsidR="007F4206" w:rsidRPr="007F4206" w:rsidRDefault="007F4206" w:rsidP="007F4206">
      <w:pPr>
        <w:pStyle w:val="ListParagraph"/>
        <w:numPr>
          <w:ilvl w:val="0"/>
          <w:numId w:val="7"/>
        </w:numPr>
        <w:tabs>
          <w:tab w:val="num" w:pos="284"/>
          <w:tab w:val="left" w:pos="8647"/>
        </w:tabs>
        <w:spacing w:after="120" w:line="240" w:lineRule="auto"/>
        <w:ind w:left="284" w:hanging="284"/>
        <w:contextualSpacing w:val="0"/>
        <w:rPr>
          <w:rFonts w:asciiTheme="minorHAnsi" w:hAnsiTheme="minorHAnsi"/>
          <w:color w:val="002060"/>
          <w:lang w:val="fr-FR"/>
        </w:rPr>
      </w:pPr>
      <w:r w:rsidRPr="007F4206">
        <w:rPr>
          <w:rFonts w:asciiTheme="minorHAnsi" w:hAnsiTheme="minorHAnsi"/>
          <w:color w:val="002060"/>
          <w:lang w:val="fr-FR"/>
        </w:rPr>
        <w:t xml:space="preserve">Les marchés financiers sont restés soumis à une incertitude persistante. Dans ce contexte, les investisseurs se sont montrés hésitants. Malgré cela, de nouvelles entrées de capitaux ont dopé les actifs sous gestion totaux. L'évolution négative des prix a cependant entraîné une baisse des actifs sous gestion totaux à 207 milliards d'euros, soit 1% de moins qu'à la fin 2015. Ils restent plus ou moins stables par rapport à leur niveau d'un an plus tôt, la hausse de 4% des entrées nettes étant compensée par l'évolution négative des prix (-5%). Le repli de nos revenus nets de commissions à 346 millions d’euros (-25% en rythme annuel et -7% par rapport au trimestre précédent) tient essentiellement à la baisse des frais d'entrée et des commissions de gestion au niveau des fonds de placement, qui s'explique par une allocation d'actifs différente, la baisse des commissions sur les services de paiement et des commissions sur crédits. Cette baisse a cependant été quelque peu atténuée par le rebond des frais d'entrée pour les produits d'assurance vie de la branche 23. </w:t>
      </w:r>
    </w:p>
    <w:p w:rsidR="007F4206" w:rsidRPr="007F4206" w:rsidRDefault="007F4206" w:rsidP="007F4206">
      <w:pPr>
        <w:pStyle w:val="ListParagraph"/>
        <w:numPr>
          <w:ilvl w:val="0"/>
          <w:numId w:val="7"/>
        </w:numPr>
        <w:tabs>
          <w:tab w:val="num" w:pos="284"/>
          <w:tab w:val="left" w:pos="8647"/>
        </w:tabs>
        <w:spacing w:after="120" w:line="240" w:lineRule="auto"/>
        <w:ind w:left="284" w:hanging="284"/>
        <w:contextualSpacing w:val="0"/>
        <w:rPr>
          <w:rFonts w:asciiTheme="minorHAnsi" w:hAnsiTheme="minorHAnsi"/>
          <w:color w:val="002060"/>
          <w:lang w:val="fr-FR"/>
        </w:rPr>
      </w:pPr>
      <w:r w:rsidRPr="007F4206">
        <w:rPr>
          <w:rFonts w:asciiTheme="minorHAnsi" w:hAnsiTheme="minorHAnsi"/>
          <w:color w:val="002060"/>
          <w:lang w:val="fr-FR"/>
        </w:rPr>
        <w:t>Le résultat net des instruments financiers à la juste valeur s'établit à 93 millions d’euros au premier trimestre 2016, après avoir atteint -68 millions d’euros sur le précédent trimestre et 57 millions d’euros au premier trimestre 2015. L'écart de conversion unique sur la liquidation de KBC Financial Holding Inc. (-156 millions d'euros) avait eu une incidence négative au dernier trimestre 2015. Abstraction faite de cet effet, le résultat net des instruments financiers à la juste valeur a augmenté de 6% en rythme trimestriel. La tendance trimestrielle a été principalement influencée par la valorisation légèrement plus élevée des instruments dérivés utilisés aux fins d'</w:t>
      </w:r>
      <w:proofErr w:type="spellStart"/>
      <w:r w:rsidRPr="007F4206">
        <w:rPr>
          <w:rFonts w:asciiTheme="minorHAnsi" w:hAnsiTheme="minorHAnsi"/>
          <w:color w:val="002060"/>
          <w:lang w:val="fr-FR"/>
        </w:rPr>
        <w:t>Asset-Liability</w:t>
      </w:r>
      <w:proofErr w:type="spellEnd"/>
      <w:r w:rsidRPr="007F4206">
        <w:rPr>
          <w:rFonts w:asciiTheme="minorHAnsi" w:hAnsiTheme="minorHAnsi"/>
          <w:color w:val="002060"/>
          <w:lang w:val="fr-FR"/>
        </w:rPr>
        <w:t xml:space="preserve"> Management, la hausse des revenus générés par les salles des marchés, le bénéfice non récurrent découlant du dénouement de la couverture de la précédente TLTRO de la BCE et l’impact négatif des ajustements de valorisation (MVA/CVA/FVA) consécutifs à l'augmentation de l’exposition et à l'élargissement des </w:t>
      </w:r>
      <w:proofErr w:type="spellStart"/>
      <w:r w:rsidRPr="007F4206">
        <w:rPr>
          <w:rFonts w:asciiTheme="minorHAnsi" w:hAnsiTheme="minorHAnsi"/>
          <w:color w:val="002060"/>
          <w:lang w:val="fr-FR"/>
        </w:rPr>
        <w:t>spreads</w:t>
      </w:r>
      <w:proofErr w:type="spellEnd"/>
      <w:r w:rsidRPr="007F4206">
        <w:rPr>
          <w:rFonts w:asciiTheme="minorHAnsi" w:hAnsiTheme="minorHAnsi"/>
          <w:color w:val="002060"/>
          <w:lang w:val="fr-FR"/>
        </w:rPr>
        <w:t xml:space="preserve"> de crédit.</w:t>
      </w:r>
    </w:p>
    <w:p w:rsidR="007F4206" w:rsidRPr="007F4206" w:rsidRDefault="007F4206" w:rsidP="007F4206">
      <w:pPr>
        <w:pStyle w:val="ListParagraph"/>
        <w:numPr>
          <w:ilvl w:val="0"/>
          <w:numId w:val="6"/>
        </w:numPr>
        <w:tabs>
          <w:tab w:val="clear" w:pos="1080"/>
          <w:tab w:val="num" w:pos="284"/>
        </w:tabs>
        <w:spacing w:after="120" w:line="240" w:lineRule="auto"/>
        <w:ind w:left="284" w:hanging="284"/>
        <w:contextualSpacing w:val="0"/>
        <w:rPr>
          <w:rFonts w:asciiTheme="minorHAnsi" w:hAnsiTheme="minorHAnsi"/>
          <w:color w:val="002060"/>
          <w:lang w:val="fr-FR"/>
        </w:rPr>
      </w:pPr>
      <w:r w:rsidRPr="007F4206">
        <w:rPr>
          <w:rFonts w:asciiTheme="minorHAnsi" w:hAnsiTheme="minorHAnsi"/>
          <w:color w:val="002060"/>
          <w:lang w:val="fr-FR"/>
        </w:rPr>
        <w:t xml:space="preserve">Tous les autres éléments de revenus combinés se sont montés à 88 millions d’euros. Ils comprenaient : les plus-values réalisées sur la vente d’actifs disponibles à la vente (27 millions d’euros sur le trimestre considéré), les revenus de dividendes (10 millions d’euros) et les autres revenus nets (51 millions d’euros). </w:t>
      </w:r>
    </w:p>
    <w:p w:rsidR="007F4206" w:rsidRPr="007F4206" w:rsidRDefault="007F4206" w:rsidP="007F4206">
      <w:pPr>
        <w:spacing w:after="120"/>
        <w:rPr>
          <w:rFonts w:ascii="Rockwell" w:hAnsi="Rockwell"/>
          <w:color w:val="00B0F0"/>
          <w:sz w:val="24"/>
          <w:szCs w:val="24"/>
          <w:lang w:val="fr-FR"/>
        </w:rPr>
      </w:pPr>
      <w:r w:rsidRPr="007F4206">
        <w:rPr>
          <w:rFonts w:ascii="Rockwell" w:hAnsi="Rockwell"/>
          <w:color w:val="00B0F0"/>
          <w:sz w:val="24"/>
          <w:szCs w:val="24"/>
          <w:lang w:val="fr-FR"/>
        </w:rPr>
        <w:lastRenderedPageBreak/>
        <w:t>Les charges d’exploitation sont déformées par la comptabilisation anticipée des taxes bancaires. Abstraction faite de cet effet, lesdites charges s'inscrivent en baisse tant en comparaison trimestrielle qu'annuelle.</w:t>
      </w:r>
    </w:p>
    <w:p w:rsidR="007F4206" w:rsidRPr="007F4206" w:rsidRDefault="007F4206" w:rsidP="007F4206">
      <w:pPr>
        <w:pStyle w:val="ListParagraph"/>
        <w:numPr>
          <w:ilvl w:val="0"/>
          <w:numId w:val="8"/>
        </w:numPr>
        <w:tabs>
          <w:tab w:val="num" w:pos="1713"/>
        </w:tabs>
        <w:spacing w:after="120" w:line="240" w:lineRule="auto"/>
        <w:ind w:left="284" w:hanging="284"/>
        <w:contextualSpacing w:val="0"/>
        <w:rPr>
          <w:rFonts w:asciiTheme="minorHAnsi" w:hAnsiTheme="minorHAnsi"/>
          <w:color w:val="002060"/>
          <w:lang w:val="fr-FR"/>
        </w:rPr>
      </w:pPr>
      <w:r w:rsidRPr="007F4206">
        <w:rPr>
          <w:rFonts w:asciiTheme="minorHAnsi" w:hAnsiTheme="minorHAnsi"/>
          <w:color w:val="002060"/>
          <w:lang w:val="fr-FR"/>
        </w:rPr>
        <w:t>À 1 186 millions d’euros pour le premier trimestre 2016, nos charges d’exploitation ont considérablement augmenté, de 23% par rapport au précédent trimestre et de 5% en rythme annuel. Abstraction faite des taxes bancaires (335 millions d’euros pour ce trimestre, contre 49 millions d’euros au dernier trimestre 2015 et 264 millions d’euros au premier trimestre 2015), nos charges d’exploitation ont diminué de 7% en comparaison trimestrielle et de 1% en rythme annuel. La baisse observée en glissement trimestriel résulte des dépenses de marketing et frais professionnels traditionnellement plus élevés en fin d’année, ainsi que de l’augmentation des charges de retraite (due au recul des taux d’intérêt) au trimestre précédent. Le repli en rythme annuel s'explique quant à lui par différents facteurs, parmi lesquels une baisse des dépenses découlant d'une réduction du nombre d'employés en Belgique et en République tchèque.</w:t>
      </w:r>
    </w:p>
    <w:p w:rsidR="007F4206" w:rsidRDefault="007F4206" w:rsidP="003A39E3">
      <w:pPr>
        <w:pStyle w:val="ListParagraph"/>
        <w:spacing w:after="120"/>
        <w:ind w:left="284"/>
        <w:contextualSpacing w:val="0"/>
        <w:rPr>
          <w:rFonts w:asciiTheme="minorHAnsi" w:hAnsiTheme="minorHAnsi"/>
          <w:color w:val="002060"/>
          <w:lang w:val="fr-FR"/>
        </w:rPr>
      </w:pPr>
      <w:r w:rsidRPr="007F4206">
        <w:rPr>
          <w:rFonts w:asciiTheme="minorHAnsi" w:hAnsiTheme="minorHAnsi"/>
          <w:color w:val="002060"/>
          <w:lang w:val="fr-FR"/>
        </w:rPr>
        <w:t xml:space="preserve">Le ratio charges/revenus de nos activités bancaires s’établit à 71% </w:t>
      </w:r>
      <w:proofErr w:type="spellStart"/>
      <w:r w:rsidRPr="007F4206">
        <w:rPr>
          <w:rFonts w:asciiTheme="minorHAnsi" w:hAnsiTheme="minorHAnsi"/>
          <w:color w:val="002060"/>
          <w:lang w:val="fr-FR"/>
        </w:rPr>
        <w:t>year</w:t>
      </w:r>
      <w:proofErr w:type="spellEnd"/>
      <w:r w:rsidRPr="007F4206">
        <w:rPr>
          <w:rFonts w:asciiTheme="minorHAnsi" w:hAnsiTheme="minorHAnsi"/>
          <w:color w:val="002060"/>
          <w:lang w:val="fr-FR"/>
        </w:rPr>
        <w:t xml:space="preserve">-to-date, du fait de la </w:t>
      </w:r>
      <w:r w:rsidR="003A39E3">
        <w:rPr>
          <w:rFonts w:asciiTheme="minorHAnsi" w:hAnsiTheme="minorHAnsi"/>
          <w:color w:val="002060"/>
          <w:lang w:val="fr-FR"/>
        </w:rPr>
        <w:t>c</w:t>
      </w:r>
      <w:r w:rsidRPr="007F4206">
        <w:rPr>
          <w:rFonts w:asciiTheme="minorHAnsi" w:hAnsiTheme="minorHAnsi"/>
          <w:color w:val="002060"/>
          <w:lang w:val="fr-FR"/>
        </w:rPr>
        <w:t>omptabilisation anticipée des taxes bancaires (contre 55% en 2015). Abstraction faite de certains éléments non durables, le ratio charges/revenus ressort à 57% (contre 55% en 2015).</w:t>
      </w:r>
    </w:p>
    <w:p w:rsidR="003A39E3" w:rsidRDefault="003A39E3" w:rsidP="001C2ABF">
      <w:pPr>
        <w:autoSpaceDE w:val="0"/>
        <w:autoSpaceDN w:val="0"/>
        <w:adjustRightInd w:val="0"/>
        <w:spacing w:after="120" w:line="240" w:lineRule="auto"/>
        <w:ind w:right="4"/>
        <w:rPr>
          <w:rFonts w:ascii="Rockwell" w:hAnsi="Rockwell"/>
          <w:color w:val="00B0F0"/>
          <w:sz w:val="24"/>
          <w:szCs w:val="24"/>
          <w:lang w:val="fr-FR"/>
        </w:rPr>
      </w:pPr>
    </w:p>
    <w:p w:rsidR="00D57A50" w:rsidRPr="007F4206" w:rsidRDefault="007F4206" w:rsidP="001C2ABF">
      <w:pPr>
        <w:autoSpaceDE w:val="0"/>
        <w:autoSpaceDN w:val="0"/>
        <w:adjustRightInd w:val="0"/>
        <w:spacing w:after="120" w:line="240" w:lineRule="auto"/>
        <w:ind w:right="4"/>
        <w:rPr>
          <w:rFonts w:ascii="Rockwell" w:hAnsi="Rockwell" w:cs="Arial"/>
          <w:b/>
          <w:bCs/>
          <w:color w:val="003768"/>
          <w:sz w:val="24"/>
          <w:szCs w:val="24"/>
          <w:lang w:val="fr-FR" w:eastAsia="nl-BE"/>
        </w:rPr>
      </w:pPr>
      <w:r w:rsidRPr="007F4206">
        <w:rPr>
          <w:rFonts w:ascii="Rockwell" w:hAnsi="Rockwell"/>
          <w:color w:val="00B0F0"/>
          <w:sz w:val="24"/>
          <w:szCs w:val="24"/>
          <w:lang w:val="fr-FR"/>
        </w:rPr>
        <w:t>Réductions de valeur pour pertes de crédit : très faible ratio de coût du crédit de 0,01%</w:t>
      </w:r>
    </w:p>
    <w:p w:rsidR="007F4206" w:rsidRPr="007F4206" w:rsidRDefault="007F4206" w:rsidP="007F4206">
      <w:pPr>
        <w:numPr>
          <w:ilvl w:val="0"/>
          <w:numId w:val="8"/>
        </w:numPr>
        <w:tabs>
          <w:tab w:val="left" w:pos="5587"/>
        </w:tabs>
        <w:spacing w:after="120" w:line="240" w:lineRule="auto"/>
        <w:ind w:left="284" w:hanging="284"/>
        <w:rPr>
          <w:rFonts w:asciiTheme="minorHAnsi" w:hAnsiTheme="minorHAnsi"/>
          <w:color w:val="002060"/>
          <w:lang w:val="fr-FR"/>
        </w:rPr>
      </w:pPr>
      <w:r w:rsidRPr="007F4206">
        <w:rPr>
          <w:rFonts w:asciiTheme="minorHAnsi" w:hAnsiTheme="minorHAnsi"/>
          <w:color w:val="002060"/>
          <w:lang w:val="fr-FR"/>
        </w:rPr>
        <w:t xml:space="preserve">Les pertes sur crédits se sont inscrites à un plus bas historique de 4 millions d’euros, très largement en baisse par rapport aux 78 millions d’euros du trimestre précédent et aux 73 millions d’euros du premier trimestre 2015. Cette baisse en comparaison trimestrielle s'explique par le nombre très limité de nouveaux crédits </w:t>
      </w:r>
      <w:proofErr w:type="spellStart"/>
      <w:r w:rsidRPr="007F4206">
        <w:rPr>
          <w:rFonts w:asciiTheme="minorHAnsi" w:hAnsiTheme="minorHAnsi"/>
          <w:color w:val="002060"/>
          <w:lang w:val="fr-FR"/>
        </w:rPr>
        <w:t>impaired</w:t>
      </w:r>
      <w:proofErr w:type="spellEnd"/>
      <w:r w:rsidRPr="007F4206">
        <w:rPr>
          <w:rFonts w:asciiTheme="minorHAnsi" w:hAnsiTheme="minorHAnsi"/>
          <w:color w:val="002060"/>
          <w:lang w:val="fr-FR"/>
        </w:rPr>
        <w:t xml:space="preserve"> tous segments confondus (particuliers, PME et entreprises). Les réductions de valeur ont atteint 6 millions d'euros en Belgique, 1 million d'euros en République tchèque, 1 million d'euros en Slovaquie, 1 million d'euros en Bulgarie et se sont avérées quasi nulles au niveau du Centre de groupe. Des libérations de provisions pour pertes nettes sur crédits (impact positif) de 2 millions d'euros en Hongrie et de 3 millions d'euros en Irlande ont également été enregistrées. Pour l'ensemble du groupe, les réductions de valeur sur crédits ont atteint 0,01% du portefeuille total des crédits au 1TR2016.  </w:t>
      </w:r>
    </w:p>
    <w:p w:rsidR="007F4206" w:rsidRDefault="007F4206" w:rsidP="007F4206">
      <w:pPr>
        <w:numPr>
          <w:ilvl w:val="0"/>
          <w:numId w:val="8"/>
        </w:numPr>
        <w:tabs>
          <w:tab w:val="left" w:pos="5587"/>
        </w:tabs>
        <w:spacing w:after="120" w:line="240" w:lineRule="auto"/>
        <w:ind w:left="284" w:hanging="284"/>
        <w:rPr>
          <w:rFonts w:asciiTheme="minorHAnsi" w:hAnsiTheme="minorHAnsi"/>
          <w:color w:val="002060"/>
          <w:lang w:val="fr-FR"/>
        </w:rPr>
      </w:pPr>
      <w:r w:rsidRPr="007F4206">
        <w:rPr>
          <w:rFonts w:asciiTheme="minorHAnsi" w:hAnsiTheme="minorHAnsi"/>
          <w:color w:val="002060"/>
          <w:lang w:val="fr-FR"/>
        </w:rPr>
        <w:t xml:space="preserve">Les réductions de valeur sur actifs disponibles à la vente sont ressorties à 24 millions d'euros, un chiffre un peu plus élevé que les 21 millions d'euros du trimestre précédent et largement supérieur aux 3 millions d'euros enregistrés au même trimestre un an plus tôt. Les réductions de valeur ont essentiellement concerné les actions au niveau de KBC </w:t>
      </w:r>
      <w:proofErr w:type="spellStart"/>
      <w:r w:rsidRPr="007F4206">
        <w:rPr>
          <w:rFonts w:asciiTheme="minorHAnsi" w:hAnsiTheme="minorHAnsi"/>
          <w:color w:val="002060"/>
          <w:lang w:val="fr-FR"/>
        </w:rPr>
        <w:t>Insurance</w:t>
      </w:r>
      <w:proofErr w:type="spellEnd"/>
      <w:r w:rsidRPr="007F4206">
        <w:rPr>
          <w:rFonts w:asciiTheme="minorHAnsi" w:hAnsiTheme="minorHAnsi"/>
          <w:color w:val="002060"/>
          <w:lang w:val="fr-FR"/>
        </w:rPr>
        <w:t>.</w:t>
      </w:r>
    </w:p>
    <w:p w:rsidR="00017839" w:rsidRPr="00017839" w:rsidRDefault="00017839" w:rsidP="007F4206">
      <w:pPr>
        <w:spacing w:after="120"/>
        <w:rPr>
          <w:rFonts w:asciiTheme="minorHAnsi" w:hAnsiTheme="minorHAnsi"/>
          <w:color w:val="00B0F0"/>
        </w:rPr>
      </w:pPr>
    </w:p>
    <w:p w:rsidR="007F4206" w:rsidRPr="007F4206" w:rsidRDefault="007F4206" w:rsidP="007F4206">
      <w:pPr>
        <w:spacing w:after="120"/>
        <w:rPr>
          <w:rFonts w:ascii="Rockwell" w:hAnsi="Rockwell"/>
          <w:color w:val="00B0F0"/>
          <w:sz w:val="24"/>
          <w:szCs w:val="24"/>
        </w:rPr>
      </w:pPr>
      <w:proofErr w:type="spellStart"/>
      <w:r w:rsidRPr="007F4206">
        <w:rPr>
          <w:rFonts w:ascii="Rockwell" w:hAnsi="Rockwell"/>
          <w:color w:val="00B0F0"/>
          <w:sz w:val="24"/>
          <w:szCs w:val="24"/>
        </w:rPr>
        <w:t>Résultats</w:t>
      </w:r>
      <w:proofErr w:type="spellEnd"/>
      <w:r w:rsidRPr="007F4206">
        <w:rPr>
          <w:rFonts w:ascii="Rockwell" w:hAnsi="Rockwell"/>
          <w:color w:val="00B0F0"/>
          <w:sz w:val="24"/>
          <w:szCs w:val="24"/>
        </w:rPr>
        <w:t xml:space="preserve"> par division</w:t>
      </w:r>
    </w:p>
    <w:p w:rsidR="007F4206" w:rsidRDefault="007F4206" w:rsidP="007F4206">
      <w:pPr>
        <w:numPr>
          <w:ilvl w:val="0"/>
          <w:numId w:val="8"/>
        </w:numPr>
        <w:tabs>
          <w:tab w:val="left" w:pos="5587"/>
        </w:tabs>
        <w:spacing w:before="60" w:after="120" w:line="240" w:lineRule="auto"/>
        <w:ind w:left="284" w:hanging="284"/>
        <w:rPr>
          <w:rFonts w:asciiTheme="minorHAnsi" w:hAnsiTheme="minorHAnsi"/>
          <w:color w:val="002060"/>
          <w:lang w:val="fr-FR"/>
        </w:rPr>
      </w:pPr>
      <w:r w:rsidRPr="007F4206">
        <w:rPr>
          <w:rFonts w:asciiTheme="minorHAnsi" w:hAnsiTheme="minorHAnsi"/>
          <w:color w:val="002060"/>
          <w:lang w:val="fr-FR"/>
        </w:rPr>
        <w:t xml:space="preserve">Notre bénéfice trimestriel de 392 millions d’euros se répartit comme suit : 209 millions d’euros pour la division Belgique, 129 millions d’euros pour la division République tchèque, 60 millions d’euros pour la division Marchés internationaux et -6 millions d’euros pour le Centre de groupe. Un tableau reprenant les résultats complets et une analyse succincte par division sont disponibles à la section </w:t>
      </w:r>
      <w:proofErr w:type="spellStart"/>
      <w:r w:rsidRPr="007F4206">
        <w:rPr>
          <w:rFonts w:asciiTheme="minorHAnsi" w:hAnsiTheme="minorHAnsi"/>
          <w:i/>
          <w:color w:val="002060"/>
          <w:lang w:val="fr-FR"/>
        </w:rPr>
        <w:t>Results</w:t>
      </w:r>
      <w:proofErr w:type="spellEnd"/>
      <w:r w:rsidRPr="007F4206">
        <w:rPr>
          <w:rFonts w:asciiTheme="minorHAnsi" w:hAnsiTheme="minorHAnsi"/>
          <w:i/>
          <w:color w:val="002060"/>
          <w:lang w:val="fr-FR"/>
        </w:rPr>
        <w:t xml:space="preserve"> per Business Unit</w:t>
      </w:r>
      <w:r w:rsidRPr="007F4206">
        <w:rPr>
          <w:rFonts w:asciiTheme="minorHAnsi" w:hAnsiTheme="minorHAnsi"/>
          <w:color w:val="002060"/>
          <w:lang w:val="fr-FR"/>
        </w:rPr>
        <w:t xml:space="preserve"> du rapport trimestriel ; des informations plus détaillées pour chaque division figurent également dans la présentation destinée aux analystes (sur </w:t>
      </w:r>
      <w:hyperlink r:id="rId12" w:history="1">
        <w:r w:rsidR="00017839" w:rsidRPr="00F31650">
          <w:rPr>
            <w:rStyle w:val="Hyperlink"/>
            <w:rFonts w:asciiTheme="minorHAnsi" w:hAnsiTheme="minorHAnsi"/>
            <w:lang w:val="fr-FR"/>
          </w:rPr>
          <w:t>www.kbc.com</w:t>
        </w:r>
      </w:hyperlink>
      <w:r w:rsidRPr="007F4206">
        <w:rPr>
          <w:rFonts w:asciiTheme="minorHAnsi" w:hAnsiTheme="minorHAnsi"/>
          <w:color w:val="002060"/>
          <w:lang w:val="fr-FR"/>
        </w:rPr>
        <w:t>).</w:t>
      </w:r>
    </w:p>
    <w:p w:rsidR="00017839" w:rsidRPr="007F4206" w:rsidRDefault="00017839" w:rsidP="00017839">
      <w:pPr>
        <w:tabs>
          <w:tab w:val="left" w:pos="5587"/>
        </w:tabs>
        <w:spacing w:before="60" w:after="120" w:line="240" w:lineRule="auto"/>
        <w:ind w:left="284"/>
        <w:rPr>
          <w:rFonts w:asciiTheme="minorHAnsi" w:hAnsiTheme="minorHAnsi"/>
          <w:color w:val="002060"/>
          <w:lang w:val="fr-FR"/>
        </w:rPr>
      </w:pPr>
    </w:p>
    <w:p w:rsidR="007F4206" w:rsidRDefault="007F4206" w:rsidP="007F4206">
      <w:pPr>
        <w:spacing w:after="120"/>
        <w:rPr>
          <w:rFonts w:ascii="Rockwell" w:hAnsi="Rockwell"/>
          <w:color w:val="00B0F0"/>
          <w:sz w:val="24"/>
          <w:szCs w:val="24"/>
          <w:lang w:val="fr-FR"/>
        </w:rPr>
      </w:pPr>
      <w:r w:rsidRPr="007F4206">
        <w:rPr>
          <w:rFonts w:ascii="Rockwell" w:hAnsi="Rockwell"/>
          <w:color w:val="00B0F0"/>
          <w:sz w:val="24"/>
          <w:szCs w:val="24"/>
          <w:lang w:val="fr-FR"/>
        </w:rPr>
        <w:t>Robustes fondamentaux : capitaux propres, solvabilité et liquidité</w:t>
      </w:r>
    </w:p>
    <w:p w:rsidR="001C2ABF" w:rsidRPr="001C2ABF" w:rsidRDefault="001C2ABF" w:rsidP="001C2ABF">
      <w:pPr>
        <w:pStyle w:val="ListParagraph"/>
        <w:numPr>
          <w:ilvl w:val="0"/>
          <w:numId w:val="9"/>
        </w:numPr>
        <w:autoSpaceDE w:val="0"/>
        <w:autoSpaceDN w:val="0"/>
        <w:adjustRightInd w:val="0"/>
        <w:spacing w:after="120" w:line="240" w:lineRule="auto"/>
        <w:ind w:left="284" w:hanging="284"/>
        <w:contextualSpacing w:val="0"/>
        <w:rPr>
          <w:rFonts w:asciiTheme="minorHAnsi" w:hAnsiTheme="minorHAnsi" w:cs="Arial"/>
          <w:color w:val="002060"/>
          <w:lang w:val="fr-FR"/>
        </w:rPr>
      </w:pPr>
      <w:r w:rsidRPr="001C2ABF">
        <w:rPr>
          <w:rFonts w:asciiTheme="minorHAnsi" w:eastAsiaTheme="minorHAnsi" w:hAnsiTheme="minorHAnsi" w:cs="Arial"/>
          <w:color w:val="002060"/>
          <w:lang w:val="fr-FR"/>
        </w:rPr>
        <w:t xml:space="preserve">À la fin mars 2016, le total de nos capitaux propres s’élevait à 15,7 milliards d’euros, en baisse de 0,1 milliard d’euros par rapport à son niveau de fin 2015. L’évolution du total des capitaux propres sur </w:t>
      </w:r>
      <w:r w:rsidRPr="001C2ABF">
        <w:rPr>
          <w:rFonts w:asciiTheme="minorHAnsi" w:eastAsiaTheme="minorHAnsi" w:hAnsiTheme="minorHAnsi" w:cs="Arial"/>
          <w:color w:val="002060"/>
          <w:lang w:val="fr-FR"/>
        </w:rPr>
        <w:lastRenderedPageBreak/>
        <w:t xml:space="preserve">l’exercice résultait de l’inclusion du bénéfice 2016 (+0,4 milliard d’euros), de la dépréciation des couvertures des flux de trésorerie (-0,3 milliard d'euros) et des réévaluations de régimes à prestations définies (-0,2 milliard d'euros). </w:t>
      </w:r>
    </w:p>
    <w:p w:rsidR="001C2ABF" w:rsidRPr="001C2ABF" w:rsidRDefault="001C2ABF" w:rsidP="001C2ABF">
      <w:pPr>
        <w:pStyle w:val="ListParagraph"/>
        <w:numPr>
          <w:ilvl w:val="0"/>
          <w:numId w:val="1"/>
        </w:numPr>
        <w:tabs>
          <w:tab w:val="clear" w:pos="720"/>
          <w:tab w:val="num" w:pos="426"/>
        </w:tabs>
        <w:autoSpaceDE w:val="0"/>
        <w:autoSpaceDN w:val="0"/>
        <w:adjustRightInd w:val="0"/>
        <w:spacing w:after="120" w:line="240" w:lineRule="auto"/>
        <w:ind w:left="284" w:hanging="284"/>
        <w:contextualSpacing w:val="0"/>
        <w:rPr>
          <w:rFonts w:asciiTheme="minorHAnsi" w:hAnsiTheme="minorHAnsi"/>
          <w:b/>
          <w:color w:val="002060"/>
          <w:lang w:val="fr-FR"/>
        </w:rPr>
      </w:pPr>
      <w:r w:rsidRPr="001C2ABF">
        <w:rPr>
          <w:rFonts w:asciiTheme="minorHAnsi" w:hAnsiTheme="minorHAnsi" w:cs="Arial"/>
          <w:color w:val="002060"/>
          <w:lang w:val="fr-FR"/>
        </w:rPr>
        <w:t xml:space="preserve">Nos ratios de solvabilité ont confortablement dépassé les niveaux requis par le nouveau test de solvabilité imposé par les autorités réglementaires pour 2016 (minimum de 10,25%, Bâle III, </w:t>
      </w:r>
      <w:proofErr w:type="spellStart"/>
      <w:r w:rsidRPr="001C2ABF">
        <w:rPr>
          <w:rFonts w:asciiTheme="minorHAnsi" w:hAnsiTheme="minorHAnsi" w:cs="Arial"/>
          <w:color w:val="002060"/>
          <w:lang w:val="fr-FR"/>
        </w:rPr>
        <w:t>phased</w:t>
      </w:r>
      <w:proofErr w:type="spellEnd"/>
      <w:r w:rsidRPr="001C2ABF">
        <w:rPr>
          <w:rFonts w:asciiTheme="minorHAnsi" w:hAnsiTheme="minorHAnsi" w:cs="Arial"/>
          <w:color w:val="002060"/>
          <w:lang w:val="fr-FR"/>
        </w:rPr>
        <w:t xml:space="preserve">-in selon le compromis danois). Au 31 mars 2016, le ratio </w:t>
      </w:r>
      <w:proofErr w:type="spellStart"/>
      <w:r w:rsidRPr="001C2ABF">
        <w:rPr>
          <w:rFonts w:asciiTheme="minorHAnsi" w:hAnsiTheme="minorHAnsi" w:cs="Arial"/>
          <w:color w:val="002060"/>
          <w:lang w:val="fr-FR"/>
        </w:rPr>
        <w:t>common</w:t>
      </w:r>
      <w:proofErr w:type="spellEnd"/>
      <w:r w:rsidRPr="001C2ABF">
        <w:rPr>
          <w:rFonts w:asciiTheme="minorHAnsi" w:hAnsiTheme="minorHAnsi" w:cs="Arial"/>
          <w:color w:val="002060"/>
          <w:lang w:val="fr-FR"/>
        </w:rPr>
        <w:t xml:space="preserve"> </w:t>
      </w:r>
      <w:proofErr w:type="spellStart"/>
      <w:r w:rsidRPr="001C2ABF">
        <w:rPr>
          <w:rFonts w:asciiTheme="minorHAnsi" w:hAnsiTheme="minorHAnsi" w:cs="Arial"/>
          <w:color w:val="002060"/>
          <w:lang w:val="fr-FR"/>
        </w:rPr>
        <w:t>equity</w:t>
      </w:r>
      <w:proofErr w:type="spellEnd"/>
      <w:r w:rsidRPr="001C2ABF">
        <w:rPr>
          <w:rFonts w:asciiTheme="minorHAnsi" w:hAnsiTheme="minorHAnsi" w:cs="Arial"/>
          <w:color w:val="002060"/>
          <w:lang w:val="fr-FR"/>
        </w:rPr>
        <w:t xml:space="preserve"> du groupe (Bâle III, </w:t>
      </w:r>
      <w:proofErr w:type="spellStart"/>
      <w:r w:rsidRPr="001C2ABF">
        <w:rPr>
          <w:rFonts w:asciiTheme="minorHAnsi" w:hAnsiTheme="minorHAnsi" w:cs="Arial"/>
          <w:color w:val="002060"/>
          <w:lang w:val="fr-FR"/>
        </w:rPr>
        <w:t>phased</w:t>
      </w:r>
      <w:proofErr w:type="spellEnd"/>
      <w:r w:rsidRPr="001C2ABF">
        <w:rPr>
          <w:rFonts w:asciiTheme="minorHAnsi" w:hAnsiTheme="minorHAnsi" w:cs="Arial"/>
          <w:color w:val="002060"/>
          <w:lang w:val="fr-FR"/>
        </w:rPr>
        <w:t>-in, selon le compromis danois) s’établissait à un solide niveau de 14,6%. À pleine charge, ce ratio atteint également 14,6%. Le ratio de levier financier (« </w:t>
      </w:r>
      <w:proofErr w:type="spellStart"/>
      <w:r w:rsidRPr="001C2ABF">
        <w:rPr>
          <w:rFonts w:asciiTheme="minorHAnsi" w:hAnsiTheme="minorHAnsi" w:cs="Arial"/>
          <w:color w:val="002060"/>
          <w:lang w:val="fr-FR"/>
        </w:rPr>
        <w:t>leverage</w:t>
      </w:r>
      <w:proofErr w:type="spellEnd"/>
      <w:r w:rsidRPr="001C2ABF">
        <w:rPr>
          <w:rFonts w:asciiTheme="minorHAnsi" w:hAnsiTheme="minorHAnsi" w:cs="Arial"/>
          <w:color w:val="002060"/>
          <w:lang w:val="fr-FR"/>
        </w:rPr>
        <w:t xml:space="preserve"> ratio ») du groupe (Bâle III, à pleine charge) s’est inscrit à 5,9%. Au 31 mars 2016, KBC </w:t>
      </w:r>
      <w:proofErr w:type="spellStart"/>
      <w:r w:rsidRPr="001C2ABF">
        <w:rPr>
          <w:rFonts w:asciiTheme="minorHAnsi" w:hAnsiTheme="minorHAnsi" w:cs="Arial"/>
          <w:color w:val="002060"/>
          <w:lang w:val="fr-FR"/>
        </w:rPr>
        <w:t>Insurance</w:t>
      </w:r>
      <w:proofErr w:type="spellEnd"/>
      <w:r w:rsidRPr="001C2ABF">
        <w:rPr>
          <w:rFonts w:asciiTheme="minorHAnsi" w:hAnsiTheme="minorHAnsi" w:cs="Arial"/>
          <w:color w:val="002060"/>
          <w:lang w:val="fr-FR"/>
        </w:rPr>
        <w:t xml:space="preserve"> affichait un excellent ratio de solvabilité de 210% en vertu du nouveau cadre réglementaire Solvabilité II.</w:t>
      </w:r>
    </w:p>
    <w:p w:rsidR="001C2ABF" w:rsidRPr="001C2ABF" w:rsidRDefault="001C2ABF" w:rsidP="001C2ABF">
      <w:pPr>
        <w:pStyle w:val="ListParagraph"/>
        <w:numPr>
          <w:ilvl w:val="0"/>
          <w:numId w:val="1"/>
        </w:numPr>
        <w:tabs>
          <w:tab w:val="clear" w:pos="720"/>
          <w:tab w:val="num" w:pos="426"/>
        </w:tabs>
        <w:spacing w:after="120" w:line="240" w:lineRule="auto"/>
        <w:ind w:left="284" w:hanging="284"/>
        <w:contextualSpacing w:val="0"/>
        <w:rPr>
          <w:rFonts w:asciiTheme="minorHAnsi" w:hAnsiTheme="minorHAnsi"/>
          <w:b/>
          <w:color w:val="002060"/>
          <w:lang w:val="fr-FR"/>
        </w:rPr>
      </w:pPr>
      <w:r w:rsidRPr="001C2ABF">
        <w:rPr>
          <w:rFonts w:asciiTheme="minorHAnsi" w:hAnsiTheme="minorHAnsi"/>
          <w:color w:val="002060"/>
          <w:lang w:val="fr-FR"/>
        </w:rPr>
        <w:t>La liquidité du groupe s’est maintenue à un excellent niveau, avec un ratio LCR de 130% et un ratio NSFR de 121% à l’issue du premier trimestre 2016.</w:t>
      </w:r>
    </w:p>
    <w:p w:rsidR="001C2ABF" w:rsidRPr="007F4206" w:rsidRDefault="001C2ABF" w:rsidP="007F4206">
      <w:pPr>
        <w:spacing w:after="120"/>
        <w:rPr>
          <w:rFonts w:ascii="Rockwell" w:hAnsi="Rockwell"/>
          <w:color w:val="00B0F0"/>
          <w:sz w:val="24"/>
          <w:szCs w:val="24"/>
          <w:lang w:val="fr-FR"/>
        </w:rPr>
      </w:pPr>
    </w:p>
    <w:tbl>
      <w:tblPr>
        <w:tblW w:w="10240" w:type="dxa"/>
        <w:tblInd w:w="108" w:type="dxa"/>
        <w:tblLook w:val="01E0" w:firstRow="1" w:lastRow="1" w:firstColumn="1" w:lastColumn="1" w:noHBand="0" w:noVBand="0"/>
      </w:tblPr>
      <w:tblGrid>
        <w:gridCol w:w="5435"/>
        <w:gridCol w:w="1667"/>
        <w:gridCol w:w="1035"/>
        <w:gridCol w:w="1088"/>
        <w:gridCol w:w="1015"/>
      </w:tblGrid>
      <w:tr w:rsidR="001C2ABF" w:rsidRPr="00D74EA3" w:rsidTr="00A8415A">
        <w:tc>
          <w:tcPr>
            <w:tcW w:w="5435" w:type="dxa"/>
            <w:tcBorders>
              <w:bottom w:val="single" w:sz="8" w:space="0" w:color="808080" w:themeColor="background1" w:themeShade="80"/>
            </w:tcBorders>
            <w:shd w:val="clear" w:color="auto" w:fill="auto"/>
            <w:vAlign w:val="center"/>
          </w:tcPr>
          <w:p w:rsidR="001C2ABF" w:rsidRPr="00725FA5" w:rsidRDefault="001C2ABF" w:rsidP="00A8415A">
            <w:pPr>
              <w:pStyle w:val="Intro"/>
              <w:jc w:val="left"/>
              <w:rPr>
                <w:color w:val="00B0F0"/>
                <w:sz w:val="14"/>
                <w:szCs w:val="14"/>
                <w:lang w:val="fr-FR"/>
              </w:rPr>
            </w:pPr>
            <w:r w:rsidRPr="00725FA5">
              <w:rPr>
                <w:color w:val="00B0F0"/>
                <w:sz w:val="14"/>
                <w:szCs w:val="14"/>
                <w:lang w:val="fr-FR"/>
              </w:rPr>
              <w:t>Ratios sélectionnés pour le Groupe KBC (consolidé)</w:t>
            </w:r>
          </w:p>
        </w:tc>
        <w:tc>
          <w:tcPr>
            <w:tcW w:w="1667" w:type="dxa"/>
            <w:tcBorders>
              <w:bottom w:val="single" w:sz="8" w:space="0" w:color="808080" w:themeColor="background1" w:themeShade="80"/>
            </w:tcBorders>
            <w:shd w:val="clear" w:color="auto" w:fill="auto"/>
            <w:vAlign w:val="center"/>
          </w:tcPr>
          <w:p w:rsidR="001C2ABF" w:rsidRPr="00725FA5" w:rsidRDefault="001C2ABF" w:rsidP="00A8415A">
            <w:pPr>
              <w:pStyle w:val="Intro"/>
              <w:jc w:val="right"/>
              <w:rPr>
                <w:color w:val="00B0F0"/>
                <w:sz w:val="14"/>
                <w:szCs w:val="14"/>
                <w:lang w:val="fr-FR"/>
              </w:rPr>
            </w:pPr>
          </w:p>
        </w:tc>
        <w:tc>
          <w:tcPr>
            <w:tcW w:w="1035" w:type="dxa"/>
            <w:tcBorders>
              <w:bottom w:val="single" w:sz="8" w:space="0" w:color="808080" w:themeColor="background1" w:themeShade="80"/>
            </w:tcBorders>
          </w:tcPr>
          <w:p w:rsidR="001C2ABF" w:rsidRPr="00725FA5" w:rsidRDefault="001C2ABF" w:rsidP="00A8415A">
            <w:pPr>
              <w:pStyle w:val="Intro"/>
              <w:jc w:val="right"/>
              <w:rPr>
                <w:color w:val="00B0F0"/>
                <w:sz w:val="14"/>
                <w:szCs w:val="14"/>
                <w:lang w:val="fr-FR"/>
              </w:rPr>
            </w:pPr>
          </w:p>
        </w:tc>
        <w:tc>
          <w:tcPr>
            <w:tcW w:w="1088" w:type="dxa"/>
            <w:tcBorders>
              <w:bottom w:val="single" w:sz="8" w:space="0" w:color="808080" w:themeColor="background1" w:themeShade="80"/>
            </w:tcBorders>
            <w:shd w:val="clear" w:color="auto" w:fill="auto"/>
            <w:vAlign w:val="center"/>
          </w:tcPr>
          <w:p w:rsidR="001C2ABF" w:rsidRPr="00D74EA3" w:rsidRDefault="001C2ABF" w:rsidP="00A8415A">
            <w:pPr>
              <w:pStyle w:val="Intro"/>
              <w:jc w:val="right"/>
              <w:rPr>
                <w:color w:val="00B0F0"/>
                <w:sz w:val="14"/>
                <w:szCs w:val="14"/>
                <w:lang w:val="en-GB"/>
              </w:rPr>
            </w:pPr>
            <w:proofErr w:type="spellStart"/>
            <w:r w:rsidRPr="00D74EA3">
              <w:rPr>
                <w:color w:val="00B0F0"/>
                <w:sz w:val="14"/>
                <w:szCs w:val="14"/>
              </w:rPr>
              <w:t>Exercice</w:t>
            </w:r>
            <w:proofErr w:type="spellEnd"/>
            <w:r w:rsidRPr="00D74EA3">
              <w:rPr>
                <w:color w:val="00B0F0"/>
                <w:sz w:val="14"/>
                <w:szCs w:val="14"/>
              </w:rPr>
              <w:t xml:space="preserve"> complet 2015</w:t>
            </w:r>
          </w:p>
        </w:tc>
        <w:tc>
          <w:tcPr>
            <w:tcW w:w="1015" w:type="dxa"/>
            <w:tcBorders>
              <w:bottom w:val="single" w:sz="8" w:space="0" w:color="808080" w:themeColor="background1" w:themeShade="80"/>
            </w:tcBorders>
            <w:shd w:val="clear" w:color="auto" w:fill="auto"/>
            <w:vAlign w:val="center"/>
          </w:tcPr>
          <w:p w:rsidR="001C2ABF" w:rsidRPr="00D74EA3" w:rsidRDefault="001C2ABF" w:rsidP="00A8415A">
            <w:pPr>
              <w:pStyle w:val="Intro"/>
              <w:jc w:val="right"/>
              <w:rPr>
                <w:color w:val="00B0F0"/>
                <w:sz w:val="14"/>
                <w:szCs w:val="14"/>
                <w:lang w:val="en-GB"/>
              </w:rPr>
            </w:pPr>
            <w:r w:rsidRPr="00D74EA3">
              <w:rPr>
                <w:color w:val="00B0F0"/>
                <w:sz w:val="14"/>
                <w:szCs w:val="14"/>
              </w:rPr>
              <w:t>1TR2016</w:t>
            </w:r>
          </w:p>
        </w:tc>
      </w:tr>
      <w:tr w:rsidR="001C2ABF" w:rsidRPr="00D74EA3" w:rsidTr="00A8415A">
        <w:trPr>
          <w:trHeight w:val="227"/>
        </w:trPr>
        <w:tc>
          <w:tcPr>
            <w:tcW w:w="5435" w:type="dxa"/>
            <w:tcBorders>
              <w:top w:val="single" w:sz="8" w:space="0" w:color="808080" w:themeColor="background1" w:themeShade="80"/>
              <w:bottom w:val="single" w:sz="8" w:space="0" w:color="808080" w:themeColor="background1" w:themeShade="80"/>
            </w:tcBorders>
            <w:vAlign w:val="center"/>
          </w:tcPr>
          <w:p w:rsidR="001C2ABF" w:rsidRPr="00D74EA3" w:rsidRDefault="001C2ABF" w:rsidP="00A8415A">
            <w:pPr>
              <w:pStyle w:val="Intro"/>
              <w:jc w:val="left"/>
              <w:rPr>
                <w:b w:val="0"/>
                <w:sz w:val="14"/>
                <w:szCs w:val="14"/>
                <w:lang w:val="en-GB"/>
              </w:rPr>
            </w:pPr>
            <w:proofErr w:type="spellStart"/>
            <w:r w:rsidRPr="00D74EA3">
              <w:rPr>
                <w:b w:val="0"/>
                <w:sz w:val="14"/>
                <w:szCs w:val="14"/>
              </w:rPr>
              <w:t>Rentabilité</w:t>
            </w:r>
            <w:proofErr w:type="spellEnd"/>
            <w:r w:rsidRPr="00D74EA3">
              <w:rPr>
                <w:b w:val="0"/>
                <w:sz w:val="14"/>
                <w:szCs w:val="14"/>
              </w:rPr>
              <w:t xml:space="preserve"> et </w:t>
            </w:r>
            <w:proofErr w:type="spellStart"/>
            <w:r w:rsidRPr="00D74EA3">
              <w:rPr>
                <w:b w:val="0"/>
                <w:sz w:val="14"/>
                <w:szCs w:val="14"/>
              </w:rPr>
              <w:t>efficacité</w:t>
            </w:r>
            <w:proofErr w:type="spellEnd"/>
            <w:r w:rsidRPr="00D74EA3">
              <w:rPr>
                <w:b w:val="0"/>
                <w:sz w:val="14"/>
                <w:szCs w:val="14"/>
              </w:rPr>
              <w:t xml:space="preserve"> </w:t>
            </w:r>
          </w:p>
        </w:tc>
        <w:tc>
          <w:tcPr>
            <w:tcW w:w="1667" w:type="dxa"/>
            <w:tcBorders>
              <w:top w:val="single" w:sz="8" w:space="0" w:color="808080" w:themeColor="background1" w:themeShade="80"/>
              <w:bottom w:val="single" w:sz="8" w:space="0" w:color="808080" w:themeColor="background1" w:themeShade="80"/>
            </w:tcBorders>
            <w:vAlign w:val="center"/>
          </w:tcPr>
          <w:p w:rsidR="001C2ABF" w:rsidRPr="00D74EA3" w:rsidRDefault="001C2ABF" w:rsidP="00A8415A">
            <w:pPr>
              <w:pStyle w:val="Intro"/>
              <w:jc w:val="right"/>
              <w:rPr>
                <w:b w:val="0"/>
                <w:sz w:val="14"/>
                <w:szCs w:val="14"/>
                <w:lang w:val="en-GB"/>
              </w:rPr>
            </w:pPr>
          </w:p>
        </w:tc>
        <w:tc>
          <w:tcPr>
            <w:tcW w:w="1035" w:type="dxa"/>
            <w:tcBorders>
              <w:top w:val="single" w:sz="8" w:space="0" w:color="808080" w:themeColor="background1" w:themeShade="80"/>
              <w:bottom w:val="single" w:sz="8" w:space="0" w:color="808080" w:themeColor="background1" w:themeShade="80"/>
            </w:tcBorders>
          </w:tcPr>
          <w:p w:rsidR="001C2ABF" w:rsidRPr="00D74EA3" w:rsidRDefault="001C2ABF" w:rsidP="00A8415A">
            <w:pPr>
              <w:pStyle w:val="Intro"/>
              <w:jc w:val="right"/>
              <w:rPr>
                <w:b w:val="0"/>
                <w:sz w:val="14"/>
                <w:szCs w:val="14"/>
                <w:lang w:val="en-GB"/>
              </w:rPr>
            </w:pPr>
          </w:p>
        </w:tc>
        <w:tc>
          <w:tcPr>
            <w:tcW w:w="1088" w:type="dxa"/>
            <w:tcBorders>
              <w:top w:val="single" w:sz="8" w:space="0" w:color="808080" w:themeColor="background1" w:themeShade="80"/>
              <w:bottom w:val="single" w:sz="8" w:space="0" w:color="808080" w:themeColor="background1" w:themeShade="80"/>
            </w:tcBorders>
            <w:vAlign w:val="center"/>
          </w:tcPr>
          <w:p w:rsidR="001C2ABF" w:rsidRPr="00D74EA3" w:rsidRDefault="001C2ABF" w:rsidP="00A8415A">
            <w:pPr>
              <w:pStyle w:val="Intro"/>
              <w:jc w:val="right"/>
              <w:rPr>
                <w:b w:val="0"/>
                <w:sz w:val="14"/>
                <w:szCs w:val="14"/>
                <w:lang w:val="en-GB"/>
              </w:rPr>
            </w:pPr>
          </w:p>
        </w:tc>
        <w:tc>
          <w:tcPr>
            <w:tcW w:w="1015" w:type="dxa"/>
            <w:tcBorders>
              <w:top w:val="single" w:sz="8" w:space="0" w:color="808080" w:themeColor="background1" w:themeShade="80"/>
              <w:bottom w:val="single" w:sz="8" w:space="0" w:color="808080" w:themeColor="background1" w:themeShade="80"/>
            </w:tcBorders>
            <w:shd w:val="clear" w:color="auto" w:fill="D9D9D9" w:themeFill="background1" w:themeFillShade="D9"/>
            <w:vAlign w:val="center"/>
          </w:tcPr>
          <w:p w:rsidR="001C2ABF" w:rsidRPr="00D74EA3" w:rsidRDefault="001C2ABF" w:rsidP="00A8415A">
            <w:pPr>
              <w:pStyle w:val="Intro"/>
              <w:jc w:val="right"/>
              <w:rPr>
                <w:b w:val="0"/>
                <w:sz w:val="14"/>
                <w:szCs w:val="14"/>
                <w:lang w:val="en-GB"/>
              </w:rPr>
            </w:pPr>
          </w:p>
        </w:tc>
      </w:tr>
      <w:tr w:rsidR="001C2ABF" w:rsidRPr="00D74EA3" w:rsidTr="00A8415A">
        <w:trPr>
          <w:trHeight w:val="227"/>
        </w:trPr>
        <w:tc>
          <w:tcPr>
            <w:tcW w:w="5435" w:type="dxa"/>
            <w:tcBorders>
              <w:top w:val="single" w:sz="8" w:space="0" w:color="808080" w:themeColor="background1" w:themeShade="80"/>
            </w:tcBorders>
            <w:vAlign w:val="center"/>
          </w:tcPr>
          <w:p w:rsidR="001C2ABF" w:rsidRPr="00D74EA3" w:rsidRDefault="001C2ABF" w:rsidP="00A8415A">
            <w:pPr>
              <w:pStyle w:val="Intro"/>
              <w:jc w:val="left"/>
              <w:rPr>
                <w:b w:val="0"/>
                <w:sz w:val="14"/>
                <w:szCs w:val="14"/>
                <w:lang w:val="en-GB"/>
              </w:rPr>
            </w:pPr>
            <w:r w:rsidRPr="00D74EA3">
              <w:rPr>
                <w:b w:val="0"/>
                <w:sz w:val="14"/>
                <w:szCs w:val="14"/>
              </w:rPr>
              <w:t xml:space="preserve">Rendement des </w:t>
            </w:r>
            <w:proofErr w:type="spellStart"/>
            <w:r w:rsidRPr="00D74EA3">
              <w:rPr>
                <w:b w:val="0"/>
                <w:sz w:val="14"/>
                <w:szCs w:val="14"/>
              </w:rPr>
              <w:t>capitaux</w:t>
            </w:r>
            <w:proofErr w:type="spellEnd"/>
            <w:r w:rsidRPr="00D74EA3">
              <w:rPr>
                <w:b w:val="0"/>
                <w:sz w:val="14"/>
                <w:szCs w:val="14"/>
              </w:rPr>
              <w:t xml:space="preserve"> </w:t>
            </w:r>
            <w:proofErr w:type="spellStart"/>
            <w:r w:rsidRPr="00D74EA3">
              <w:rPr>
                <w:b w:val="0"/>
                <w:sz w:val="14"/>
                <w:szCs w:val="14"/>
              </w:rPr>
              <w:t>propres</w:t>
            </w:r>
            <w:proofErr w:type="spellEnd"/>
            <w:r w:rsidRPr="00D74EA3">
              <w:rPr>
                <w:b w:val="0"/>
                <w:sz w:val="14"/>
                <w:szCs w:val="14"/>
              </w:rPr>
              <w:t xml:space="preserve">  </w:t>
            </w:r>
          </w:p>
        </w:tc>
        <w:tc>
          <w:tcPr>
            <w:tcW w:w="1667" w:type="dxa"/>
            <w:tcBorders>
              <w:top w:val="single" w:sz="8" w:space="0" w:color="808080" w:themeColor="background1" w:themeShade="80"/>
            </w:tcBorders>
            <w:vAlign w:val="center"/>
          </w:tcPr>
          <w:p w:rsidR="001C2ABF" w:rsidRPr="00D74EA3" w:rsidRDefault="001C2ABF" w:rsidP="00A8415A">
            <w:pPr>
              <w:pStyle w:val="Intro"/>
              <w:jc w:val="right"/>
              <w:rPr>
                <w:b w:val="0"/>
                <w:sz w:val="14"/>
                <w:szCs w:val="14"/>
                <w:lang w:val="en-GB"/>
              </w:rPr>
            </w:pPr>
          </w:p>
        </w:tc>
        <w:tc>
          <w:tcPr>
            <w:tcW w:w="1035" w:type="dxa"/>
            <w:tcBorders>
              <w:top w:val="single" w:sz="8" w:space="0" w:color="808080" w:themeColor="background1" w:themeShade="80"/>
            </w:tcBorders>
          </w:tcPr>
          <w:p w:rsidR="001C2ABF" w:rsidRPr="00D74EA3" w:rsidRDefault="001C2ABF" w:rsidP="00A8415A">
            <w:pPr>
              <w:pStyle w:val="Intro"/>
              <w:jc w:val="right"/>
              <w:rPr>
                <w:b w:val="0"/>
                <w:sz w:val="14"/>
                <w:szCs w:val="14"/>
                <w:lang w:val="en-GB"/>
              </w:rPr>
            </w:pPr>
          </w:p>
        </w:tc>
        <w:tc>
          <w:tcPr>
            <w:tcW w:w="1088" w:type="dxa"/>
            <w:tcBorders>
              <w:top w:val="single" w:sz="8" w:space="0" w:color="808080" w:themeColor="background1" w:themeShade="80"/>
            </w:tcBorders>
            <w:shd w:val="clear" w:color="auto" w:fill="auto"/>
            <w:vAlign w:val="center"/>
          </w:tcPr>
          <w:p w:rsidR="001C2ABF" w:rsidRPr="00D74EA3" w:rsidRDefault="001C2ABF" w:rsidP="00A8415A">
            <w:pPr>
              <w:pStyle w:val="Intro"/>
              <w:jc w:val="right"/>
              <w:rPr>
                <w:b w:val="0"/>
                <w:sz w:val="14"/>
                <w:szCs w:val="14"/>
                <w:lang w:val="en-GB"/>
              </w:rPr>
            </w:pPr>
            <w:r w:rsidRPr="00D74EA3">
              <w:rPr>
                <w:b w:val="0"/>
                <w:sz w:val="14"/>
                <w:szCs w:val="14"/>
              </w:rPr>
              <w:t>22%</w:t>
            </w:r>
          </w:p>
        </w:tc>
        <w:tc>
          <w:tcPr>
            <w:tcW w:w="1015" w:type="dxa"/>
            <w:tcBorders>
              <w:top w:val="single" w:sz="8" w:space="0" w:color="808080" w:themeColor="background1" w:themeShade="80"/>
            </w:tcBorders>
            <w:shd w:val="clear" w:color="auto" w:fill="D9D9D9" w:themeFill="background1" w:themeFillShade="D9"/>
            <w:vAlign w:val="center"/>
          </w:tcPr>
          <w:p w:rsidR="001C2ABF" w:rsidRPr="00D74EA3" w:rsidRDefault="001C2ABF" w:rsidP="00A8415A">
            <w:pPr>
              <w:pStyle w:val="Intro"/>
              <w:jc w:val="right"/>
              <w:rPr>
                <w:b w:val="0"/>
                <w:sz w:val="14"/>
                <w:szCs w:val="14"/>
                <w:lang w:val="en-GB"/>
              </w:rPr>
            </w:pPr>
            <w:r w:rsidRPr="00D74EA3">
              <w:rPr>
                <w:b w:val="0"/>
                <w:sz w:val="14"/>
                <w:szCs w:val="14"/>
              </w:rPr>
              <w:t>12%</w:t>
            </w:r>
          </w:p>
        </w:tc>
      </w:tr>
      <w:tr w:rsidR="001C2ABF" w:rsidRPr="00D74EA3" w:rsidTr="00A8415A">
        <w:trPr>
          <w:trHeight w:val="227"/>
        </w:trPr>
        <w:tc>
          <w:tcPr>
            <w:tcW w:w="5435" w:type="dxa"/>
            <w:vAlign w:val="center"/>
          </w:tcPr>
          <w:p w:rsidR="001C2ABF" w:rsidRPr="00725FA5" w:rsidRDefault="001C2ABF" w:rsidP="00A8415A">
            <w:pPr>
              <w:pStyle w:val="Intro"/>
              <w:jc w:val="left"/>
              <w:rPr>
                <w:b w:val="0"/>
                <w:sz w:val="14"/>
                <w:szCs w:val="14"/>
                <w:lang w:val="fr-FR"/>
              </w:rPr>
            </w:pPr>
            <w:r w:rsidRPr="00725FA5">
              <w:rPr>
                <w:b w:val="0"/>
                <w:sz w:val="14"/>
                <w:szCs w:val="14"/>
                <w:lang w:val="fr-FR"/>
              </w:rPr>
              <w:t>Ratio charges/revenus, activités bancaires</w:t>
            </w:r>
          </w:p>
        </w:tc>
        <w:tc>
          <w:tcPr>
            <w:tcW w:w="1667" w:type="dxa"/>
            <w:vAlign w:val="center"/>
          </w:tcPr>
          <w:p w:rsidR="001C2ABF" w:rsidRPr="00725FA5" w:rsidRDefault="001C2ABF" w:rsidP="00A8415A">
            <w:pPr>
              <w:pStyle w:val="Intro"/>
              <w:jc w:val="right"/>
              <w:rPr>
                <w:b w:val="0"/>
                <w:sz w:val="14"/>
                <w:szCs w:val="14"/>
                <w:lang w:val="fr-FR"/>
              </w:rPr>
            </w:pPr>
          </w:p>
        </w:tc>
        <w:tc>
          <w:tcPr>
            <w:tcW w:w="1035" w:type="dxa"/>
          </w:tcPr>
          <w:p w:rsidR="001C2ABF" w:rsidRPr="00725FA5" w:rsidRDefault="001C2ABF" w:rsidP="00A8415A">
            <w:pPr>
              <w:pStyle w:val="Intro"/>
              <w:jc w:val="right"/>
              <w:rPr>
                <w:b w:val="0"/>
                <w:sz w:val="14"/>
                <w:szCs w:val="14"/>
                <w:lang w:val="fr-FR"/>
              </w:rPr>
            </w:pPr>
          </w:p>
        </w:tc>
        <w:tc>
          <w:tcPr>
            <w:tcW w:w="1088" w:type="dxa"/>
            <w:shd w:val="clear" w:color="auto" w:fill="auto"/>
            <w:vAlign w:val="center"/>
          </w:tcPr>
          <w:p w:rsidR="001C2ABF" w:rsidRPr="00D74EA3" w:rsidRDefault="001C2ABF" w:rsidP="00A8415A">
            <w:pPr>
              <w:pStyle w:val="Intro"/>
              <w:jc w:val="right"/>
              <w:rPr>
                <w:b w:val="0"/>
                <w:sz w:val="14"/>
                <w:szCs w:val="14"/>
                <w:lang w:val="en-GB"/>
              </w:rPr>
            </w:pPr>
            <w:r w:rsidRPr="00D74EA3">
              <w:rPr>
                <w:b w:val="0"/>
                <w:sz w:val="14"/>
                <w:szCs w:val="14"/>
              </w:rPr>
              <w:t>55%</w:t>
            </w:r>
          </w:p>
        </w:tc>
        <w:tc>
          <w:tcPr>
            <w:tcW w:w="1015" w:type="dxa"/>
            <w:shd w:val="clear" w:color="auto" w:fill="D9D9D9" w:themeFill="background1" w:themeFillShade="D9"/>
            <w:vAlign w:val="center"/>
          </w:tcPr>
          <w:p w:rsidR="001C2ABF" w:rsidRPr="00D74EA3" w:rsidRDefault="001C2ABF" w:rsidP="00A8415A">
            <w:pPr>
              <w:pStyle w:val="Intro"/>
              <w:jc w:val="right"/>
              <w:rPr>
                <w:b w:val="0"/>
                <w:sz w:val="14"/>
                <w:szCs w:val="14"/>
                <w:lang w:val="en-GB"/>
              </w:rPr>
            </w:pPr>
            <w:r w:rsidRPr="00D74EA3">
              <w:rPr>
                <w:b w:val="0"/>
                <w:sz w:val="14"/>
                <w:szCs w:val="14"/>
              </w:rPr>
              <w:t>71%</w:t>
            </w:r>
          </w:p>
        </w:tc>
      </w:tr>
      <w:tr w:rsidR="001C2ABF" w:rsidRPr="00D74EA3" w:rsidTr="00A8415A">
        <w:trPr>
          <w:trHeight w:val="227"/>
        </w:trPr>
        <w:tc>
          <w:tcPr>
            <w:tcW w:w="5435" w:type="dxa"/>
            <w:tcBorders>
              <w:bottom w:val="single" w:sz="8" w:space="0" w:color="808080" w:themeColor="background1" w:themeShade="80"/>
            </w:tcBorders>
            <w:vAlign w:val="center"/>
          </w:tcPr>
          <w:p w:rsidR="001C2ABF" w:rsidRPr="00725FA5" w:rsidRDefault="001C2ABF" w:rsidP="00A8415A">
            <w:pPr>
              <w:pStyle w:val="Intro"/>
              <w:jc w:val="left"/>
              <w:rPr>
                <w:b w:val="0"/>
                <w:sz w:val="14"/>
                <w:szCs w:val="14"/>
                <w:lang w:val="fr-FR"/>
              </w:rPr>
            </w:pPr>
            <w:r w:rsidRPr="00725FA5">
              <w:rPr>
                <w:b w:val="0"/>
                <w:sz w:val="14"/>
                <w:szCs w:val="14"/>
                <w:lang w:val="fr-FR"/>
              </w:rPr>
              <w:t>Ratio combiné, assurance non-vie</w:t>
            </w:r>
          </w:p>
        </w:tc>
        <w:tc>
          <w:tcPr>
            <w:tcW w:w="1667" w:type="dxa"/>
            <w:tcBorders>
              <w:bottom w:val="single" w:sz="8" w:space="0" w:color="808080" w:themeColor="background1" w:themeShade="80"/>
            </w:tcBorders>
            <w:vAlign w:val="center"/>
          </w:tcPr>
          <w:p w:rsidR="001C2ABF" w:rsidRPr="00725FA5" w:rsidRDefault="001C2ABF" w:rsidP="00A8415A">
            <w:pPr>
              <w:pStyle w:val="Intro"/>
              <w:jc w:val="right"/>
              <w:rPr>
                <w:b w:val="0"/>
                <w:sz w:val="14"/>
                <w:szCs w:val="14"/>
                <w:lang w:val="fr-FR"/>
              </w:rPr>
            </w:pPr>
          </w:p>
        </w:tc>
        <w:tc>
          <w:tcPr>
            <w:tcW w:w="1035" w:type="dxa"/>
            <w:tcBorders>
              <w:bottom w:val="single" w:sz="8" w:space="0" w:color="808080" w:themeColor="background1" w:themeShade="80"/>
            </w:tcBorders>
          </w:tcPr>
          <w:p w:rsidR="001C2ABF" w:rsidRPr="00725FA5" w:rsidRDefault="001C2ABF" w:rsidP="00A8415A">
            <w:pPr>
              <w:pStyle w:val="Intro"/>
              <w:jc w:val="right"/>
              <w:rPr>
                <w:b w:val="0"/>
                <w:sz w:val="14"/>
                <w:szCs w:val="14"/>
                <w:lang w:val="fr-FR"/>
              </w:rPr>
            </w:pPr>
          </w:p>
        </w:tc>
        <w:tc>
          <w:tcPr>
            <w:tcW w:w="1088" w:type="dxa"/>
            <w:tcBorders>
              <w:bottom w:val="single" w:sz="8" w:space="0" w:color="808080" w:themeColor="background1" w:themeShade="80"/>
            </w:tcBorders>
            <w:shd w:val="clear" w:color="auto" w:fill="auto"/>
            <w:vAlign w:val="center"/>
          </w:tcPr>
          <w:p w:rsidR="001C2ABF" w:rsidRPr="00D74EA3" w:rsidRDefault="001C2ABF" w:rsidP="00A8415A">
            <w:pPr>
              <w:pStyle w:val="Intro"/>
              <w:jc w:val="right"/>
              <w:rPr>
                <w:b w:val="0"/>
                <w:sz w:val="14"/>
                <w:szCs w:val="14"/>
                <w:lang w:val="en-GB"/>
              </w:rPr>
            </w:pPr>
            <w:r w:rsidRPr="00D74EA3">
              <w:rPr>
                <w:b w:val="0"/>
                <w:sz w:val="14"/>
                <w:szCs w:val="14"/>
              </w:rPr>
              <w:t>91%</w:t>
            </w:r>
          </w:p>
        </w:tc>
        <w:tc>
          <w:tcPr>
            <w:tcW w:w="1015" w:type="dxa"/>
            <w:tcBorders>
              <w:bottom w:val="single" w:sz="8" w:space="0" w:color="808080" w:themeColor="background1" w:themeShade="80"/>
            </w:tcBorders>
            <w:shd w:val="clear" w:color="auto" w:fill="D9D9D9" w:themeFill="background1" w:themeFillShade="D9"/>
            <w:vAlign w:val="center"/>
          </w:tcPr>
          <w:p w:rsidR="001C2ABF" w:rsidRPr="00D74EA3" w:rsidRDefault="001C2ABF" w:rsidP="00A8415A">
            <w:pPr>
              <w:pStyle w:val="Intro"/>
              <w:jc w:val="right"/>
              <w:rPr>
                <w:b w:val="0"/>
                <w:sz w:val="14"/>
                <w:szCs w:val="14"/>
                <w:lang w:val="en-GB"/>
              </w:rPr>
            </w:pPr>
            <w:r w:rsidRPr="00D74EA3">
              <w:rPr>
                <w:b w:val="0"/>
                <w:sz w:val="14"/>
                <w:szCs w:val="14"/>
              </w:rPr>
              <w:t>91%</w:t>
            </w:r>
          </w:p>
        </w:tc>
      </w:tr>
      <w:tr w:rsidR="001C2ABF" w:rsidRPr="00D74EA3" w:rsidTr="00A8415A">
        <w:trPr>
          <w:trHeight w:val="227"/>
        </w:trPr>
        <w:tc>
          <w:tcPr>
            <w:tcW w:w="5435" w:type="dxa"/>
            <w:tcBorders>
              <w:top w:val="single" w:sz="8" w:space="0" w:color="808080" w:themeColor="background1" w:themeShade="80"/>
              <w:bottom w:val="single" w:sz="8" w:space="0" w:color="808080" w:themeColor="background1" w:themeShade="80"/>
            </w:tcBorders>
            <w:vAlign w:val="center"/>
          </w:tcPr>
          <w:p w:rsidR="001C2ABF" w:rsidRPr="00D74EA3" w:rsidRDefault="001C2ABF" w:rsidP="00A8415A">
            <w:pPr>
              <w:pStyle w:val="Intro"/>
              <w:jc w:val="left"/>
              <w:rPr>
                <w:b w:val="0"/>
                <w:sz w:val="14"/>
                <w:szCs w:val="14"/>
                <w:lang w:val="en-GB"/>
              </w:rPr>
            </w:pPr>
            <w:proofErr w:type="spellStart"/>
            <w:r w:rsidRPr="00D74EA3">
              <w:rPr>
                <w:b w:val="0"/>
                <w:sz w:val="14"/>
                <w:szCs w:val="14"/>
              </w:rPr>
              <w:t>Solvabilité</w:t>
            </w:r>
            <w:proofErr w:type="spellEnd"/>
          </w:p>
        </w:tc>
        <w:tc>
          <w:tcPr>
            <w:tcW w:w="1667" w:type="dxa"/>
            <w:tcBorders>
              <w:top w:val="single" w:sz="8" w:space="0" w:color="808080" w:themeColor="background1" w:themeShade="80"/>
              <w:bottom w:val="single" w:sz="8" w:space="0" w:color="808080" w:themeColor="background1" w:themeShade="80"/>
            </w:tcBorders>
            <w:vAlign w:val="center"/>
          </w:tcPr>
          <w:p w:rsidR="001C2ABF" w:rsidRPr="00D74EA3" w:rsidRDefault="001C2ABF" w:rsidP="00A8415A">
            <w:pPr>
              <w:pStyle w:val="Intro"/>
              <w:jc w:val="right"/>
              <w:rPr>
                <w:b w:val="0"/>
                <w:sz w:val="14"/>
                <w:szCs w:val="14"/>
                <w:lang w:val="en-GB"/>
              </w:rPr>
            </w:pPr>
          </w:p>
        </w:tc>
        <w:tc>
          <w:tcPr>
            <w:tcW w:w="1035" w:type="dxa"/>
            <w:tcBorders>
              <w:top w:val="single" w:sz="8" w:space="0" w:color="808080" w:themeColor="background1" w:themeShade="80"/>
              <w:bottom w:val="single" w:sz="8" w:space="0" w:color="808080" w:themeColor="background1" w:themeShade="80"/>
            </w:tcBorders>
          </w:tcPr>
          <w:p w:rsidR="001C2ABF" w:rsidRPr="00D74EA3" w:rsidRDefault="001C2ABF" w:rsidP="00A8415A">
            <w:pPr>
              <w:pStyle w:val="Intro"/>
              <w:jc w:val="right"/>
              <w:rPr>
                <w:b w:val="0"/>
                <w:sz w:val="14"/>
                <w:szCs w:val="14"/>
                <w:lang w:val="en-GB"/>
              </w:rPr>
            </w:pPr>
          </w:p>
        </w:tc>
        <w:tc>
          <w:tcPr>
            <w:tcW w:w="1088" w:type="dxa"/>
            <w:tcBorders>
              <w:top w:val="single" w:sz="8" w:space="0" w:color="808080" w:themeColor="background1" w:themeShade="80"/>
              <w:bottom w:val="single" w:sz="8" w:space="0" w:color="808080" w:themeColor="background1" w:themeShade="80"/>
            </w:tcBorders>
            <w:shd w:val="clear" w:color="auto" w:fill="auto"/>
            <w:vAlign w:val="center"/>
          </w:tcPr>
          <w:p w:rsidR="001C2ABF" w:rsidRPr="00D74EA3" w:rsidRDefault="001C2ABF" w:rsidP="00A8415A">
            <w:pPr>
              <w:pStyle w:val="Intro"/>
              <w:jc w:val="right"/>
              <w:rPr>
                <w:b w:val="0"/>
                <w:sz w:val="14"/>
                <w:szCs w:val="14"/>
                <w:lang w:val="en-GB"/>
              </w:rPr>
            </w:pPr>
          </w:p>
        </w:tc>
        <w:tc>
          <w:tcPr>
            <w:tcW w:w="1015" w:type="dxa"/>
            <w:tcBorders>
              <w:top w:val="single" w:sz="8" w:space="0" w:color="808080" w:themeColor="background1" w:themeShade="80"/>
              <w:bottom w:val="single" w:sz="8" w:space="0" w:color="808080" w:themeColor="background1" w:themeShade="80"/>
            </w:tcBorders>
            <w:shd w:val="clear" w:color="auto" w:fill="D9D9D9" w:themeFill="background1" w:themeFillShade="D9"/>
            <w:vAlign w:val="center"/>
          </w:tcPr>
          <w:p w:rsidR="001C2ABF" w:rsidRPr="00D74EA3" w:rsidRDefault="001C2ABF" w:rsidP="00A8415A">
            <w:pPr>
              <w:pStyle w:val="Intro"/>
              <w:rPr>
                <w:b w:val="0"/>
                <w:sz w:val="14"/>
                <w:szCs w:val="14"/>
                <w:highlight w:val="darkGray"/>
                <w:lang w:val="en-GB"/>
              </w:rPr>
            </w:pPr>
          </w:p>
        </w:tc>
      </w:tr>
      <w:tr w:rsidR="001C2ABF" w:rsidRPr="00D74EA3" w:rsidTr="00A8415A">
        <w:trPr>
          <w:trHeight w:val="227"/>
        </w:trPr>
        <w:tc>
          <w:tcPr>
            <w:tcW w:w="5435" w:type="dxa"/>
            <w:tcBorders>
              <w:top w:val="single" w:sz="8" w:space="0" w:color="808080" w:themeColor="background1" w:themeShade="80"/>
            </w:tcBorders>
            <w:vAlign w:val="center"/>
          </w:tcPr>
          <w:p w:rsidR="001C2ABF" w:rsidRPr="00D74EA3" w:rsidRDefault="001C2ABF" w:rsidP="00A8415A">
            <w:pPr>
              <w:pStyle w:val="Intro"/>
              <w:jc w:val="left"/>
              <w:rPr>
                <w:b w:val="0"/>
                <w:sz w:val="14"/>
                <w:szCs w:val="14"/>
                <w:lang w:val="en-GB"/>
              </w:rPr>
            </w:pPr>
            <w:r w:rsidRPr="00725FA5">
              <w:rPr>
                <w:b w:val="0"/>
                <w:sz w:val="14"/>
                <w:szCs w:val="14"/>
                <w:lang w:val="en-US"/>
              </w:rPr>
              <w:t xml:space="preserve">Ratio common equity </w:t>
            </w:r>
            <w:proofErr w:type="spellStart"/>
            <w:r w:rsidRPr="00725FA5">
              <w:rPr>
                <w:b w:val="0"/>
                <w:sz w:val="14"/>
                <w:szCs w:val="14"/>
                <w:lang w:val="en-US"/>
              </w:rPr>
              <w:t>selon</w:t>
            </w:r>
            <w:proofErr w:type="spellEnd"/>
            <w:r w:rsidRPr="00725FA5">
              <w:rPr>
                <w:b w:val="0"/>
                <w:sz w:val="14"/>
                <w:szCs w:val="14"/>
                <w:lang w:val="en-US"/>
              </w:rPr>
              <w:t xml:space="preserve"> </w:t>
            </w:r>
            <w:proofErr w:type="spellStart"/>
            <w:r w:rsidRPr="00725FA5">
              <w:rPr>
                <w:b w:val="0"/>
                <w:sz w:val="14"/>
                <w:szCs w:val="14"/>
                <w:lang w:val="en-US"/>
              </w:rPr>
              <w:t>Bâle</w:t>
            </w:r>
            <w:proofErr w:type="spellEnd"/>
            <w:r w:rsidRPr="00725FA5">
              <w:rPr>
                <w:b w:val="0"/>
                <w:sz w:val="14"/>
                <w:szCs w:val="14"/>
                <w:lang w:val="en-US"/>
              </w:rPr>
              <w:t xml:space="preserve"> III (phased-in)</w:t>
            </w:r>
          </w:p>
        </w:tc>
        <w:tc>
          <w:tcPr>
            <w:tcW w:w="1667" w:type="dxa"/>
            <w:tcBorders>
              <w:top w:val="single" w:sz="8" w:space="0" w:color="808080" w:themeColor="background1" w:themeShade="80"/>
            </w:tcBorders>
            <w:vAlign w:val="center"/>
          </w:tcPr>
          <w:p w:rsidR="001C2ABF" w:rsidRPr="00D74EA3" w:rsidRDefault="001C2ABF" w:rsidP="00A8415A">
            <w:pPr>
              <w:pStyle w:val="Intro"/>
              <w:jc w:val="right"/>
              <w:rPr>
                <w:b w:val="0"/>
                <w:sz w:val="14"/>
                <w:szCs w:val="14"/>
                <w:lang w:val="en-GB"/>
              </w:rPr>
            </w:pPr>
          </w:p>
        </w:tc>
        <w:tc>
          <w:tcPr>
            <w:tcW w:w="1035" w:type="dxa"/>
            <w:tcBorders>
              <w:top w:val="single" w:sz="8" w:space="0" w:color="808080" w:themeColor="background1" w:themeShade="80"/>
            </w:tcBorders>
          </w:tcPr>
          <w:p w:rsidR="001C2ABF" w:rsidRPr="00D74EA3" w:rsidRDefault="001C2ABF" w:rsidP="00A8415A">
            <w:pPr>
              <w:pStyle w:val="Intro"/>
              <w:jc w:val="right"/>
              <w:rPr>
                <w:b w:val="0"/>
                <w:sz w:val="14"/>
                <w:szCs w:val="14"/>
                <w:lang w:val="en-GB"/>
              </w:rPr>
            </w:pPr>
          </w:p>
        </w:tc>
        <w:tc>
          <w:tcPr>
            <w:tcW w:w="1088" w:type="dxa"/>
            <w:tcBorders>
              <w:top w:val="single" w:sz="8" w:space="0" w:color="808080" w:themeColor="background1" w:themeShade="80"/>
            </w:tcBorders>
            <w:shd w:val="clear" w:color="auto" w:fill="auto"/>
            <w:vAlign w:val="center"/>
          </w:tcPr>
          <w:p w:rsidR="001C2ABF" w:rsidRPr="00D74EA3" w:rsidRDefault="001C2ABF" w:rsidP="00A8415A">
            <w:pPr>
              <w:pStyle w:val="Intro"/>
              <w:jc w:val="right"/>
              <w:rPr>
                <w:b w:val="0"/>
                <w:sz w:val="14"/>
                <w:szCs w:val="14"/>
                <w:lang w:val="en-GB"/>
              </w:rPr>
            </w:pPr>
            <w:r w:rsidRPr="00D74EA3">
              <w:rPr>
                <w:b w:val="0"/>
                <w:sz w:val="14"/>
                <w:szCs w:val="14"/>
              </w:rPr>
              <w:t>15.2%</w:t>
            </w:r>
          </w:p>
        </w:tc>
        <w:tc>
          <w:tcPr>
            <w:tcW w:w="1015" w:type="dxa"/>
            <w:tcBorders>
              <w:top w:val="single" w:sz="8" w:space="0" w:color="808080" w:themeColor="background1" w:themeShade="80"/>
            </w:tcBorders>
            <w:shd w:val="clear" w:color="auto" w:fill="D9D9D9" w:themeFill="background1" w:themeFillShade="D9"/>
            <w:vAlign w:val="center"/>
          </w:tcPr>
          <w:p w:rsidR="001C2ABF" w:rsidRPr="00D74EA3" w:rsidRDefault="001C2ABF" w:rsidP="00A8415A">
            <w:pPr>
              <w:pStyle w:val="Intro"/>
              <w:jc w:val="right"/>
              <w:rPr>
                <w:b w:val="0"/>
                <w:sz w:val="14"/>
                <w:szCs w:val="14"/>
                <w:lang w:val="en-GB"/>
              </w:rPr>
            </w:pPr>
            <w:r w:rsidRPr="00D74EA3">
              <w:rPr>
                <w:b w:val="0"/>
                <w:sz w:val="14"/>
                <w:szCs w:val="14"/>
              </w:rPr>
              <w:t>14.6%</w:t>
            </w:r>
          </w:p>
        </w:tc>
      </w:tr>
      <w:tr w:rsidR="001C2ABF" w:rsidRPr="00D74EA3" w:rsidTr="00A8415A">
        <w:trPr>
          <w:trHeight w:val="227"/>
        </w:trPr>
        <w:tc>
          <w:tcPr>
            <w:tcW w:w="5435" w:type="dxa"/>
            <w:vAlign w:val="center"/>
          </w:tcPr>
          <w:p w:rsidR="001C2ABF" w:rsidRPr="00725FA5" w:rsidRDefault="001C2ABF" w:rsidP="00A8415A">
            <w:pPr>
              <w:pStyle w:val="Intro"/>
              <w:jc w:val="left"/>
              <w:rPr>
                <w:b w:val="0"/>
                <w:sz w:val="14"/>
                <w:szCs w:val="14"/>
                <w:lang w:val="fr-FR"/>
              </w:rPr>
            </w:pPr>
            <w:r w:rsidRPr="00725FA5">
              <w:rPr>
                <w:b w:val="0"/>
                <w:sz w:val="14"/>
                <w:szCs w:val="14"/>
                <w:lang w:val="fr-FR"/>
              </w:rPr>
              <w:t xml:space="preserve">Ratio </w:t>
            </w:r>
            <w:proofErr w:type="spellStart"/>
            <w:r w:rsidRPr="00725FA5">
              <w:rPr>
                <w:b w:val="0"/>
                <w:sz w:val="14"/>
                <w:szCs w:val="14"/>
                <w:lang w:val="fr-FR"/>
              </w:rPr>
              <w:t>common</w:t>
            </w:r>
            <w:proofErr w:type="spellEnd"/>
            <w:r w:rsidRPr="00725FA5">
              <w:rPr>
                <w:b w:val="0"/>
                <w:sz w:val="14"/>
                <w:szCs w:val="14"/>
                <w:lang w:val="fr-FR"/>
              </w:rPr>
              <w:t xml:space="preserve"> </w:t>
            </w:r>
            <w:proofErr w:type="spellStart"/>
            <w:r w:rsidRPr="00725FA5">
              <w:rPr>
                <w:b w:val="0"/>
                <w:sz w:val="14"/>
                <w:szCs w:val="14"/>
                <w:lang w:val="fr-FR"/>
              </w:rPr>
              <w:t>equity</w:t>
            </w:r>
            <w:proofErr w:type="spellEnd"/>
            <w:r w:rsidRPr="00725FA5">
              <w:rPr>
                <w:b w:val="0"/>
                <w:sz w:val="14"/>
                <w:szCs w:val="14"/>
                <w:lang w:val="fr-FR"/>
              </w:rPr>
              <w:t xml:space="preserve"> selon Bâle III (à pleine charge)</w:t>
            </w:r>
          </w:p>
        </w:tc>
        <w:tc>
          <w:tcPr>
            <w:tcW w:w="1667" w:type="dxa"/>
            <w:vAlign w:val="center"/>
          </w:tcPr>
          <w:p w:rsidR="001C2ABF" w:rsidRPr="00725FA5" w:rsidRDefault="001C2ABF" w:rsidP="00A8415A">
            <w:pPr>
              <w:pStyle w:val="Intro"/>
              <w:jc w:val="right"/>
              <w:rPr>
                <w:b w:val="0"/>
                <w:sz w:val="14"/>
                <w:szCs w:val="14"/>
                <w:lang w:val="fr-FR"/>
              </w:rPr>
            </w:pPr>
          </w:p>
        </w:tc>
        <w:tc>
          <w:tcPr>
            <w:tcW w:w="1035" w:type="dxa"/>
          </w:tcPr>
          <w:p w:rsidR="001C2ABF" w:rsidRPr="00725FA5" w:rsidRDefault="001C2ABF" w:rsidP="00A8415A">
            <w:pPr>
              <w:pStyle w:val="Intro"/>
              <w:jc w:val="right"/>
              <w:rPr>
                <w:b w:val="0"/>
                <w:sz w:val="14"/>
                <w:szCs w:val="14"/>
                <w:lang w:val="fr-FR"/>
              </w:rPr>
            </w:pPr>
          </w:p>
        </w:tc>
        <w:tc>
          <w:tcPr>
            <w:tcW w:w="1088" w:type="dxa"/>
            <w:shd w:val="clear" w:color="auto" w:fill="auto"/>
            <w:vAlign w:val="center"/>
          </w:tcPr>
          <w:p w:rsidR="001C2ABF" w:rsidRPr="00D74EA3" w:rsidRDefault="001C2ABF" w:rsidP="00A8415A">
            <w:pPr>
              <w:pStyle w:val="Intro"/>
              <w:jc w:val="right"/>
              <w:rPr>
                <w:b w:val="0"/>
                <w:sz w:val="14"/>
                <w:szCs w:val="14"/>
                <w:lang w:val="en-GB"/>
              </w:rPr>
            </w:pPr>
            <w:r w:rsidRPr="00D74EA3">
              <w:rPr>
                <w:b w:val="0"/>
                <w:sz w:val="14"/>
                <w:szCs w:val="14"/>
              </w:rPr>
              <w:t>14.9%</w:t>
            </w:r>
          </w:p>
        </w:tc>
        <w:tc>
          <w:tcPr>
            <w:tcW w:w="1015" w:type="dxa"/>
            <w:shd w:val="clear" w:color="auto" w:fill="D9D9D9" w:themeFill="background1" w:themeFillShade="D9"/>
            <w:vAlign w:val="center"/>
          </w:tcPr>
          <w:p w:rsidR="001C2ABF" w:rsidRPr="00D74EA3" w:rsidRDefault="001C2ABF" w:rsidP="00A8415A">
            <w:pPr>
              <w:pStyle w:val="Intro"/>
              <w:jc w:val="right"/>
              <w:rPr>
                <w:b w:val="0"/>
                <w:sz w:val="14"/>
                <w:szCs w:val="14"/>
                <w:lang w:val="en-GB"/>
              </w:rPr>
            </w:pPr>
            <w:r w:rsidRPr="00D74EA3">
              <w:rPr>
                <w:b w:val="0"/>
                <w:sz w:val="14"/>
                <w:szCs w:val="14"/>
              </w:rPr>
              <w:t>14.6%</w:t>
            </w:r>
          </w:p>
        </w:tc>
      </w:tr>
      <w:tr w:rsidR="001C2ABF" w:rsidRPr="00D74EA3" w:rsidTr="00A8415A">
        <w:trPr>
          <w:trHeight w:val="227"/>
        </w:trPr>
        <w:tc>
          <w:tcPr>
            <w:tcW w:w="5435" w:type="dxa"/>
            <w:vAlign w:val="center"/>
          </w:tcPr>
          <w:p w:rsidR="001C2ABF" w:rsidRPr="00725FA5" w:rsidRDefault="001C2ABF" w:rsidP="00A8415A">
            <w:pPr>
              <w:pStyle w:val="Intro"/>
              <w:jc w:val="left"/>
              <w:rPr>
                <w:b w:val="0"/>
                <w:sz w:val="14"/>
                <w:szCs w:val="14"/>
                <w:lang w:val="fr-FR"/>
              </w:rPr>
            </w:pPr>
            <w:r w:rsidRPr="00725FA5">
              <w:rPr>
                <w:b w:val="0"/>
                <w:sz w:val="14"/>
                <w:szCs w:val="14"/>
                <w:lang w:val="fr-FR"/>
              </w:rPr>
              <w:t xml:space="preserve">Ratio </w:t>
            </w:r>
            <w:proofErr w:type="spellStart"/>
            <w:r w:rsidRPr="00725FA5">
              <w:rPr>
                <w:b w:val="0"/>
                <w:sz w:val="14"/>
                <w:szCs w:val="14"/>
                <w:lang w:val="fr-FR"/>
              </w:rPr>
              <w:t>common</w:t>
            </w:r>
            <w:proofErr w:type="spellEnd"/>
            <w:r w:rsidRPr="00725FA5">
              <w:rPr>
                <w:b w:val="0"/>
                <w:sz w:val="14"/>
                <w:szCs w:val="14"/>
                <w:lang w:val="fr-FR"/>
              </w:rPr>
              <w:t xml:space="preserve"> </w:t>
            </w:r>
            <w:proofErr w:type="spellStart"/>
            <w:r w:rsidRPr="00725FA5">
              <w:rPr>
                <w:b w:val="0"/>
                <w:sz w:val="14"/>
                <w:szCs w:val="14"/>
                <w:lang w:val="fr-FR"/>
              </w:rPr>
              <w:t>equity</w:t>
            </w:r>
            <w:proofErr w:type="spellEnd"/>
            <w:r w:rsidRPr="00725FA5">
              <w:rPr>
                <w:b w:val="0"/>
                <w:sz w:val="14"/>
                <w:szCs w:val="14"/>
                <w:lang w:val="fr-FR"/>
              </w:rPr>
              <w:t xml:space="preserve"> selon la méthode FICOD (à pleine charge)</w:t>
            </w:r>
          </w:p>
        </w:tc>
        <w:tc>
          <w:tcPr>
            <w:tcW w:w="1667" w:type="dxa"/>
            <w:vAlign w:val="center"/>
          </w:tcPr>
          <w:p w:rsidR="001C2ABF" w:rsidRPr="00725FA5" w:rsidRDefault="001C2ABF" w:rsidP="00A8415A">
            <w:pPr>
              <w:pStyle w:val="Intro"/>
              <w:jc w:val="right"/>
              <w:rPr>
                <w:b w:val="0"/>
                <w:sz w:val="14"/>
                <w:szCs w:val="14"/>
                <w:lang w:val="fr-FR"/>
              </w:rPr>
            </w:pPr>
          </w:p>
        </w:tc>
        <w:tc>
          <w:tcPr>
            <w:tcW w:w="1035" w:type="dxa"/>
          </w:tcPr>
          <w:p w:rsidR="001C2ABF" w:rsidRPr="00725FA5" w:rsidRDefault="001C2ABF" w:rsidP="00A8415A">
            <w:pPr>
              <w:pStyle w:val="Intro"/>
              <w:jc w:val="right"/>
              <w:rPr>
                <w:b w:val="0"/>
                <w:sz w:val="14"/>
                <w:szCs w:val="14"/>
                <w:lang w:val="fr-FR"/>
              </w:rPr>
            </w:pPr>
          </w:p>
        </w:tc>
        <w:tc>
          <w:tcPr>
            <w:tcW w:w="1088" w:type="dxa"/>
            <w:shd w:val="clear" w:color="auto" w:fill="auto"/>
            <w:vAlign w:val="center"/>
          </w:tcPr>
          <w:p w:rsidR="001C2ABF" w:rsidRPr="00D74EA3" w:rsidRDefault="001C2ABF" w:rsidP="00A8415A">
            <w:pPr>
              <w:pStyle w:val="Intro"/>
              <w:jc w:val="right"/>
              <w:rPr>
                <w:b w:val="0"/>
                <w:sz w:val="14"/>
                <w:szCs w:val="14"/>
                <w:lang w:val="en-GB"/>
              </w:rPr>
            </w:pPr>
            <w:r w:rsidRPr="00D74EA3">
              <w:rPr>
                <w:b w:val="0"/>
                <w:sz w:val="14"/>
                <w:szCs w:val="14"/>
              </w:rPr>
              <w:t>14.6%</w:t>
            </w:r>
          </w:p>
        </w:tc>
        <w:tc>
          <w:tcPr>
            <w:tcW w:w="1015" w:type="dxa"/>
            <w:shd w:val="clear" w:color="auto" w:fill="D9D9D9" w:themeFill="background1" w:themeFillShade="D9"/>
            <w:vAlign w:val="center"/>
          </w:tcPr>
          <w:p w:rsidR="001C2ABF" w:rsidRPr="00D74EA3" w:rsidRDefault="001C2ABF" w:rsidP="00A8415A">
            <w:pPr>
              <w:pStyle w:val="Intro"/>
              <w:jc w:val="right"/>
              <w:rPr>
                <w:b w:val="0"/>
                <w:sz w:val="14"/>
                <w:szCs w:val="14"/>
                <w:lang w:val="en-GB"/>
              </w:rPr>
            </w:pPr>
            <w:r w:rsidRPr="00D74EA3">
              <w:rPr>
                <w:b w:val="0"/>
                <w:sz w:val="14"/>
                <w:szCs w:val="14"/>
              </w:rPr>
              <w:t>13.5%</w:t>
            </w:r>
          </w:p>
        </w:tc>
      </w:tr>
      <w:tr w:rsidR="001C2ABF" w:rsidRPr="00D74EA3" w:rsidTr="00A8415A">
        <w:trPr>
          <w:trHeight w:val="227"/>
        </w:trPr>
        <w:tc>
          <w:tcPr>
            <w:tcW w:w="5435" w:type="dxa"/>
            <w:tcBorders>
              <w:bottom w:val="single" w:sz="8" w:space="0" w:color="808080" w:themeColor="background1" w:themeShade="80"/>
            </w:tcBorders>
            <w:vAlign w:val="center"/>
          </w:tcPr>
          <w:p w:rsidR="001C2ABF" w:rsidRPr="00725FA5" w:rsidRDefault="001C2ABF" w:rsidP="00A8415A">
            <w:pPr>
              <w:pStyle w:val="Intro"/>
              <w:jc w:val="left"/>
              <w:rPr>
                <w:b w:val="0"/>
                <w:sz w:val="14"/>
                <w:szCs w:val="14"/>
                <w:lang w:val="fr-FR"/>
              </w:rPr>
            </w:pPr>
            <w:r w:rsidRPr="00725FA5">
              <w:rPr>
                <w:b w:val="0"/>
                <w:sz w:val="14"/>
                <w:szCs w:val="14"/>
                <w:lang w:val="fr-FR"/>
              </w:rPr>
              <w:t>Ratio de levier financier selon Bâle III (à pleine charge)</w:t>
            </w:r>
          </w:p>
        </w:tc>
        <w:tc>
          <w:tcPr>
            <w:tcW w:w="1667" w:type="dxa"/>
            <w:tcBorders>
              <w:bottom w:val="single" w:sz="8" w:space="0" w:color="808080" w:themeColor="background1" w:themeShade="80"/>
            </w:tcBorders>
            <w:vAlign w:val="center"/>
          </w:tcPr>
          <w:p w:rsidR="001C2ABF" w:rsidRPr="00725FA5" w:rsidRDefault="001C2ABF" w:rsidP="00A8415A">
            <w:pPr>
              <w:pStyle w:val="Intro"/>
              <w:jc w:val="right"/>
              <w:rPr>
                <w:b w:val="0"/>
                <w:sz w:val="14"/>
                <w:szCs w:val="14"/>
                <w:lang w:val="fr-FR"/>
              </w:rPr>
            </w:pPr>
          </w:p>
        </w:tc>
        <w:tc>
          <w:tcPr>
            <w:tcW w:w="1035" w:type="dxa"/>
            <w:tcBorders>
              <w:bottom w:val="single" w:sz="8" w:space="0" w:color="808080" w:themeColor="background1" w:themeShade="80"/>
            </w:tcBorders>
          </w:tcPr>
          <w:p w:rsidR="001C2ABF" w:rsidRPr="00725FA5" w:rsidRDefault="001C2ABF" w:rsidP="00A8415A">
            <w:pPr>
              <w:pStyle w:val="Intro"/>
              <w:jc w:val="right"/>
              <w:rPr>
                <w:b w:val="0"/>
                <w:sz w:val="14"/>
                <w:szCs w:val="14"/>
                <w:lang w:val="fr-FR"/>
              </w:rPr>
            </w:pPr>
          </w:p>
        </w:tc>
        <w:tc>
          <w:tcPr>
            <w:tcW w:w="1088" w:type="dxa"/>
            <w:tcBorders>
              <w:bottom w:val="single" w:sz="8" w:space="0" w:color="808080" w:themeColor="background1" w:themeShade="80"/>
            </w:tcBorders>
            <w:shd w:val="clear" w:color="auto" w:fill="auto"/>
            <w:vAlign w:val="center"/>
          </w:tcPr>
          <w:p w:rsidR="001C2ABF" w:rsidRPr="00D74EA3" w:rsidRDefault="001C2ABF" w:rsidP="00A8415A">
            <w:pPr>
              <w:pStyle w:val="Intro"/>
              <w:jc w:val="right"/>
              <w:rPr>
                <w:b w:val="0"/>
                <w:sz w:val="14"/>
                <w:szCs w:val="14"/>
                <w:lang w:val="en-GB"/>
              </w:rPr>
            </w:pPr>
            <w:r w:rsidRPr="00D74EA3">
              <w:rPr>
                <w:b w:val="0"/>
                <w:sz w:val="14"/>
                <w:szCs w:val="14"/>
              </w:rPr>
              <w:t xml:space="preserve">6.3% </w:t>
            </w:r>
          </w:p>
        </w:tc>
        <w:tc>
          <w:tcPr>
            <w:tcW w:w="1015" w:type="dxa"/>
            <w:tcBorders>
              <w:bottom w:val="single" w:sz="8" w:space="0" w:color="808080" w:themeColor="background1" w:themeShade="80"/>
            </w:tcBorders>
            <w:shd w:val="clear" w:color="auto" w:fill="D9D9D9" w:themeFill="background1" w:themeFillShade="D9"/>
            <w:vAlign w:val="center"/>
          </w:tcPr>
          <w:p w:rsidR="001C2ABF" w:rsidRPr="00D74EA3" w:rsidRDefault="001C2ABF" w:rsidP="00A8415A">
            <w:pPr>
              <w:pStyle w:val="Intro"/>
              <w:jc w:val="right"/>
              <w:rPr>
                <w:b w:val="0"/>
                <w:sz w:val="14"/>
                <w:szCs w:val="14"/>
                <w:lang w:val="en-GB"/>
              </w:rPr>
            </w:pPr>
            <w:r w:rsidRPr="00D74EA3">
              <w:rPr>
                <w:b w:val="0"/>
                <w:sz w:val="14"/>
                <w:szCs w:val="14"/>
              </w:rPr>
              <w:t>5.9%</w:t>
            </w:r>
          </w:p>
        </w:tc>
      </w:tr>
      <w:tr w:rsidR="001C2ABF" w:rsidRPr="00D74EA3" w:rsidTr="00A8415A">
        <w:trPr>
          <w:trHeight w:val="227"/>
        </w:trPr>
        <w:tc>
          <w:tcPr>
            <w:tcW w:w="5435" w:type="dxa"/>
            <w:tcBorders>
              <w:top w:val="single" w:sz="8" w:space="0" w:color="808080" w:themeColor="background1" w:themeShade="80"/>
              <w:bottom w:val="single" w:sz="8" w:space="0" w:color="808080" w:themeColor="background1" w:themeShade="80"/>
            </w:tcBorders>
            <w:vAlign w:val="center"/>
          </w:tcPr>
          <w:p w:rsidR="001C2ABF" w:rsidRPr="00D74EA3" w:rsidRDefault="001C2ABF" w:rsidP="00A8415A">
            <w:pPr>
              <w:pStyle w:val="Intro"/>
              <w:jc w:val="left"/>
              <w:rPr>
                <w:b w:val="0"/>
                <w:sz w:val="14"/>
                <w:szCs w:val="14"/>
                <w:lang w:val="en-GB"/>
              </w:rPr>
            </w:pPr>
            <w:proofErr w:type="spellStart"/>
            <w:r w:rsidRPr="00D74EA3">
              <w:rPr>
                <w:b w:val="0"/>
                <w:sz w:val="14"/>
                <w:szCs w:val="14"/>
              </w:rPr>
              <w:t>Risque</w:t>
            </w:r>
            <w:proofErr w:type="spellEnd"/>
            <w:r w:rsidRPr="00D74EA3">
              <w:rPr>
                <w:b w:val="0"/>
                <w:sz w:val="14"/>
                <w:szCs w:val="14"/>
              </w:rPr>
              <w:t xml:space="preserve"> de </w:t>
            </w:r>
            <w:proofErr w:type="spellStart"/>
            <w:r w:rsidRPr="00D74EA3">
              <w:rPr>
                <w:b w:val="0"/>
                <w:sz w:val="14"/>
                <w:szCs w:val="14"/>
              </w:rPr>
              <w:t>crédit</w:t>
            </w:r>
            <w:proofErr w:type="spellEnd"/>
          </w:p>
        </w:tc>
        <w:tc>
          <w:tcPr>
            <w:tcW w:w="1667" w:type="dxa"/>
            <w:tcBorders>
              <w:top w:val="single" w:sz="8" w:space="0" w:color="808080" w:themeColor="background1" w:themeShade="80"/>
              <w:bottom w:val="single" w:sz="8" w:space="0" w:color="808080" w:themeColor="background1" w:themeShade="80"/>
            </w:tcBorders>
            <w:vAlign w:val="center"/>
          </w:tcPr>
          <w:p w:rsidR="001C2ABF" w:rsidRPr="00D74EA3" w:rsidRDefault="001C2ABF" w:rsidP="00A8415A">
            <w:pPr>
              <w:pStyle w:val="Intro"/>
              <w:jc w:val="right"/>
              <w:rPr>
                <w:b w:val="0"/>
                <w:sz w:val="14"/>
                <w:szCs w:val="14"/>
                <w:lang w:val="en-GB"/>
              </w:rPr>
            </w:pPr>
          </w:p>
        </w:tc>
        <w:tc>
          <w:tcPr>
            <w:tcW w:w="1035" w:type="dxa"/>
            <w:tcBorders>
              <w:top w:val="single" w:sz="8" w:space="0" w:color="808080" w:themeColor="background1" w:themeShade="80"/>
              <w:bottom w:val="single" w:sz="8" w:space="0" w:color="808080" w:themeColor="background1" w:themeShade="80"/>
            </w:tcBorders>
          </w:tcPr>
          <w:p w:rsidR="001C2ABF" w:rsidRPr="00D74EA3" w:rsidRDefault="001C2ABF" w:rsidP="00A8415A">
            <w:pPr>
              <w:pStyle w:val="Intro"/>
              <w:jc w:val="right"/>
              <w:rPr>
                <w:b w:val="0"/>
                <w:sz w:val="14"/>
                <w:szCs w:val="14"/>
                <w:lang w:val="en-GB"/>
              </w:rPr>
            </w:pPr>
          </w:p>
        </w:tc>
        <w:tc>
          <w:tcPr>
            <w:tcW w:w="1088" w:type="dxa"/>
            <w:tcBorders>
              <w:top w:val="single" w:sz="8" w:space="0" w:color="808080" w:themeColor="background1" w:themeShade="80"/>
              <w:bottom w:val="single" w:sz="8" w:space="0" w:color="808080" w:themeColor="background1" w:themeShade="80"/>
            </w:tcBorders>
            <w:shd w:val="clear" w:color="auto" w:fill="auto"/>
            <w:vAlign w:val="center"/>
          </w:tcPr>
          <w:p w:rsidR="001C2ABF" w:rsidRPr="00D74EA3" w:rsidRDefault="001C2ABF" w:rsidP="00A8415A">
            <w:pPr>
              <w:pStyle w:val="Intro"/>
              <w:jc w:val="right"/>
              <w:rPr>
                <w:b w:val="0"/>
                <w:sz w:val="14"/>
                <w:szCs w:val="14"/>
                <w:lang w:val="en-GB"/>
              </w:rPr>
            </w:pPr>
          </w:p>
        </w:tc>
        <w:tc>
          <w:tcPr>
            <w:tcW w:w="1015" w:type="dxa"/>
            <w:tcBorders>
              <w:top w:val="single" w:sz="8" w:space="0" w:color="808080" w:themeColor="background1" w:themeShade="80"/>
              <w:bottom w:val="single" w:sz="8" w:space="0" w:color="808080" w:themeColor="background1" w:themeShade="80"/>
            </w:tcBorders>
            <w:shd w:val="clear" w:color="auto" w:fill="D9D9D9" w:themeFill="background1" w:themeFillShade="D9"/>
            <w:vAlign w:val="center"/>
          </w:tcPr>
          <w:p w:rsidR="001C2ABF" w:rsidRPr="00D74EA3" w:rsidRDefault="001C2ABF" w:rsidP="00A8415A">
            <w:pPr>
              <w:pStyle w:val="Intro"/>
              <w:jc w:val="right"/>
              <w:rPr>
                <w:b w:val="0"/>
                <w:sz w:val="14"/>
                <w:szCs w:val="14"/>
                <w:lang w:val="en-GB"/>
              </w:rPr>
            </w:pPr>
          </w:p>
        </w:tc>
      </w:tr>
      <w:tr w:rsidR="001C2ABF" w:rsidRPr="00D74EA3" w:rsidTr="00A8415A">
        <w:trPr>
          <w:trHeight w:val="227"/>
        </w:trPr>
        <w:tc>
          <w:tcPr>
            <w:tcW w:w="5435" w:type="dxa"/>
            <w:tcBorders>
              <w:top w:val="single" w:sz="8" w:space="0" w:color="808080" w:themeColor="background1" w:themeShade="80"/>
            </w:tcBorders>
            <w:vAlign w:val="center"/>
          </w:tcPr>
          <w:p w:rsidR="001C2ABF" w:rsidRPr="00725FA5" w:rsidRDefault="001C2ABF" w:rsidP="00A8415A">
            <w:pPr>
              <w:pStyle w:val="Intro"/>
              <w:jc w:val="left"/>
              <w:rPr>
                <w:b w:val="0"/>
                <w:sz w:val="14"/>
                <w:szCs w:val="14"/>
                <w:lang w:val="fr-FR"/>
              </w:rPr>
            </w:pPr>
            <w:r w:rsidRPr="00725FA5">
              <w:rPr>
                <w:b w:val="0"/>
                <w:sz w:val="14"/>
                <w:szCs w:val="14"/>
                <w:lang w:val="fr-FR"/>
              </w:rPr>
              <w:t>Ratio de coût du crédit</w:t>
            </w:r>
          </w:p>
        </w:tc>
        <w:tc>
          <w:tcPr>
            <w:tcW w:w="1667" w:type="dxa"/>
            <w:tcBorders>
              <w:top w:val="single" w:sz="8" w:space="0" w:color="808080" w:themeColor="background1" w:themeShade="80"/>
            </w:tcBorders>
            <w:vAlign w:val="center"/>
          </w:tcPr>
          <w:p w:rsidR="001C2ABF" w:rsidRPr="00725FA5" w:rsidRDefault="001C2ABF" w:rsidP="00A8415A">
            <w:pPr>
              <w:pStyle w:val="Intro"/>
              <w:jc w:val="right"/>
              <w:rPr>
                <w:b w:val="0"/>
                <w:sz w:val="14"/>
                <w:szCs w:val="14"/>
                <w:lang w:val="fr-FR"/>
              </w:rPr>
            </w:pPr>
          </w:p>
        </w:tc>
        <w:tc>
          <w:tcPr>
            <w:tcW w:w="1035" w:type="dxa"/>
            <w:tcBorders>
              <w:top w:val="single" w:sz="8" w:space="0" w:color="808080" w:themeColor="background1" w:themeShade="80"/>
            </w:tcBorders>
          </w:tcPr>
          <w:p w:rsidR="001C2ABF" w:rsidRPr="00725FA5" w:rsidRDefault="001C2ABF" w:rsidP="00A8415A">
            <w:pPr>
              <w:pStyle w:val="Intro"/>
              <w:jc w:val="right"/>
              <w:rPr>
                <w:b w:val="0"/>
                <w:sz w:val="14"/>
                <w:szCs w:val="14"/>
                <w:lang w:val="fr-FR"/>
              </w:rPr>
            </w:pPr>
          </w:p>
        </w:tc>
        <w:tc>
          <w:tcPr>
            <w:tcW w:w="1088" w:type="dxa"/>
            <w:tcBorders>
              <w:top w:val="single" w:sz="8" w:space="0" w:color="808080" w:themeColor="background1" w:themeShade="80"/>
            </w:tcBorders>
            <w:shd w:val="clear" w:color="auto" w:fill="auto"/>
            <w:vAlign w:val="center"/>
          </w:tcPr>
          <w:p w:rsidR="001C2ABF" w:rsidRPr="00D74EA3" w:rsidRDefault="001C2ABF" w:rsidP="00A8415A">
            <w:pPr>
              <w:pStyle w:val="Intro"/>
              <w:jc w:val="right"/>
              <w:rPr>
                <w:b w:val="0"/>
                <w:sz w:val="14"/>
                <w:szCs w:val="14"/>
                <w:lang w:val="en-GB"/>
              </w:rPr>
            </w:pPr>
            <w:r w:rsidRPr="00D74EA3">
              <w:rPr>
                <w:b w:val="0"/>
                <w:sz w:val="14"/>
                <w:szCs w:val="14"/>
              </w:rPr>
              <w:t>0.23%</w:t>
            </w:r>
          </w:p>
        </w:tc>
        <w:tc>
          <w:tcPr>
            <w:tcW w:w="1015" w:type="dxa"/>
            <w:tcBorders>
              <w:top w:val="single" w:sz="8" w:space="0" w:color="808080" w:themeColor="background1" w:themeShade="80"/>
            </w:tcBorders>
            <w:shd w:val="clear" w:color="auto" w:fill="D9D9D9" w:themeFill="background1" w:themeFillShade="D9"/>
            <w:vAlign w:val="center"/>
          </w:tcPr>
          <w:p w:rsidR="001C2ABF" w:rsidRPr="00D74EA3" w:rsidRDefault="001C2ABF" w:rsidP="00A8415A">
            <w:pPr>
              <w:pStyle w:val="Intro"/>
              <w:jc w:val="right"/>
              <w:rPr>
                <w:b w:val="0"/>
                <w:sz w:val="14"/>
                <w:szCs w:val="14"/>
                <w:lang w:val="en-GB"/>
              </w:rPr>
            </w:pPr>
            <w:r w:rsidRPr="00D74EA3">
              <w:rPr>
                <w:b w:val="0"/>
                <w:sz w:val="14"/>
                <w:szCs w:val="14"/>
              </w:rPr>
              <w:t>0.01%</w:t>
            </w:r>
          </w:p>
        </w:tc>
      </w:tr>
      <w:tr w:rsidR="001C2ABF" w:rsidRPr="00D74EA3" w:rsidTr="00A8415A">
        <w:trPr>
          <w:trHeight w:val="227"/>
        </w:trPr>
        <w:tc>
          <w:tcPr>
            <w:tcW w:w="5435" w:type="dxa"/>
            <w:vAlign w:val="center"/>
          </w:tcPr>
          <w:p w:rsidR="001C2ABF" w:rsidRPr="00D74EA3" w:rsidRDefault="001C2ABF" w:rsidP="00A8415A">
            <w:pPr>
              <w:pStyle w:val="Intro"/>
              <w:jc w:val="left"/>
              <w:rPr>
                <w:b w:val="0"/>
                <w:sz w:val="14"/>
                <w:szCs w:val="14"/>
                <w:lang w:val="en-GB"/>
              </w:rPr>
            </w:pPr>
            <w:r w:rsidRPr="00D74EA3">
              <w:rPr>
                <w:b w:val="0"/>
                <w:sz w:val="14"/>
                <w:szCs w:val="14"/>
              </w:rPr>
              <w:t xml:space="preserve">Ratio de </w:t>
            </w:r>
            <w:proofErr w:type="spellStart"/>
            <w:r w:rsidRPr="00D74EA3">
              <w:rPr>
                <w:b w:val="0"/>
                <w:sz w:val="14"/>
                <w:szCs w:val="14"/>
              </w:rPr>
              <w:t>crédits</w:t>
            </w:r>
            <w:proofErr w:type="spellEnd"/>
            <w:r w:rsidRPr="00D74EA3">
              <w:rPr>
                <w:b w:val="0"/>
                <w:sz w:val="14"/>
                <w:szCs w:val="14"/>
              </w:rPr>
              <w:t xml:space="preserve"> </w:t>
            </w:r>
            <w:proofErr w:type="spellStart"/>
            <w:r w:rsidRPr="00D74EA3">
              <w:rPr>
                <w:b w:val="0"/>
                <w:sz w:val="14"/>
                <w:szCs w:val="14"/>
              </w:rPr>
              <w:t>impaired</w:t>
            </w:r>
            <w:proofErr w:type="spellEnd"/>
            <w:r w:rsidRPr="00D74EA3">
              <w:rPr>
                <w:b w:val="0"/>
                <w:sz w:val="14"/>
                <w:szCs w:val="14"/>
              </w:rPr>
              <w:t xml:space="preserve">     </w:t>
            </w:r>
          </w:p>
        </w:tc>
        <w:tc>
          <w:tcPr>
            <w:tcW w:w="1667" w:type="dxa"/>
            <w:vAlign w:val="center"/>
          </w:tcPr>
          <w:p w:rsidR="001C2ABF" w:rsidRPr="00D74EA3" w:rsidRDefault="001C2ABF" w:rsidP="00A8415A">
            <w:pPr>
              <w:pStyle w:val="Intro"/>
              <w:jc w:val="right"/>
              <w:rPr>
                <w:b w:val="0"/>
                <w:sz w:val="14"/>
                <w:szCs w:val="14"/>
                <w:lang w:val="en-GB"/>
              </w:rPr>
            </w:pPr>
          </w:p>
        </w:tc>
        <w:tc>
          <w:tcPr>
            <w:tcW w:w="1035" w:type="dxa"/>
          </w:tcPr>
          <w:p w:rsidR="001C2ABF" w:rsidRPr="00D74EA3" w:rsidRDefault="001C2ABF" w:rsidP="00A8415A">
            <w:pPr>
              <w:pStyle w:val="Intro"/>
              <w:jc w:val="right"/>
              <w:rPr>
                <w:b w:val="0"/>
                <w:sz w:val="14"/>
                <w:szCs w:val="14"/>
                <w:lang w:val="en-GB"/>
              </w:rPr>
            </w:pPr>
          </w:p>
        </w:tc>
        <w:tc>
          <w:tcPr>
            <w:tcW w:w="1088" w:type="dxa"/>
            <w:shd w:val="clear" w:color="auto" w:fill="auto"/>
            <w:vAlign w:val="center"/>
          </w:tcPr>
          <w:p w:rsidR="001C2ABF" w:rsidRPr="00D74EA3" w:rsidRDefault="001C2ABF" w:rsidP="00A8415A">
            <w:pPr>
              <w:pStyle w:val="Intro"/>
              <w:jc w:val="right"/>
              <w:rPr>
                <w:b w:val="0"/>
                <w:sz w:val="14"/>
                <w:szCs w:val="14"/>
                <w:lang w:val="en-GB"/>
              </w:rPr>
            </w:pPr>
            <w:r w:rsidRPr="00D74EA3">
              <w:rPr>
                <w:b w:val="0"/>
                <w:sz w:val="14"/>
                <w:szCs w:val="14"/>
              </w:rPr>
              <w:t>8.6%</w:t>
            </w:r>
          </w:p>
        </w:tc>
        <w:tc>
          <w:tcPr>
            <w:tcW w:w="1015" w:type="dxa"/>
            <w:shd w:val="clear" w:color="auto" w:fill="D9D9D9" w:themeFill="background1" w:themeFillShade="D9"/>
            <w:vAlign w:val="center"/>
          </w:tcPr>
          <w:p w:rsidR="001C2ABF" w:rsidRPr="00D74EA3" w:rsidRDefault="001C2ABF" w:rsidP="00A8415A">
            <w:pPr>
              <w:pStyle w:val="Intro"/>
              <w:jc w:val="right"/>
              <w:rPr>
                <w:b w:val="0"/>
                <w:sz w:val="14"/>
                <w:szCs w:val="14"/>
                <w:lang w:val="en-GB"/>
              </w:rPr>
            </w:pPr>
            <w:r w:rsidRPr="00D74EA3">
              <w:rPr>
                <w:b w:val="0"/>
                <w:sz w:val="14"/>
                <w:szCs w:val="14"/>
              </w:rPr>
              <w:t>8.2%</w:t>
            </w:r>
          </w:p>
        </w:tc>
      </w:tr>
      <w:tr w:rsidR="001C2ABF" w:rsidRPr="00D74EA3" w:rsidTr="00A8415A">
        <w:trPr>
          <w:trHeight w:val="227"/>
        </w:trPr>
        <w:tc>
          <w:tcPr>
            <w:tcW w:w="5435" w:type="dxa"/>
            <w:tcBorders>
              <w:bottom w:val="single" w:sz="8" w:space="0" w:color="808080" w:themeColor="background1" w:themeShade="80"/>
            </w:tcBorders>
            <w:vAlign w:val="center"/>
          </w:tcPr>
          <w:p w:rsidR="001C2ABF" w:rsidRPr="00725FA5" w:rsidRDefault="001C2ABF" w:rsidP="00A8415A">
            <w:pPr>
              <w:pStyle w:val="Intro"/>
              <w:jc w:val="left"/>
              <w:rPr>
                <w:b w:val="0"/>
                <w:sz w:val="14"/>
                <w:szCs w:val="14"/>
                <w:lang w:val="fr-FR"/>
              </w:rPr>
            </w:pPr>
            <w:r w:rsidRPr="00725FA5">
              <w:rPr>
                <w:b w:val="0"/>
                <w:sz w:val="14"/>
                <w:szCs w:val="14"/>
                <w:lang w:val="fr-FR"/>
              </w:rPr>
              <w:t xml:space="preserve">     pour les crédits présentant un arriéré de plus de 90 jours</w:t>
            </w:r>
          </w:p>
        </w:tc>
        <w:tc>
          <w:tcPr>
            <w:tcW w:w="1667" w:type="dxa"/>
            <w:tcBorders>
              <w:bottom w:val="single" w:sz="8" w:space="0" w:color="808080" w:themeColor="background1" w:themeShade="80"/>
            </w:tcBorders>
            <w:vAlign w:val="center"/>
          </w:tcPr>
          <w:p w:rsidR="001C2ABF" w:rsidRPr="00725FA5" w:rsidRDefault="001C2ABF" w:rsidP="00A8415A">
            <w:pPr>
              <w:pStyle w:val="Intro"/>
              <w:jc w:val="right"/>
              <w:rPr>
                <w:b w:val="0"/>
                <w:sz w:val="14"/>
                <w:szCs w:val="14"/>
                <w:lang w:val="fr-FR"/>
              </w:rPr>
            </w:pPr>
          </w:p>
        </w:tc>
        <w:tc>
          <w:tcPr>
            <w:tcW w:w="1035" w:type="dxa"/>
            <w:tcBorders>
              <w:bottom w:val="single" w:sz="8" w:space="0" w:color="808080" w:themeColor="background1" w:themeShade="80"/>
            </w:tcBorders>
          </w:tcPr>
          <w:p w:rsidR="001C2ABF" w:rsidRPr="00725FA5" w:rsidRDefault="001C2ABF" w:rsidP="00A8415A">
            <w:pPr>
              <w:pStyle w:val="Intro"/>
              <w:jc w:val="right"/>
              <w:rPr>
                <w:b w:val="0"/>
                <w:sz w:val="14"/>
                <w:szCs w:val="14"/>
                <w:lang w:val="fr-FR"/>
              </w:rPr>
            </w:pPr>
          </w:p>
        </w:tc>
        <w:tc>
          <w:tcPr>
            <w:tcW w:w="1088" w:type="dxa"/>
            <w:tcBorders>
              <w:bottom w:val="single" w:sz="8" w:space="0" w:color="808080" w:themeColor="background1" w:themeShade="80"/>
            </w:tcBorders>
            <w:shd w:val="clear" w:color="auto" w:fill="auto"/>
            <w:vAlign w:val="center"/>
          </w:tcPr>
          <w:p w:rsidR="001C2ABF" w:rsidRPr="00D74EA3" w:rsidRDefault="001C2ABF" w:rsidP="00A8415A">
            <w:pPr>
              <w:pStyle w:val="Intro"/>
              <w:jc w:val="right"/>
              <w:rPr>
                <w:b w:val="0"/>
                <w:sz w:val="14"/>
                <w:szCs w:val="14"/>
                <w:lang w:val="en-GB"/>
              </w:rPr>
            </w:pPr>
            <w:r w:rsidRPr="00D74EA3">
              <w:rPr>
                <w:b w:val="0"/>
                <w:sz w:val="14"/>
                <w:szCs w:val="14"/>
              </w:rPr>
              <w:t>4.8%</w:t>
            </w:r>
          </w:p>
        </w:tc>
        <w:tc>
          <w:tcPr>
            <w:tcW w:w="1015" w:type="dxa"/>
            <w:tcBorders>
              <w:bottom w:val="single" w:sz="8" w:space="0" w:color="808080" w:themeColor="background1" w:themeShade="80"/>
            </w:tcBorders>
            <w:shd w:val="clear" w:color="auto" w:fill="D9D9D9" w:themeFill="background1" w:themeFillShade="D9"/>
            <w:vAlign w:val="center"/>
          </w:tcPr>
          <w:p w:rsidR="001C2ABF" w:rsidRPr="00D74EA3" w:rsidRDefault="001C2ABF" w:rsidP="00A8415A">
            <w:pPr>
              <w:pStyle w:val="Intro"/>
              <w:jc w:val="right"/>
              <w:rPr>
                <w:b w:val="0"/>
                <w:sz w:val="14"/>
                <w:szCs w:val="14"/>
                <w:lang w:val="en-GB"/>
              </w:rPr>
            </w:pPr>
            <w:r w:rsidRPr="00D74EA3">
              <w:rPr>
                <w:b w:val="0"/>
                <w:sz w:val="14"/>
                <w:szCs w:val="14"/>
              </w:rPr>
              <w:t>4.7%</w:t>
            </w:r>
          </w:p>
        </w:tc>
      </w:tr>
      <w:tr w:rsidR="001C2ABF" w:rsidRPr="00D74EA3" w:rsidTr="00A8415A">
        <w:trPr>
          <w:trHeight w:val="227"/>
        </w:trPr>
        <w:tc>
          <w:tcPr>
            <w:tcW w:w="5435" w:type="dxa"/>
            <w:tcBorders>
              <w:bottom w:val="single" w:sz="8" w:space="0" w:color="808080" w:themeColor="background1" w:themeShade="80"/>
            </w:tcBorders>
            <w:vAlign w:val="center"/>
          </w:tcPr>
          <w:p w:rsidR="001C2ABF" w:rsidRPr="00D74EA3" w:rsidRDefault="001C2ABF" w:rsidP="00A8415A">
            <w:pPr>
              <w:pStyle w:val="Intro"/>
              <w:jc w:val="left"/>
              <w:rPr>
                <w:b w:val="0"/>
                <w:sz w:val="14"/>
                <w:szCs w:val="14"/>
                <w:lang w:val="en-GB"/>
              </w:rPr>
            </w:pPr>
            <w:proofErr w:type="spellStart"/>
            <w:r w:rsidRPr="00D74EA3">
              <w:rPr>
                <w:b w:val="0"/>
                <w:sz w:val="14"/>
                <w:szCs w:val="14"/>
              </w:rPr>
              <w:t>Liquidité</w:t>
            </w:r>
            <w:proofErr w:type="spellEnd"/>
          </w:p>
        </w:tc>
        <w:tc>
          <w:tcPr>
            <w:tcW w:w="1667" w:type="dxa"/>
            <w:tcBorders>
              <w:bottom w:val="single" w:sz="8" w:space="0" w:color="808080" w:themeColor="background1" w:themeShade="80"/>
            </w:tcBorders>
            <w:vAlign w:val="center"/>
          </w:tcPr>
          <w:p w:rsidR="001C2ABF" w:rsidRPr="00D74EA3" w:rsidRDefault="001C2ABF" w:rsidP="00A8415A">
            <w:pPr>
              <w:pStyle w:val="Intro"/>
              <w:jc w:val="right"/>
              <w:rPr>
                <w:b w:val="0"/>
                <w:sz w:val="14"/>
                <w:szCs w:val="14"/>
                <w:lang w:val="en-GB"/>
              </w:rPr>
            </w:pPr>
          </w:p>
        </w:tc>
        <w:tc>
          <w:tcPr>
            <w:tcW w:w="1035" w:type="dxa"/>
            <w:tcBorders>
              <w:bottom w:val="single" w:sz="8" w:space="0" w:color="808080" w:themeColor="background1" w:themeShade="80"/>
            </w:tcBorders>
          </w:tcPr>
          <w:p w:rsidR="001C2ABF" w:rsidRPr="00D74EA3" w:rsidRDefault="001C2ABF" w:rsidP="00A8415A">
            <w:pPr>
              <w:pStyle w:val="Intro"/>
              <w:jc w:val="right"/>
              <w:rPr>
                <w:b w:val="0"/>
                <w:sz w:val="14"/>
                <w:szCs w:val="14"/>
                <w:lang w:val="en-GB"/>
              </w:rPr>
            </w:pPr>
          </w:p>
        </w:tc>
        <w:tc>
          <w:tcPr>
            <w:tcW w:w="1088" w:type="dxa"/>
            <w:tcBorders>
              <w:bottom w:val="single" w:sz="8" w:space="0" w:color="808080" w:themeColor="background1" w:themeShade="80"/>
            </w:tcBorders>
            <w:shd w:val="clear" w:color="auto" w:fill="auto"/>
            <w:vAlign w:val="center"/>
          </w:tcPr>
          <w:p w:rsidR="001C2ABF" w:rsidRPr="00D74EA3" w:rsidRDefault="001C2ABF" w:rsidP="00A8415A">
            <w:pPr>
              <w:pStyle w:val="Intro"/>
              <w:jc w:val="right"/>
              <w:rPr>
                <w:b w:val="0"/>
                <w:sz w:val="14"/>
                <w:szCs w:val="14"/>
                <w:lang w:val="en-GB"/>
              </w:rPr>
            </w:pPr>
          </w:p>
        </w:tc>
        <w:tc>
          <w:tcPr>
            <w:tcW w:w="1015" w:type="dxa"/>
            <w:tcBorders>
              <w:bottom w:val="single" w:sz="8" w:space="0" w:color="808080" w:themeColor="background1" w:themeShade="80"/>
            </w:tcBorders>
            <w:shd w:val="clear" w:color="auto" w:fill="D9D9D9" w:themeFill="background1" w:themeFillShade="D9"/>
            <w:vAlign w:val="center"/>
          </w:tcPr>
          <w:p w:rsidR="001C2ABF" w:rsidRPr="00D74EA3" w:rsidRDefault="001C2ABF" w:rsidP="00A8415A">
            <w:pPr>
              <w:pStyle w:val="Intro"/>
              <w:jc w:val="right"/>
              <w:rPr>
                <w:b w:val="0"/>
                <w:sz w:val="14"/>
                <w:szCs w:val="14"/>
                <w:highlight w:val="darkGray"/>
                <w:lang w:val="en-GB"/>
              </w:rPr>
            </w:pPr>
          </w:p>
        </w:tc>
      </w:tr>
      <w:tr w:rsidR="001C2ABF" w:rsidRPr="00D74EA3" w:rsidTr="00A8415A">
        <w:trPr>
          <w:trHeight w:val="227"/>
        </w:trPr>
        <w:tc>
          <w:tcPr>
            <w:tcW w:w="5435" w:type="dxa"/>
            <w:tcBorders>
              <w:top w:val="single" w:sz="8" w:space="0" w:color="808080" w:themeColor="background1" w:themeShade="80"/>
            </w:tcBorders>
            <w:vAlign w:val="center"/>
          </w:tcPr>
          <w:p w:rsidR="001C2ABF" w:rsidRPr="00725FA5" w:rsidRDefault="001C2ABF" w:rsidP="00A8415A">
            <w:pPr>
              <w:pStyle w:val="Intro"/>
              <w:jc w:val="left"/>
              <w:rPr>
                <w:b w:val="0"/>
                <w:sz w:val="14"/>
                <w:szCs w:val="14"/>
                <w:lang w:val="fr-FR"/>
              </w:rPr>
            </w:pPr>
            <w:r w:rsidRPr="00725FA5">
              <w:rPr>
                <w:b w:val="0"/>
                <w:sz w:val="14"/>
                <w:szCs w:val="14"/>
                <w:lang w:val="fr-FR"/>
              </w:rPr>
              <w:t xml:space="preserve"> Ratio structurel de liquidité à long terme (NSFR)</w:t>
            </w:r>
          </w:p>
        </w:tc>
        <w:tc>
          <w:tcPr>
            <w:tcW w:w="1667" w:type="dxa"/>
            <w:tcBorders>
              <w:top w:val="single" w:sz="8" w:space="0" w:color="808080" w:themeColor="background1" w:themeShade="80"/>
            </w:tcBorders>
            <w:vAlign w:val="center"/>
          </w:tcPr>
          <w:p w:rsidR="001C2ABF" w:rsidRPr="00725FA5" w:rsidRDefault="001C2ABF" w:rsidP="00A8415A">
            <w:pPr>
              <w:pStyle w:val="Intro"/>
              <w:jc w:val="right"/>
              <w:rPr>
                <w:b w:val="0"/>
                <w:sz w:val="14"/>
                <w:szCs w:val="14"/>
                <w:lang w:val="fr-FR"/>
              </w:rPr>
            </w:pPr>
          </w:p>
        </w:tc>
        <w:tc>
          <w:tcPr>
            <w:tcW w:w="1035" w:type="dxa"/>
            <w:tcBorders>
              <w:top w:val="single" w:sz="8" w:space="0" w:color="808080" w:themeColor="background1" w:themeShade="80"/>
            </w:tcBorders>
          </w:tcPr>
          <w:p w:rsidR="001C2ABF" w:rsidRPr="00725FA5" w:rsidRDefault="001C2ABF" w:rsidP="00A8415A">
            <w:pPr>
              <w:pStyle w:val="Intro"/>
              <w:jc w:val="right"/>
              <w:rPr>
                <w:b w:val="0"/>
                <w:sz w:val="14"/>
                <w:szCs w:val="14"/>
                <w:lang w:val="fr-FR"/>
              </w:rPr>
            </w:pPr>
          </w:p>
        </w:tc>
        <w:tc>
          <w:tcPr>
            <w:tcW w:w="1088" w:type="dxa"/>
            <w:tcBorders>
              <w:top w:val="single" w:sz="8" w:space="0" w:color="808080" w:themeColor="background1" w:themeShade="80"/>
            </w:tcBorders>
            <w:shd w:val="clear" w:color="auto" w:fill="auto"/>
            <w:vAlign w:val="center"/>
          </w:tcPr>
          <w:p w:rsidR="001C2ABF" w:rsidRPr="00D74EA3" w:rsidRDefault="001C2ABF" w:rsidP="00A8415A">
            <w:pPr>
              <w:pStyle w:val="Intro"/>
              <w:jc w:val="right"/>
              <w:rPr>
                <w:b w:val="0"/>
                <w:sz w:val="14"/>
                <w:szCs w:val="14"/>
                <w:lang w:val="en-GB"/>
              </w:rPr>
            </w:pPr>
            <w:r w:rsidRPr="00D74EA3">
              <w:rPr>
                <w:b w:val="0"/>
                <w:sz w:val="14"/>
                <w:szCs w:val="14"/>
              </w:rPr>
              <w:t>121%</w:t>
            </w:r>
          </w:p>
        </w:tc>
        <w:tc>
          <w:tcPr>
            <w:tcW w:w="1015" w:type="dxa"/>
            <w:tcBorders>
              <w:top w:val="single" w:sz="8" w:space="0" w:color="808080" w:themeColor="background1" w:themeShade="80"/>
            </w:tcBorders>
            <w:shd w:val="clear" w:color="auto" w:fill="D9D9D9" w:themeFill="background1" w:themeFillShade="D9"/>
            <w:vAlign w:val="center"/>
          </w:tcPr>
          <w:p w:rsidR="001C2ABF" w:rsidRPr="00D74EA3" w:rsidRDefault="001C2ABF" w:rsidP="00A8415A">
            <w:pPr>
              <w:pStyle w:val="Intro"/>
              <w:jc w:val="right"/>
              <w:rPr>
                <w:b w:val="0"/>
                <w:sz w:val="14"/>
                <w:szCs w:val="14"/>
                <w:lang w:val="en-GB"/>
              </w:rPr>
            </w:pPr>
            <w:r w:rsidRPr="00D74EA3">
              <w:rPr>
                <w:b w:val="0"/>
                <w:sz w:val="14"/>
                <w:szCs w:val="14"/>
              </w:rPr>
              <w:t>121%</w:t>
            </w:r>
          </w:p>
        </w:tc>
      </w:tr>
      <w:tr w:rsidR="001C2ABF" w:rsidRPr="00D74EA3" w:rsidTr="00A8415A">
        <w:trPr>
          <w:trHeight w:val="227"/>
        </w:trPr>
        <w:tc>
          <w:tcPr>
            <w:tcW w:w="5435" w:type="dxa"/>
            <w:tcBorders>
              <w:bottom w:val="single" w:sz="8" w:space="0" w:color="808080" w:themeColor="background1" w:themeShade="80"/>
            </w:tcBorders>
            <w:vAlign w:val="center"/>
          </w:tcPr>
          <w:p w:rsidR="001C2ABF" w:rsidRPr="00725FA5" w:rsidRDefault="001C2ABF" w:rsidP="00A8415A">
            <w:pPr>
              <w:pStyle w:val="Intro"/>
              <w:jc w:val="left"/>
              <w:rPr>
                <w:b w:val="0"/>
                <w:sz w:val="14"/>
                <w:szCs w:val="14"/>
                <w:lang w:val="fr-FR"/>
              </w:rPr>
            </w:pPr>
            <w:r w:rsidRPr="00725FA5">
              <w:rPr>
                <w:b w:val="0"/>
                <w:sz w:val="14"/>
                <w:szCs w:val="14"/>
                <w:lang w:val="fr-FR"/>
              </w:rPr>
              <w:t xml:space="preserve"> Ratio de couverture des liquidités (LCR)</w:t>
            </w:r>
          </w:p>
        </w:tc>
        <w:tc>
          <w:tcPr>
            <w:tcW w:w="1667" w:type="dxa"/>
            <w:tcBorders>
              <w:bottom w:val="single" w:sz="8" w:space="0" w:color="808080" w:themeColor="background1" w:themeShade="80"/>
            </w:tcBorders>
            <w:vAlign w:val="center"/>
          </w:tcPr>
          <w:p w:rsidR="001C2ABF" w:rsidRPr="00725FA5" w:rsidRDefault="001C2ABF" w:rsidP="00A8415A">
            <w:pPr>
              <w:pStyle w:val="Intro"/>
              <w:jc w:val="right"/>
              <w:rPr>
                <w:b w:val="0"/>
                <w:sz w:val="14"/>
                <w:szCs w:val="14"/>
                <w:lang w:val="fr-FR"/>
              </w:rPr>
            </w:pPr>
          </w:p>
        </w:tc>
        <w:tc>
          <w:tcPr>
            <w:tcW w:w="1035" w:type="dxa"/>
            <w:tcBorders>
              <w:bottom w:val="single" w:sz="8" w:space="0" w:color="808080" w:themeColor="background1" w:themeShade="80"/>
            </w:tcBorders>
          </w:tcPr>
          <w:p w:rsidR="001C2ABF" w:rsidRPr="00725FA5" w:rsidRDefault="001C2ABF" w:rsidP="00A8415A">
            <w:pPr>
              <w:pStyle w:val="Intro"/>
              <w:jc w:val="right"/>
              <w:rPr>
                <w:b w:val="0"/>
                <w:sz w:val="14"/>
                <w:szCs w:val="14"/>
                <w:lang w:val="fr-FR"/>
              </w:rPr>
            </w:pPr>
          </w:p>
        </w:tc>
        <w:tc>
          <w:tcPr>
            <w:tcW w:w="1088" w:type="dxa"/>
            <w:tcBorders>
              <w:bottom w:val="single" w:sz="8" w:space="0" w:color="808080" w:themeColor="background1" w:themeShade="80"/>
            </w:tcBorders>
            <w:shd w:val="clear" w:color="auto" w:fill="auto"/>
            <w:vAlign w:val="center"/>
          </w:tcPr>
          <w:p w:rsidR="001C2ABF" w:rsidRPr="00D74EA3" w:rsidRDefault="001C2ABF" w:rsidP="00A8415A">
            <w:pPr>
              <w:pStyle w:val="Intro"/>
              <w:jc w:val="right"/>
              <w:rPr>
                <w:b w:val="0"/>
                <w:sz w:val="14"/>
                <w:szCs w:val="14"/>
                <w:lang w:val="en-GB"/>
              </w:rPr>
            </w:pPr>
            <w:r w:rsidRPr="00D74EA3">
              <w:rPr>
                <w:b w:val="0"/>
                <w:sz w:val="14"/>
                <w:szCs w:val="14"/>
              </w:rPr>
              <w:t>127%</w:t>
            </w:r>
          </w:p>
        </w:tc>
        <w:tc>
          <w:tcPr>
            <w:tcW w:w="1015" w:type="dxa"/>
            <w:tcBorders>
              <w:bottom w:val="single" w:sz="8" w:space="0" w:color="808080" w:themeColor="background1" w:themeShade="80"/>
            </w:tcBorders>
            <w:shd w:val="clear" w:color="auto" w:fill="D9D9D9" w:themeFill="background1" w:themeFillShade="D9"/>
            <w:vAlign w:val="center"/>
          </w:tcPr>
          <w:p w:rsidR="001C2ABF" w:rsidRPr="00D74EA3" w:rsidRDefault="001C2ABF" w:rsidP="00A8415A">
            <w:pPr>
              <w:pStyle w:val="Intro"/>
              <w:jc w:val="right"/>
              <w:rPr>
                <w:b w:val="0"/>
                <w:sz w:val="14"/>
                <w:szCs w:val="14"/>
                <w:lang w:val="en-GB"/>
              </w:rPr>
            </w:pPr>
            <w:r w:rsidRPr="00D74EA3">
              <w:rPr>
                <w:b w:val="0"/>
                <w:sz w:val="14"/>
                <w:szCs w:val="14"/>
              </w:rPr>
              <w:t>130%</w:t>
            </w:r>
          </w:p>
        </w:tc>
      </w:tr>
      <w:tr w:rsidR="001C2ABF" w:rsidRPr="00D74EA3" w:rsidTr="00A8415A">
        <w:trPr>
          <w:trHeight w:val="217"/>
        </w:trPr>
        <w:tc>
          <w:tcPr>
            <w:tcW w:w="10240" w:type="dxa"/>
            <w:gridSpan w:val="5"/>
            <w:tcBorders>
              <w:top w:val="single" w:sz="8" w:space="0" w:color="808080" w:themeColor="background1" w:themeShade="80"/>
            </w:tcBorders>
          </w:tcPr>
          <w:p w:rsidR="001C2ABF" w:rsidRPr="00D74EA3" w:rsidRDefault="001C2ABF" w:rsidP="00A8415A">
            <w:pPr>
              <w:pStyle w:val="Intro"/>
              <w:ind w:left="34" w:hanging="108"/>
              <w:jc w:val="left"/>
              <w:rPr>
                <w:b w:val="0"/>
                <w:sz w:val="12"/>
                <w:szCs w:val="12"/>
                <w:lang w:val="en-GB"/>
              </w:rPr>
            </w:pPr>
          </w:p>
        </w:tc>
      </w:tr>
    </w:tbl>
    <w:p w:rsidR="001C2ABF" w:rsidRPr="00D74EA3" w:rsidRDefault="001C2ABF" w:rsidP="001C2ABF">
      <w:pPr>
        <w:rPr>
          <w:rFonts w:ascii="Arial" w:hAnsi="Arial" w:cs="Arial"/>
          <w:sz w:val="8"/>
          <w:szCs w:val="8"/>
        </w:rPr>
      </w:pPr>
    </w:p>
    <w:p w:rsidR="00017839" w:rsidRDefault="00017839" w:rsidP="001C2ABF">
      <w:pPr>
        <w:tabs>
          <w:tab w:val="left" w:pos="5587"/>
        </w:tabs>
        <w:spacing w:after="120" w:line="240" w:lineRule="auto"/>
        <w:rPr>
          <w:rFonts w:ascii="Rockwell" w:hAnsi="Rockwell" w:cs="Arial"/>
          <w:b/>
          <w:bCs/>
          <w:color w:val="003366"/>
          <w:sz w:val="28"/>
          <w:szCs w:val="28"/>
          <w:lang w:val="fr-FR"/>
        </w:rPr>
      </w:pPr>
    </w:p>
    <w:p w:rsidR="00017839" w:rsidRDefault="00017839" w:rsidP="001C2ABF">
      <w:pPr>
        <w:tabs>
          <w:tab w:val="left" w:pos="5587"/>
        </w:tabs>
        <w:spacing w:after="120" w:line="240" w:lineRule="auto"/>
        <w:rPr>
          <w:rFonts w:ascii="Rockwell" w:hAnsi="Rockwell" w:cs="Arial"/>
          <w:b/>
          <w:bCs/>
          <w:color w:val="003366"/>
          <w:sz w:val="28"/>
          <w:szCs w:val="28"/>
          <w:lang w:val="fr-FR"/>
        </w:rPr>
      </w:pPr>
    </w:p>
    <w:p w:rsidR="00017839" w:rsidRDefault="00017839" w:rsidP="001C2ABF">
      <w:pPr>
        <w:tabs>
          <w:tab w:val="left" w:pos="5587"/>
        </w:tabs>
        <w:spacing w:after="120" w:line="240" w:lineRule="auto"/>
        <w:rPr>
          <w:rFonts w:ascii="Rockwell" w:hAnsi="Rockwell" w:cs="Arial"/>
          <w:b/>
          <w:bCs/>
          <w:color w:val="003366"/>
          <w:sz w:val="28"/>
          <w:szCs w:val="28"/>
          <w:lang w:val="fr-FR"/>
        </w:rPr>
      </w:pPr>
    </w:p>
    <w:p w:rsidR="00017839" w:rsidRDefault="00017839" w:rsidP="001C2ABF">
      <w:pPr>
        <w:tabs>
          <w:tab w:val="left" w:pos="5587"/>
        </w:tabs>
        <w:spacing w:after="120" w:line="240" w:lineRule="auto"/>
        <w:rPr>
          <w:rFonts w:ascii="Rockwell" w:hAnsi="Rockwell" w:cs="Arial"/>
          <w:b/>
          <w:bCs/>
          <w:color w:val="003366"/>
          <w:sz w:val="28"/>
          <w:szCs w:val="28"/>
          <w:lang w:val="fr-FR"/>
        </w:rPr>
      </w:pPr>
    </w:p>
    <w:p w:rsidR="00017839" w:rsidRDefault="00017839" w:rsidP="001C2ABF">
      <w:pPr>
        <w:tabs>
          <w:tab w:val="left" w:pos="5587"/>
        </w:tabs>
        <w:spacing w:after="120" w:line="240" w:lineRule="auto"/>
        <w:rPr>
          <w:rFonts w:ascii="Rockwell" w:hAnsi="Rockwell" w:cs="Arial"/>
          <w:b/>
          <w:bCs/>
          <w:color w:val="003366"/>
          <w:sz w:val="28"/>
          <w:szCs w:val="28"/>
          <w:lang w:val="fr-FR"/>
        </w:rPr>
      </w:pPr>
    </w:p>
    <w:p w:rsidR="00017839" w:rsidRDefault="00017839" w:rsidP="001C2ABF">
      <w:pPr>
        <w:tabs>
          <w:tab w:val="left" w:pos="5587"/>
        </w:tabs>
        <w:spacing w:after="120" w:line="240" w:lineRule="auto"/>
        <w:rPr>
          <w:rFonts w:ascii="Rockwell" w:hAnsi="Rockwell" w:cs="Arial"/>
          <w:b/>
          <w:bCs/>
          <w:color w:val="003366"/>
          <w:sz w:val="28"/>
          <w:szCs w:val="28"/>
          <w:lang w:val="fr-FR"/>
        </w:rPr>
      </w:pPr>
    </w:p>
    <w:p w:rsidR="00017839" w:rsidRDefault="00017839" w:rsidP="001C2ABF">
      <w:pPr>
        <w:tabs>
          <w:tab w:val="left" w:pos="5587"/>
        </w:tabs>
        <w:spacing w:after="120" w:line="240" w:lineRule="auto"/>
        <w:rPr>
          <w:rFonts w:ascii="Rockwell" w:hAnsi="Rockwell" w:cs="Arial"/>
          <w:b/>
          <w:bCs/>
          <w:color w:val="003366"/>
          <w:sz w:val="28"/>
          <w:szCs w:val="28"/>
          <w:lang w:val="fr-FR"/>
        </w:rPr>
      </w:pPr>
    </w:p>
    <w:p w:rsidR="00017839" w:rsidRDefault="00017839" w:rsidP="001C2ABF">
      <w:pPr>
        <w:tabs>
          <w:tab w:val="left" w:pos="5587"/>
        </w:tabs>
        <w:spacing w:after="120" w:line="240" w:lineRule="auto"/>
        <w:rPr>
          <w:rFonts w:ascii="Rockwell" w:hAnsi="Rockwell" w:cs="Arial"/>
          <w:b/>
          <w:bCs/>
          <w:color w:val="003366"/>
          <w:sz w:val="28"/>
          <w:szCs w:val="28"/>
          <w:lang w:val="fr-FR"/>
        </w:rPr>
      </w:pPr>
    </w:p>
    <w:p w:rsidR="00017839" w:rsidRDefault="00017839" w:rsidP="001C2ABF">
      <w:pPr>
        <w:tabs>
          <w:tab w:val="left" w:pos="5587"/>
        </w:tabs>
        <w:spacing w:after="120" w:line="240" w:lineRule="auto"/>
        <w:rPr>
          <w:rFonts w:ascii="Rockwell" w:hAnsi="Rockwell" w:cs="Arial"/>
          <w:b/>
          <w:bCs/>
          <w:color w:val="003366"/>
          <w:sz w:val="28"/>
          <w:szCs w:val="28"/>
          <w:lang w:val="fr-FR"/>
        </w:rPr>
      </w:pPr>
    </w:p>
    <w:p w:rsidR="00017839" w:rsidRDefault="00017839" w:rsidP="001C2ABF">
      <w:pPr>
        <w:tabs>
          <w:tab w:val="left" w:pos="5587"/>
        </w:tabs>
        <w:spacing w:after="120" w:line="240" w:lineRule="auto"/>
        <w:rPr>
          <w:rFonts w:ascii="Rockwell" w:hAnsi="Rockwell" w:cs="Arial"/>
          <w:b/>
          <w:bCs/>
          <w:color w:val="003366"/>
          <w:sz w:val="28"/>
          <w:szCs w:val="28"/>
          <w:lang w:val="fr-FR"/>
        </w:rPr>
      </w:pPr>
    </w:p>
    <w:p w:rsidR="00017839" w:rsidRDefault="00017839" w:rsidP="001C2ABF">
      <w:pPr>
        <w:tabs>
          <w:tab w:val="left" w:pos="5587"/>
        </w:tabs>
        <w:spacing w:after="120" w:line="240" w:lineRule="auto"/>
        <w:rPr>
          <w:rFonts w:ascii="Rockwell" w:hAnsi="Rockwell" w:cs="Arial"/>
          <w:b/>
          <w:bCs/>
          <w:color w:val="003366"/>
          <w:sz w:val="28"/>
          <w:szCs w:val="28"/>
          <w:lang w:val="fr-FR"/>
        </w:rPr>
      </w:pPr>
    </w:p>
    <w:p w:rsidR="007F4206" w:rsidRDefault="001C2ABF" w:rsidP="001C2ABF">
      <w:pPr>
        <w:tabs>
          <w:tab w:val="left" w:pos="5587"/>
        </w:tabs>
        <w:spacing w:after="120" w:line="240" w:lineRule="auto"/>
        <w:rPr>
          <w:rFonts w:ascii="Rockwell" w:hAnsi="Rockwell" w:cs="Arial"/>
          <w:b/>
          <w:bCs/>
          <w:color w:val="003366"/>
          <w:sz w:val="28"/>
          <w:szCs w:val="28"/>
          <w:lang w:val="fr-FR"/>
        </w:rPr>
      </w:pPr>
      <w:r w:rsidRPr="001C2ABF">
        <w:rPr>
          <w:rFonts w:ascii="Rockwell" w:hAnsi="Rockwell" w:cs="Arial"/>
          <w:b/>
          <w:bCs/>
          <w:color w:val="003366"/>
          <w:sz w:val="28"/>
          <w:szCs w:val="28"/>
          <w:lang w:val="fr-FR"/>
        </w:rPr>
        <w:lastRenderedPageBreak/>
        <w:t>Déclaration relative aux risques</w:t>
      </w:r>
    </w:p>
    <w:p w:rsidR="001C2ABF" w:rsidRPr="001C2ABF" w:rsidRDefault="001C2ABF" w:rsidP="001C2ABF">
      <w:pPr>
        <w:tabs>
          <w:tab w:val="left" w:pos="5587"/>
        </w:tabs>
        <w:spacing w:after="120" w:line="240" w:lineRule="auto"/>
        <w:rPr>
          <w:rFonts w:ascii="Rockwell" w:hAnsi="Rockwell" w:cs="Arial"/>
          <w:b/>
          <w:bCs/>
          <w:color w:val="002060"/>
          <w:sz w:val="28"/>
          <w:szCs w:val="28"/>
          <w:lang w:val="fr-FR"/>
        </w:rPr>
      </w:pPr>
    </w:p>
    <w:p w:rsidR="001C2ABF" w:rsidRPr="001C2ABF" w:rsidRDefault="001C2ABF" w:rsidP="001C2ABF">
      <w:pPr>
        <w:pStyle w:val="ListParagraph"/>
        <w:numPr>
          <w:ilvl w:val="0"/>
          <w:numId w:val="10"/>
        </w:numPr>
        <w:spacing w:after="120" w:line="240" w:lineRule="auto"/>
        <w:ind w:left="284" w:hanging="284"/>
        <w:contextualSpacing w:val="0"/>
        <w:rPr>
          <w:rFonts w:asciiTheme="minorHAnsi" w:hAnsiTheme="minorHAnsi" w:cs="Arial"/>
          <w:color w:val="002060"/>
          <w:lang w:val="fr-FR"/>
        </w:rPr>
      </w:pPr>
      <w:r w:rsidRPr="001C2ABF">
        <w:rPr>
          <w:rFonts w:asciiTheme="minorHAnsi" w:hAnsiTheme="minorHAnsi" w:cs="Arial"/>
          <w:color w:val="002060"/>
          <w:lang w:val="fr-FR"/>
        </w:rPr>
        <w:t xml:space="preserve">Nos activités étant principalement axées sur la banque, l’assurance et la gestion d’actifs, nous nous exposons à certains risques typiques pour ces domaines financiers tels que, mais sans s’y limiter, les risques de défaut de crédit, les risques de contrepartie, le risque de concentration, les fluctuations des taux d’intérêt, les risques de change, les risques de liquidité et de financement, les risques d’assurance, l’évolution de la réglementation, les risques opérationnels, les litiges avec les clients, la concurrence d’autres acteurs et de nouveaux opérateurs ainsi que les risques économiques en général. Bien que surveillés de près et gérés par KBC dans le cadre strict de règles de gouvernance et limites, ces risques peuvent avoir une incidence négative sur la valeur des actifs ou occasionner des charges supplémentaires excédant les prévisions. </w:t>
      </w:r>
    </w:p>
    <w:p w:rsidR="001C2ABF" w:rsidRPr="001C2ABF" w:rsidRDefault="001C2ABF" w:rsidP="001C2ABF">
      <w:pPr>
        <w:pStyle w:val="ListParagraph"/>
        <w:numPr>
          <w:ilvl w:val="0"/>
          <w:numId w:val="10"/>
        </w:numPr>
        <w:spacing w:after="120" w:line="240" w:lineRule="auto"/>
        <w:ind w:left="284" w:hanging="284"/>
        <w:contextualSpacing w:val="0"/>
        <w:rPr>
          <w:rFonts w:asciiTheme="minorHAnsi" w:hAnsiTheme="minorHAnsi" w:cs="Arial"/>
          <w:color w:val="002060"/>
          <w:lang w:val="fr-FR"/>
        </w:rPr>
      </w:pPr>
      <w:r w:rsidRPr="001C2ABF">
        <w:rPr>
          <w:rFonts w:asciiTheme="minorHAnsi" w:hAnsiTheme="minorHAnsi" w:cs="Arial"/>
          <w:color w:val="002060"/>
          <w:lang w:val="fr-FR"/>
        </w:rPr>
        <w:t>À l’heure actuelle, nous estimons qu’un certain nombre d’éléments constituent le principal défi pour le secteur financier en général et affectent en conséquence aussi KBC. Les exigences croissantes en matière de capital sont un thème majeur pour le secteur. D'importantes initiatives réglementaires concernent actuellement le risque de crédit, le risque opérationnel, le risque de trading, les risques ALM et la protection des consommateurs. Outre la réglementation, l’environnement de taux bas reste un défi permanent. Si cette phase de faibles taux devait perdurer, la rentabilité à long terme des banques, et notamment des assureurs, serait soumise à forte pression. L'écran radar des risques des établissements financiers montre que la technologie financière constitue un défi supplémentaire pour le modèle d'entreprise des institutions financières traditionnelles. Enfin, les cyber-risques sont devenus l’une des principales menaces ces dernières années, pas uniquement pour le secteur financier, mais pour l’ensemble de l’économie.</w:t>
      </w:r>
    </w:p>
    <w:p w:rsidR="001C2ABF" w:rsidRPr="001C2ABF" w:rsidRDefault="001C2ABF" w:rsidP="001C2ABF">
      <w:pPr>
        <w:pStyle w:val="ListParagraph"/>
        <w:numPr>
          <w:ilvl w:val="0"/>
          <w:numId w:val="10"/>
        </w:numPr>
        <w:spacing w:after="120" w:line="240" w:lineRule="auto"/>
        <w:ind w:left="284" w:hanging="284"/>
        <w:contextualSpacing w:val="0"/>
        <w:rPr>
          <w:rFonts w:asciiTheme="minorHAnsi" w:hAnsiTheme="minorHAnsi" w:cs="Arial"/>
          <w:color w:val="002060"/>
          <w:lang w:val="fr-FR"/>
        </w:rPr>
      </w:pPr>
      <w:r w:rsidRPr="001C2ABF">
        <w:rPr>
          <w:rFonts w:asciiTheme="minorHAnsi" w:hAnsiTheme="minorHAnsi" w:cs="Arial"/>
          <w:color w:val="002060"/>
          <w:lang w:val="fr-FR"/>
        </w:rPr>
        <w:t xml:space="preserve">Les données relatives à la gestion des risques sont reproduites dans nos rapports annuels, les </w:t>
      </w:r>
      <w:r w:rsidRPr="001C2ABF">
        <w:rPr>
          <w:rFonts w:asciiTheme="minorHAnsi" w:hAnsiTheme="minorHAnsi" w:cs="Arial"/>
          <w:i/>
          <w:color w:val="002060"/>
          <w:lang w:val="fr-FR"/>
        </w:rPr>
        <w:t xml:space="preserve">Extended </w:t>
      </w:r>
      <w:proofErr w:type="spellStart"/>
      <w:r w:rsidRPr="001C2ABF">
        <w:rPr>
          <w:rFonts w:asciiTheme="minorHAnsi" w:hAnsiTheme="minorHAnsi" w:cs="Arial"/>
          <w:i/>
          <w:color w:val="002060"/>
          <w:lang w:val="fr-FR"/>
        </w:rPr>
        <w:t>quarterly</w:t>
      </w:r>
      <w:proofErr w:type="spellEnd"/>
      <w:r w:rsidRPr="001C2ABF">
        <w:rPr>
          <w:rFonts w:asciiTheme="minorHAnsi" w:hAnsiTheme="minorHAnsi" w:cs="Arial"/>
          <w:i/>
          <w:color w:val="002060"/>
          <w:lang w:val="fr-FR"/>
        </w:rPr>
        <w:t xml:space="preserve"> reports</w:t>
      </w:r>
      <w:r w:rsidRPr="001C2ABF">
        <w:rPr>
          <w:rFonts w:asciiTheme="minorHAnsi" w:hAnsiTheme="minorHAnsi" w:cs="Arial"/>
          <w:color w:val="002060"/>
          <w:lang w:val="fr-FR"/>
        </w:rPr>
        <w:t xml:space="preserve"> et les </w:t>
      </w:r>
      <w:proofErr w:type="spellStart"/>
      <w:r w:rsidRPr="001C2ABF">
        <w:rPr>
          <w:rFonts w:asciiTheme="minorHAnsi" w:hAnsiTheme="minorHAnsi" w:cs="Arial"/>
          <w:i/>
          <w:color w:val="002060"/>
          <w:lang w:val="fr-FR"/>
        </w:rPr>
        <w:t>Risk</w:t>
      </w:r>
      <w:proofErr w:type="spellEnd"/>
      <w:r w:rsidRPr="001C2ABF">
        <w:rPr>
          <w:rFonts w:asciiTheme="minorHAnsi" w:hAnsiTheme="minorHAnsi" w:cs="Arial"/>
          <w:i/>
          <w:color w:val="002060"/>
          <w:lang w:val="fr-FR"/>
        </w:rPr>
        <w:t xml:space="preserve"> reports</w:t>
      </w:r>
      <w:r w:rsidRPr="001C2ABF">
        <w:rPr>
          <w:rFonts w:asciiTheme="minorHAnsi" w:hAnsiTheme="minorHAnsi" w:cs="Arial"/>
          <w:color w:val="002060"/>
          <w:lang w:val="fr-FR"/>
        </w:rPr>
        <w:t xml:space="preserve">, tous disponibles sur le site www.kbc.com. </w:t>
      </w:r>
    </w:p>
    <w:p w:rsidR="001C2ABF" w:rsidRPr="001C2ABF" w:rsidRDefault="001C2ABF" w:rsidP="001C2ABF">
      <w:pPr>
        <w:pStyle w:val="ListParagraph"/>
        <w:numPr>
          <w:ilvl w:val="0"/>
          <w:numId w:val="10"/>
        </w:numPr>
        <w:spacing w:after="120" w:line="240" w:lineRule="auto"/>
        <w:ind w:left="284" w:hanging="284"/>
        <w:contextualSpacing w:val="0"/>
        <w:rPr>
          <w:rFonts w:asciiTheme="minorHAnsi" w:hAnsiTheme="minorHAnsi" w:cs="Arial"/>
          <w:color w:val="002060"/>
          <w:lang w:val="fr-FR"/>
        </w:rPr>
      </w:pPr>
      <w:r w:rsidRPr="001C2ABF">
        <w:rPr>
          <w:rFonts w:asciiTheme="minorHAnsi" w:hAnsiTheme="minorHAnsi" w:cs="Arial"/>
          <w:color w:val="002060"/>
          <w:lang w:val="fr-FR"/>
        </w:rPr>
        <w:t>Sur le front macroéconomique, la faiblesse persistante de l'inflation signifie que la BCE devrait au minimum maintenir sa politique extrêmement accommodante, voire l'assouplir davantage, pour une période prolongée. Selon ses propres prévisions, la Fed devrait quant à elle poursuivre sur la voie de la normalisation des taux d'intérêt en 2016, à un rythme modéré. Sous l’effet de cette divergence de politique entre la Fed et la BCE, l’euro devrait se déprécier légèrement face au dollar américain sur l’année. La faible inflation, la politique monétaire accommodante et la fragilité chronique de la croissance économique mondiale maintiendront les rendements obligataires à bas niveau en 2016. Ceux-ci s'inscriront néanmoins très progressivement en hausse lorsque la Fed procèdera effectivement à ses relèvements de taux à pas modérés en vue de la normalisation, car les marchés financiers n'ont pas encore intégré cette évolution. Par ailleurs, la poursuite de la reprise permettra de réduire les capacités excédentaires de l'économie, tandis que l'impact en glissement annuel de la faiblesse des prix de l'énergie se dissipera petit à petit au deuxième semestre 2016. Les taux allemands emboîteront le pas à leurs homologues américains, mais dans une moindre mesure. Par conséquent, le différentiel de rendement obligataire entre les États-Unis et l'Allemagne devrait s'accroître.</w:t>
      </w:r>
    </w:p>
    <w:p w:rsidR="001C2ABF" w:rsidRPr="001C2ABF" w:rsidRDefault="001C2ABF" w:rsidP="003A39E3">
      <w:pPr>
        <w:pStyle w:val="ListParagraph"/>
        <w:numPr>
          <w:ilvl w:val="0"/>
          <w:numId w:val="10"/>
        </w:numPr>
        <w:spacing w:after="120" w:line="240" w:lineRule="auto"/>
        <w:ind w:left="284" w:hanging="284"/>
        <w:contextualSpacing w:val="0"/>
        <w:rPr>
          <w:rFonts w:asciiTheme="minorHAnsi" w:hAnsiTheme="minorHAnsi" w:cs="Arial"/>
          <w:color w:val="002060"/>
          <w:lang w:val="fr-FR"/>
        </w:rPr>
      </w:pPr>
      <w:r w:rsidRPr="001C2ABF">
        <w:rPr>
          <w:rFonts w:asciiTheme="minorHAnsi" w:hAnsiTheme="minorHAnsi" w:cs="Arial"/>
          <w:color w:val="002060"/>
          <w:lang w:val="fr-FR"/>
        </w:rPr>
        <w:t xml:space="preserve">En dépit de la fragilité attendue des marchés émergents, nous estimons que 2016 sera une année de croissance économique soutenue aussi bien dans la zone euro qu’aux États-Unis,  pour les raisons fondamentales suivantes : robustesse de la demande intérieure, en particulier au niveau de la consommation des ménages, politique budgétaire légèrement accommodante et raffermissement de la croissance des investissements, notamment aux États-Unis. La croissance économique au sein de la zone euro sera en ligne avec le niveau enregistré en 2015, tandis que la croissance américaine pourrait quelque peu ralentir du fait d'un début 2016 marqué par une dynamique poussive, qui ne devrait selon nous pas perdurer. Faute de contribution significative du commerce international, la croissance sera essentiellement alimentée par la demande intérieure. Nous adoptons une attitude optimiste mais prudente à l’égard de la croissance en Belgique même si le taux de croissance en 2016 et en 2017 restera </w:t>
      </w:r>
      <w:r w:rsidRPr="001C2ABF">
        <w:rPr>
          <w:rFonts w:asciiTheme="minorHAnsi" w:hAnsiTheme="minorHAnsi" w:cs="Arial"/>
          <w:color w:val="002060"/>
          <w:lang w:val="fr-FR"/>
        </w:rPr>
        <w:lastRenderedPageBreak/>
        <w:t>probablement en deçà de celui de la zone euro, étant donné la persistance de l’austérité fiscale. En Europe centrale, la croissance du PIB perdra un peu de son élan en 2016, victime de la dissipation des impulsions données par les fonds de cohésion européens pour les investissements gouvernementaux. Le référendum du 23 juin 2016 sur le maintien ou non du Royaume-Uni au sein de l'UE constitue le principal risque à court terme. Si un vote en faveur du « </w:t>
      </w:r>
      <w:proofErr w:type="spellStart"/>
      <w:r w:rsidRPr="001C2ABF">
        <w:rPr>
          <w:rFonts w:asciiTheme="minorHAnsi" w:hAnsiTheme="minorHAnsi" w:cs="Arial"/>
          <w:color w:val="002060"/>
          <w:lang w:val="fr-FR"/>
        </w:rPr>
        <w:t>Brexit</w:t>
      </w:r>
      <w:proofErr w:type="spellEnd"/>
      <w:r w:rsidRPr="001C2ABF">
        <w:rPr>
          <w:rFonts w:asciiTheme="minorHAnsi" w:hAnsiTheme="minorHAnsi" w:cs="Arial"/>
          <w:color w:val="002060"/>
          <w:lang w:val="fr-FR"/>
        </w:rPr>
        <w:t xml:space="preserve"> » n'aurait dans l'immédiat qu'un impact « tangible » limité, l'incertitude en découlant pourrait fortement peser sur le sentiment en Europe et, partant, sur la reprise. Selon nous, un vote en ce sens serait un scénario </w:t>
      </w:r>
      <w:r w:rsidRPr="001C2ABF">
        <w:rPr>
          <w:rFonts w:asciiTheme="minorHAnsi" w:hAnsiTheme="minorHAnsi" w:cs="Arial"/>
          <w:i/>
          <w:color w:val="002060"/>
          <w:lang w:val="fr-FR"/>
        </w:rPr>
        <w:t xml:space="preserve">high impact </w:t>
      </w:r>
      <w:proofErr w:type="spellStart"/>
      <w:r w:rsidRPr="001C2ABF">
        <w:rPr>
          <w:rFonts w:asciiTheme="minorHAnsi" w:hAnsiTheme="minorHAnsi" w:cs="Arial"/>
          <w:i/>
          <w:color w:val="002060"/>
          <w:lang w:val="fr-FR"/>
        </w:rPr>
        <w:t>risk</w:t>
      </w:r>
      <w:proofErr w:type="spellEnd"/>
      <w:r w:rsidRPr="001C2ABF">
        <w:rPr>
          <w:rFonts w:asciiTheme="minorHAnsi" w:hAnsiTheme="minorHAnsi" w:cs="Arial"/>
          <w:color w:val="002060"/>
          <w:lang w:val="fr-FR"/>
        </w:rPr>
        <w:t xml:space="preserve">. </w:t>
      </w:r>
    </w:p>
    <w:p w:rsidR="001C2ABF" w:rsidRPr="007F4206" w:rsidRDefault="001C2ABF" w:rsidP="001C2ABF">
      <w:pPr>
        <w:tabs>
          <w:tab w:val="left" w:pos="5587"/>
        </w:tabs>
        <w:spacing w:after="120" w:line="240" w:lineRule="auto"/>
        <w:jc w:val="both"/>
        <w:rPr>
          <w:rFonts w:asciiTheme="minorHAnsi" w:hAnsiTheme="minorHAnsi"/>
          <w:color w:val="002060"/>
          <w:lang w:val="fr-FR"/>
        </w:rPr>
      </w:pPr>
    </w:p>
    <w:p w:rsidR="007F4206" w:rsidRPr="00725FA5" w:rsidRDefault="007F4206" w:rsidP="007F4206">
      <w:pPr>
        <w:rPr>
          <w:rFonts w:ascii="Rockwell" w:hAnsi="Rockwell"/>
          <w:color w:val="00B0F0"/>
          <w:sz w:val="10"/>
          <w:szCs w:val="10"/>
          <w:highlight w:val="darkGray"/>
          <w:lang w:val="fr-FR"/>
        </w:rPr>
      </w:pPr>
    </w:p>
    <w:p w:rsidR="007F4206" w:rsidRDefault="007F4206" w:rsidP="008C575A">
      <w:pPr>
        <w:autoSpaceDE w:val="0"/>
        <w:autoSpaceDN w:val="0"/>
        <w:adjustRightInd w:val="0"/>
        <w:spacing w:after="0" w:line="240" w:lineRule="auto"/>
        <w:ind w:right="4"/>
        <w:rPr>
          <w:rFonts w:ascii="Rockwell" w:hAnsi="Rockwell" w:cs="Arial"/>
          <w:b/>
          <w:bCs/>
          <w:color w:val="003768"/>
          <w:sz w:val="28"/>
          <w:szCs w:val="28"/>
          <w:lang w:val="fr-FR" w:eastAsia="nl-BE"/>
        </w:rPr>
      </w:pPr>
    </w:p>
    <w:p w:rsidR="001C2ABF" w:rsidRDefault="001C2ABF" w:rsidP="008C575A">
      <w:pPr>
        <w:autoSpaceDE w:val="0"/>
        <w:autoSpaceDN w:val="0"/>
        <w:adjustRightInd w:val="0"/>
        <w:spacing w:after="0" w:line="240" w:lineRule="auto"/>
        <w:ind w:right="4"/>
        <w:rPr>
          <w:rFonts w:ascii="Rockwell" w:hAnsi="Rockwell" w:cs="Arial"/>
          <w:b/>
          <w:bCs/>
          <w:color w:val="003768"/>
          <w:sz w:val="28"/>
          <w:szCs w:val="28"/>
          <w:lang w:val="fr-FR" w:eastAsia="nl-BE"/>
        </w:rPr>
      </w:pPr>
    </w:p>
    <w:p w:rsidR="001C2ABF" w:rsidRDefault="001C2ABF" w:rsidP="008C575A">
      <w:pPr>
        <w:autoSpaceDE w:val="0"/>
        <w:autoSpaceDN w:val="0"/>
        <w:adjustRightInd w:val="0"/>
        <w:spacing w:after="0" w:line="240" w:lineRule="auto"/>
        <w:ind w:right="4"/>
        <w:rPr>
          <w:rFonts w:ascii="Rockwell" w:hAnsi="Rockwell" w:cs="Arial"/>
          <w:b/>
          <w:bCs/>
          <w:color w:val="003768"/>
          <w:sz w:val="28"/>
          <w:szCs w:val="28"/>
          <w:lang w:val="fr-FR" w:eastAsia="nl-BE"/>
        </w:rPr>
      </w:pPr>
    </w:p>
    <w:p w:rsidR="001C2ABF" w:rsidRDefault="001C2ABF" w:rsidP="008C575A">
      <w:pPr>
        <w:autoSpaceDE w:val="0"/>
        <w:autoSpaceDN w:val="0"/>
        <w:adjustRightInd w:val="0"/>
        <w:spacing w:after="0" w:line="240" w:lineRule="auto"/>
        <w:ind w:right="4"/>
        <w:rPr>
          <w:rFonts w:ascii="Rockwell" w:hAnsi="Rockwell" w:cs="Arial"/>
          <w:b/>
          <w:bCs/>
          <w:color w:val="003768"/>
          <w:sz w:val="28"/>
          <w:szCs w:val="28"/>
          <w:lang w:val="fr-FR" w:eastAsia="nl-BE"/>
        </w:rPr>
      </w:pPr>
    </w:p>
    <w:p w:rsidR="001C2ABF" w:rsidRDefault="001C2ABF" w:rsidP="008C575A">
      <w:pPr>
        <w:autoSpaceDE w:val="0"/>
        <w:autoSpaceDN w:val="0"/>
        <w:adjustRightInd w:val="0"/>
        <w:spacing w:after="0" w:line="240" w:lineRule="auto"/>
        <w:ind w:right="4"/>
        <w:rPr>
          <w:rFonts w:ascii="Rockwell" w:hAnsi="Rockwell" w:cs="Arial"/>
          <w:b/>
          <w:bCs/>
          <w:color w:val="003768"/>
          <w:sz w:val="28"/>
          <w:szCs w:val="28"/>
          <w:lang w:val="fr-FR" w:eastAsia="nl-BE"/>
        </w:rPr>
      </w:pPr>
    </w:p>
    <w:p w:rsidR="001C2ABF" w:rsidRDefault="001C2ABF" w:rsidP="008C575A">
      <w:pPr>
        <w:autoSpaceDE w:val="0"/>
        <w:autoSpaceDN w:val="0"/>
        <w:adjustRightInd w:val="0"/>
        <w:spacing w:after="0" w:line="240" w:lineRule="auto"/>
        <w:ind w:right="4"/>
        <w:rPr>
          <w:rFonts w:ascii="Rockwell" w:hAnsi="Rockwell" w:cs="Arial"/>
          <w:b/>
          <w:bCs/>
          <w:color w:val="003768"/>
          <w:sz w:val="28"/>
          <w:szCs w:val="28"/>
          <w:lang w:val="fr-FR" w:eastAsia="nl-BE"/>
        </w:rPr>
      </w:pPr>
    </w:p>
    <w:p w:rsidR="001C2ABF" w:rsidRDefault="001C2ABF" w:rsidP="008C575A">
      <w:pPr>
        <w:autoSpaceDE w:val="0"/>
        <w:autoSpaceDN w:val="0"/>
        <w:adjustRightInd w:val="0"/>
        <w:spacing w:after="0" w:line="240" w:lineRule="auto"/>
        <w:ind w:right="4"/>
        <w:rPr>
          <w:rFonts w:ascii="Rockwell" w:hAnsi="Rockwell" w:cs="Arial"/>
          <w:b/>
          <w:bCs/>
          <w:color w:val="003768"/>
          <w:sz w:val="28"/>
          <w:szCs w:val="28"/>
          <w:lang w:val="fr-FR" w:eastAsia="nl-BE"/>
        </w:rPr>
      </w:pPr>
    </w:p>
    <w:p w:rsidR="001C2ABF" w:rsidRDefault="001C2ABF" w:rsidP="008C575A">
      <w:pPr>
        <w:autoSpaceDE w:val="0"/>
        <w:autoSpaceDN w:val="0"/>
        <w:adjustRightInd w:val="0"/>
        <w:spacing w:after="0" w:line="240" w:lineRule="auto"/>
        <w:ind w:right="4"/>
        <w:rPr>
          <w:rFonts w:ascii="Rockwell" w:hAnsi="Rockwell" w:cs="Arial"/>
          <w:b/>
          <w:bCs/>
          <w:color w:val="003768"/>
          <w:sz w:val="28"/>
          <w:szCs w:val="28"/>
          <w:lang w:val="fr-FR" w:eastAsia="nl-BE"/>
        </w:rPr>
      </w:pPr>
    </w:p>
    <w:p w:rsidR="001C2ABF" w:rsidRDefault="001C2ABF" w:rsidP="008C575A">
      <w:pPr>
        <w:autoSpaceDE w:val="0"/>
        <w:autoSpaceDN w:val="0"/>
        <w:adjustRightInd w:val="0"/>
        <w:spacing w:after="0" w:line="240" w:lineRule="auto"/>
        <w:ind w:right="4"/>
        <w:rPr>
          <w:rFonts w:ascii="Rockwell" w:hAnsi="Rockwell" w:cs="Arial"/>
          <w:b/>
          <w:bCs/>
          <w:color w:val="003768"/>
          <w:sz w:val="28"/>
          <w:szCs w:val="28"/>
          <w:lang w:val="fr-FR" w:eastAsia="nl-BE"/>
        </w:rPr>
      </w:pPr>
    </w:p>
    <w:p w:rsidR="001C2ABF" w:rsidRDefault="001C2ABF" w:rsidP="008C575A">
      <w:pPr>
        <w:autoSpaceDE w:val="0"/>
        <w:autoSpaceDN w:val="0"/>
        <w:adjustRightInd w:val="0"/>
        <w:spacing w:after="0" w:line="240" w:lineRule="auto"/>
        <w:ind w:right="4"/>
        <w:rPr>
          <w:rFonts w:ascii="Rockwell" w:hAnsi="Rockwell" w:cs="Arial"/>
          <w:b/>
          <w:bCs/>
          <w:color w:val="003768"/>
          <w:sz w:val="28"/>
          <w:szCs w:val="28"/>
          <w:lang w:val="fr-FR" w:eastAsia="nl-BE"/>
        </w:rPr>
      </w:pPr>
    </w:p>
    <w:p w:rsidR="001C2ABF" w:rsidRDefault="001C2ABF" w:rsidP="008C575A">
      <w:pPr>
        <w:autoSpaceDE w:val="0"/>
        <w:autoSpaceDN w:val="0"/>
        <w:adjustRightInd w:val="0"/>
        <w:spacing w:after="0" w:line="240" w:lineRule="auto"/>
        <w:ind w:right="4"/>
        <w:rPr>
          <w:rFonts w:ascii="Rockwell" w:hAnsi="Rockwell" w:cs="Arial"/>
          <w:b/>
          <w:bCs/>
          <w:color w:val="003768"/>
          <w:sz w:val="28"/>
          <w:szCs w:val="28"/>
          <w:lang w:val="fr-FR" w:eastAsia="nl-BE"/>
        </w:rPr>
      </w:pPr>
    </w:p>
    <w:p w:rsidR="001C2ABF" w:rsidRDefault="001C2ABF" w:rsidP="008C575A">
      <w:pPr>
        <w:autoSpaceDE w:val="0"/>
        <w:autoSpaceDN w:val="0"/>
        <w:adjustRightInd w:val="0"/>
        <w:spacing w:after="0" w:line="240" w:lineRule="auto"/>
        <w:ind w:right="4"/>
        <w:rPr>
          <w:rFonts w:ascii="Rockwell" w:hAnsi="Rockwell" w:cs="Arial"/>
          <w:b/>
          <w:bCs/>
          <w:color w:val="003768"/>
          <w:sz w:val="28"/>
          <w:szCs w:val="28"/>
          <w:lang w:val="fr-FR" w:eastAsia="nl-BE"/>
        </w:rPr>
      </w:pPr>
    </w:p>
    <w:p w:rsidR="001C2ABF" w:rsidRDefault="001C2ABF" w:rsidP="008C575A">
      <w:pPr>
        <w:autoSpaceDE w:val="0"/>
        <w:autoSpaceDN w:val="0"/>
        <w:adjustRightInd w:val="0"/>
        <w:spacing w:after="0" w:line="240" w:lineRule="auto"/>
        <w:ind w:right="4"/>
        <w:rPr>
          <w:rFonts w:ascii="Rockwell" w:hAnsi="Rockwell" w:cs="Arial"/>
          <w:b/>
          <w:bCs/>
          <w:color w:val="003768"/>
          <w:sz w:val="28"/>
          <w:szCs w:val="28"/>
          <w:lang w:val="fr-FR" w:eastAsia="nl-BE"/>
        </w:rPr>
      </w:pPr>
    </w:p>
    <w:p w:rsidR="00391543" w:rsidRDefault="00391543" w:rsidP="008C575A">
      <w:pPr>
        <w:autoSpaceDE w:val="0"/>
        <w:autoSpaceDN w:val="0"/>
        <w:adjustRightInd w:val="0"/>
        <w:spacing w:after="0" w:line="240" w:lineRule="auto"/>
        <w:ind w:right="4"/>
        <w:rPr>
          <w:rFonts w:ascii="Rockwell" w:hAnsi="Rockwell" w:cs="Arial"/>
          <w:b/>
          <w:bCs/>
          <w:color w:val="003768"/>
          <w:sz w:val="28"/>
          <w:szCs w:val="28"/>
          <w:lang w:val="fr-FR" w:eastAsia="nl-BE"/>
        </w:rPr>
      </w:pPr>
    </w:p>
    <w:p w:rsidR="00391543" w:rsidRDefault="00391543" w:rsidP="008C575A">
      <w:pPr>
        <w:autoSpaceDE w:val="0"/>
        <w:autoSpaceDN w:val="0"/>
        <w:adjustRightInd w:val="0"/>
        <w:spacing w:after="0" w:line="240" w:lineRule="auto"/>
        <w:ind w:right="4"/>
        <w:rPr>
          <w:rFonts w:ascii="Rockwell" w:hAnsi="Rockwell" w:cs="Arial"/>
          <w:b/>
          <w:bCs/>
          <w:color w:val="003768"/>
          <w:sz w:val="28"/>
          <w:szCs w:val="28"/>
          <w:lang w:val="fr-FR" w:eastAsia="nl-BE"/>
        </w:rPr>
      </w:pPr>
    </w:p>
    <w:p w:rsidR="007F4206" w:rsidRDefault="007F4206" w:rsidP="008C575A">
      <w:pPr>
        <w:autoSpaceDE w:val="0"/>
        <w:autoSpaceDN w:val="0"/>
        <w:adjustRightInd w:val="0"/>
        <w:spacing w:after="0" w:line="240" w:lineRule="auto"/>
        <w:ind w:right="4"/>
        <w:rPr>
          <w:rFonts w:ascii="Rockwell" w:hAnsi="Rockwell" w:cs="Arial"/>
          <w:b/>
          <w:bCs/>
          <w:color w:val="003768"/>
          <w:sz w:val="28"/>
          <w:szCs w:val="28"/>
          <w:lang w:val="fr-FR" w:eastAsia="nl-BE"/>
        </w:rPr>
      </w:pPr>
    </w:p>
    <w:p w:rsidR="007F4206" w:rsidRDefault="007F4206" w:rsidP="008C575A">
      <w:pPr>
        <w:autoSpaceDE w:val="0"/>
        <w:autoSpaceDN w:val="0"/>
        <w:adjustRightInd w:val="0"/>
        <w:spacing w:after="0" w:line="240" w:lineRule="auto"/>
        <w:ind w:right="4"/>
        <w:rPr>
          <w:rFonts w:ascii="Rockwell" w:hAnsi="Rockwell" w:cs="Arial"/>
          <w:b/>
          <w:bCs/>
          <w:color w:val="003768"/>
          <w:sz w:val="28"/>
          <w:szCs w:val="28"/>
          <w:lang w:val="fr-FR" w:eastAsia="nl-BE"/>
        </w:rPr>
      </w:pPr>
    </w:p>
    <w:p w:rsidR="003C1BF8" w:rsidRDefault="0077354C" w:rsidP="008C575A">
      <w:pPr>
        <w:autoSpaceDE w:val="0"/>
        <w:autoSpaceDN w:val="0"/>
        <w:adjustRightInd w:val="0"/>
        <w:spacing w:after="120" w:line="240" w:lineRule="auto"/>
        <w:ind w:right="4"/>
        <w:rPr>
          <w:rFonts w:ascii="Rockwell" w:hAnsi="Rockwell" w:cs="Arial"/>
          <w:b/>
          <w:bCs/>
          <w:color w:val="003768"/>
          <w:sz w:val="24"/>
          <w:szCs w:val="24"/>
          <w:lang w:val="fr-FR" w:eastAsia="nl-BE"/>
        </w:rPr>
      </w:pPr>
      <w:r w:rsidRPr="00D57A50">
        <w:rPr>
          <w:rFonts w:ascii="Rockwell" w:hAnsi="Rockwell" w:cs="Arial"/>
          <w:b/>
          <w:bCs/>
          <w:color w:val="003768"/>
          <w:sz w:val="24"/>
          <w:szCs w:val="24"/>
          <w:lang w:val="fr-FR" w:eastAsia="nl-BE"/>
        </w:rPr>
        <w:t>Pour tout complément d’</w:t>
      </w:r>
      <w:r w:rsidR="003C1BF8">
        <w:rPr>
          <w:rFonts w:ascii="Rockwell" w:hAnsi="Rockwell" w:cs="Arial"/>
          <w:b/>
          <w:bCs/>
          <w:color w:val="003768"/>
          <w:sz w:val="24"/>
          <w:szCs w:val="24"/>
          <w:lang w:val="fr-FR" w:eastAsia="nl-BE"/>
        </w:rPr>
        <w:t xml:space="preserve">information, veuillez contacter </w:t>
      </w:r>
      <w:r w:rsidRPr="00D57A50">
        <w:rPr>
          <w:rFonts w:ascii="Rockwell" w:hAnsi="Rockwell" w:cs="Arial"/>
          <w:b/>
          <w:bCs/>
          <w:color w:val="003768"/>
          <w:sz w:val="24"/>
          <w:szCs w:val="24"/>
          <w:lang w:val="fr-FR" w:eastAsia="nl-BE"/>
        </w:rPr>
        <w:t>:</w:t>
      </w:r>
    </w:p>
    <w:p w:rsidR="0077354C" w:rsidRPr="003C1BF8" w:rsidRDefault="0077354C" w:rsidP="008C575A">
      <w:pPr>
        <w:autoSpaceDE w:val="0"/>
        <w:autoSpaceDN w:val="0"/>
        <w:adjustRightInd w:val="0"/>
        <w:spacing w:after="0" w:line="240" w:lineRule="auto"/>
        <w:ind w:right="4"/>
        <w:rPr>
          <w:rFonts w:ascii="Rockwell" w:hAnsi="Rockwell" w:cs="Arial"/>
          <w:b/>
          <w:bCs/>
          <w:color w:val="003768"/>
          <w:sz w:val="24"/>
          <w:szCs w:val="24"/>
          <w:lang w:val="fr-FR" w:eastAsia="nl-BE"/>
        </w:rPr>
      </w:pPr>
      <w:r w:rsidRPr="00D57A50">
        <w:rPr>
          <w:color w:val="003768"/>
          <w:sz w:val="24"/>
          <w:szCs w:val="24"/>
          <w:lang w:val="fr-FR" w:eastAsia="nl-BE"/>
        </w:rPr>
        <w:t xml:space="preserve">Wim Allegaert, Directeur </w:t>
      </w:r>
      <w:proofErr w:type="spellStart"/>
      <w:r w:rsidRPr="00D57A50">
        <w:rPr>
          <w:color w:val="003768"/>
          <w:sz w:val="24"/>
          <w:szCs w:val="24"/>
          <w:lang w:val="fr-FR" w:eastAsia="nl-BE"/>
        </w:rPr>
        <w:t>Investor</w:t>
      </w:r>
      <w:proofErr w:type="spellEnd"/>
      <w:r w:rsidRPr="00D57A50">
        <w:rPr>
          <w:color w:val="003768"/>
          <w:sz w:val="24"/>
          <w:szCs w:val="24"/>
          <w:lang w:val="fr-FR" w:eastAsia="nl-BE"/>
        </w:rPr>
        <w:t xml:space="preserve"> Relations, KBC Groupe</w:t>
      </w:r>
    </w:p>
    <w:p w:rsidR="00D57A50" w:rsidRPr="00001188" w:rsidRDefault="0077354C" w:rsidP="008C575A">
      <w:pPr>
        <w:pStyle w:val="NoSpacing"/>
        <w:spacing w:after="120"/>
        <w:rPr>
          <w:sz w:val="24"/>
          <w:szCs w:val="24"/>
          <w:lang w:val="fr-FR"/>
        </w:rPr>
      </w:pPr>
      <w:r w:rsidRPr="00001188">
        <w:rPr>
          <w:color w:val="003768"/>
          <w:sz w:val="24"/>
          <w:szCs w:val="24"/>
          <w:lang w:val="fr-FR"/>
        </w:rPr>
        <w:t>Tel +32 2 429 50 51  - E-mail :</w:t>
      </w:r>
      <w:r w:rsidRPr="00001188">
        <w:rPr>
          <w:sz w:val="24"/>
          <w:szCs w:val="24"/>
          <w:lang w:val="fr-FR"/>
        </w:rPr>
        <w:t xml:space="preserve"> </w:t>
      </w:r>
      <w:hyperlink r:id="rId13" w:history="1">
        <w:r w:rsidRPr="00001188">
          <w:rPr>
            <w:rStyle w:val="Hyperlink"/>
            <w:rFonts w:cs="Arial"/>
            <w:color w:val="00AEEF"/>
            <w:sz w:val="24"/>
            <w:szCs w:val="24"/>
            <w:lang w:val="fr-FR"/>
          </w:rPr>
          <w:t>wim.allegaert@kbc.be</w:t>
        </w:r>
      </w:hyperlink>
    </w:p>
    <w:p w:rsidR="0077354C" w:rsidRPr="00D57A50" w:rsidRDefault="0077354C" w:rsidP="008C575A">
      <w:pPr>
        <w:pStyle w:val="NoSpacing"/>
        <w:rPr>
          <w:color w:val="00AEEF"/>
          <w:sz w:val="24"/>
          <w:szCs w:val="24"/>
          <w:lang w:val="fr-FR"/>
        </w:rPr>
      </w:pPr>
      <w:r w:rsidRPr="00D57A50">
        <w:rPr>
          <w:rFonts w:cs="Arial"/>
          <w:color w:val="003768"/>
          <w:sz w:val="24"/>
          <w:szCs w:val="24"/>
          <w:lang w:val="fr-FR" w:eastAsia="nl-BE"/>
        </w:rPr>
        <w:t xml:space="preserve">Viviane Huybrecht, Directeur Communication </w:t>
      </w:r>
      <w:proofErr w:type="spellStart"/>
      <w:r w:rsidRPr="00D57A50">
        <w:rPr>
          <w:rFonts w:cs="Arial"/>
          <w:color w:val="003768"/>
          <w:sz w:val="24"/>
          <w:szCs w:val="24"/>
          <w:lang w:val="fr-FR" w:eastAsia="nl-BE"/>
        </w:rPr>
        <w:t>Corporate</w:t>
      </w:r>
      <w:proofErr w:type="spellEnd"/>
      <w:r w:rsidRPr="00D57A50">
        <w:rPr>
          <w:rFonts w:cs="Arial"/>
          <w:color w:val="003768"/>
          <w:sz w:val="24"/>
          <w:szCs w:val="24"/>
          <w:lang w:val="fr-FR" w:eastAsia="nl-BE"/>
        </w:rPr>
        <w:t xml:space="preserve"> / Porte-parole KBC Groupe</w:t>
      </w:r>
    </w:p>
    <w:p w:rsidR="0077354C" w:rsidRPr="00D57A50" w:rsidRDefault="0077354C" w:rsidP="008C575A">
      <w:pPr>
        <w:autoSpaceDE w:val="0"/>
        <w:autoSpaceDN w:val="0"/>
        <w:adjustRightInd w:val="0"/>
        <w:spacing w:after="0" w:line="240" w:lineRule="auto"/>
        <w:ind w:right="4"/>
        <w:rPr>
          <w:rFonts w:cs="Arial"/>
          <w:sz w:val="24"/>
          <w:szCs w:val="24"/>
          <w:lang w:val="de-DE"/>
        </w:rPr>
      </w:pPr>
      <w:r w:rsidRPr="00D57A50">
        <w:rPr>
          <w:rFonts w:cs="Arial"/>
          <w:color w:val="003768"/>
          <w:sz w:val="24"/>
          <w:szCs w:val="24"/>
          <w:lang w:val="de-DE"/>
        </w:rPr>
        <w:t xml:space="preserve">Tel +32 2 429 85 45  - </w:t>
      </w:r>
      <w:proofErr w:type="spellStart"/>
      <w:r w:rsidRPr="00D57A50">
        <w:rPr>
          <w:rFonts w:cs="Arial"/>
          <w:color w:val="003768"/>
          <w:sz w:val="24"/>
          <w:szCs w:val="24"/>
          <w:lang w:val="de-DE"/>
        </w:rPr>
        <w:t>E-mail</w:t>
      </w:r>
      <w:proofErr w:type="spellEnd"/>
      <w:r w:rsidRPr="00D57A50">
        <w:rPr>
          <w:rFonts w:cs="Arial"/>
          <w:color w:val="003768"/>
          <w:sz w:val="24"/>
          <w:szCs w:val="24"/>
          <w:lang w:val="de-DE"/>
        </w:rPr>
        <w:t xml:space="preserve"> :</w:t>
      </w:r>
      <w:r w:rsidRPr="00D57A50">
        <w:rPr>
          <w:rFonts w:cs="Arial"/>
          <w:sz w:val="24"/>
          <w:szCs w:val="24"/>
          <w:lang w:val="de-DE"/>
        </w:rPr>
        <w:t xml:space="preserve"> </w:t>
      </w:r>
      <w:hyperlink r:id="rId14" w:history="1">
        <w:r w:rsidRPr="00D57A50">
          <w:rPr>
            <w:rStyle w:val="Hyperlink"/>
            <w:rFonts w:cs="Arial"/>
            <w:color w:val="00AEEF"/>
            <w:sz w:val="24"/>
            <w:szCs w:val="24"/>
            <w:lang w:val="de-DE"/>
          </w:rPr>
          <w:t>pressofficekbc@kbc.be</w:t>
        </w:r>
      </w:hyperlink>
    </w:p>
    <w:p w:rsidR="0077354C" w:rsidRDefault="0077354C" w:rsidP="008C575A">
      <w:pPr>
        <w:autoSpaceDE w:val="0"/>
        <w:autoSpaceDN w:val="0"/>
        <w:adjustRightInd w:val="0"/>
        <w:spacing w:after="0" w:line="240" w:lineRule="auto"/>
        <w:ind w:right="4"/>
        <w:rPr>
          <w:rFonts w:cs="Arial"/>
          <w:lang w:val="de-DE"/>
        </w:rPr>
      </w:pPr>
    </w:p>
    <w:p w:rsidR="001C2ABF" w:rsidRDefault="001C2ABF" w:rsidP="008C575A">
      <w:pPr>
        <w:autoSpaceDE w:val="0"/>
        <w:autoSpaceDN w:val="0"/>
        <w:adjustRightInd w:val="0"/>
        <w:spacing w:after="0" w:line="240" w:lineRule="auto"/>
        <w:ind w:right="4"/>
        <w:rPr>
          <w:rFonts w:cs="Arial"/>
          <w:lang w:val="de-DE"/>
        </w:rPr>
      </w:pPr>
    </w:p>
    <w:p w:rsidR="001C2ABF" w:rsidRPr="0077354C" w:rsidRDefault="001C2ABF" w:rsidP="001C2ABF">
      <w:pPr>
        <w:pStyle w:val="NoSpacing"/>
        <w:rPr>
          <w:lang w:val="de-DE"/>
        </w:rPr>
      </w:pPr>
      <w:r>
        <w:rPr>
          <w:noProof/>
          <w:lang w:val="nl-BE" w:eastAsia="nl-BE"/>
        </w:rPr>
        <mc:AlternateContent>
          <mc:Choice Requires="wps">
            <w:drawing>
              <wp:anchor distT="0" distB="0" distL="114300" distR="114300" simplePos="0" relativeHeight="251663360" behindDoc="0" locked="0" layoutInCell="1" allowOverlap="1">
                <wp:simplePos x="0" y="0"/>
                <wp:positionH relativeFrom="column">
                  <wp:posOffset>652145</wp:posOffset>
                </wp:positionH>
                <wp:positionV relativeFrom="paragraph">
                  <wp:posOffset>111760</wp:posOffset>
                </wp:positionV>
                <wp:extent cx="6134735" cy="219710"/>
                <wp:effectExtent l="4445" t="0" r="4445"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C2ABF" w:rsidRPr="006917E1" w:rsidRDefault="001C2ABF" w:rsidP="001C2ABF"/>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51.35pt;margin-top:8.8pt;width:483.05pt;height:1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" filled="f" stroked="f" strokeweight=".25pt">
                <v:textbox inset="0,0,0,0">
                  <w:txbxContent>
                    <w:p w:rsidR="001C2ABF" w:rsidRPr="006917E1" w:rsidRDefault="001C2ABF" w:rsidP="001C2ABF"/>
                  </w:txbxContent>
                </v:textbox>
              </v:shape>
            </w:pict>
          </mc:Fallback>
        </mc:AlternateContent>
      </w:r>
    </w:p>
    <w:tbl>
      <w:tblPr>
        <w:tblpPr w:leftFromText="141" w:rightFromText="141" w:vertAnchor="text" w:horzAnchor="margin" w:tblpXSpec="center" w:tblpY="596"/>
        <w:tblW w:w="9780" w:type="dxa"/>
        <w:tblBorders>
          <w:top w:val="single" w:sz="2" w:space="0" w:color="00B0F0"/>
          <w:bottom w:val="single" w:sz="2" w:space="0" w:color="00B0F0"/>
          <w:insideH w:val="single" w:sz="2" w:space="0" w:color="00B0F0"/>
        </w:tblBorders>
        <w:tblCellMar>
          <w:left w:w="0" w:type="dxa"/>
          <w:right w:w="0" w:type="dxa"/>
        </w:tblCellMar>
        <w:tblLook w:val="04A0" w:firstRow="1" w:lastRow="0" w:firstColumn="1" w:lastColumn="0" w:noHBand="0" w:noVBand="1"/>
      </w:tblPr>
      <w:tblGrid>
        <w:gridCol w:w="3400"/>
        <w:gridCol w:w="3400"/>
        <w:gridCol w:w="2980"/>
      </w:tblGrid>
      <w:tr w:rsidR="001C2ABF" w:rsidRPr="003B66AD" w:rsidTr="001C2ABF">
        <w:trPr>
          <w:trHeight w:val="356"/>
        </w:trPr>
        <w:tc>
          <w:tcPr>
            <w:tcW w:w="9780" w:type="dxa"/>
            <w:gridSpan w:val="3"/>
            <w:shd w:val="clear" w:color="auto" w:fill="FFFFFF"/>
            <w:tcMar>
              <w:top w:w="15" w:type="dxa"/>
              <w:left w:w="15" w:type="dxa"/>
              <w:bottom w:w="0" w:type="dxa"/>
              <w:right w:w="15" w:type="dxa"/>
            </w:tcMar>
            <w:vAlign w:val="center"/>
            <w:hideMark/>
          </w:tcPr>
          <w:p w:rsidR="001C2ABF" w:rsidRPr="001C2ABF" w:rsidRDefault="001C2ABF" w:rsidP="001C2ABF">
            <w:pPr>
              <w:autoSpaceDE w:val="0"/>
              <w:autoSpaceDN w:val="0"/>
              <w:adjustRightInd w:val="0"/>
              <w:spacing w:after="0" w:line="240" w:lineRule="auto"/>
              <w:rPr>
                <w:b/>
                <w:bCs/>
                <w:color w:val="003768"/>
                <w:sz w:val="18"/>
                <w:szCs w:val="18"/>
                <w:lang w:val="fr-FR"/>
              </w:rPr>
            </w:pPr>
            <w:r w:rsidRPr="00EF1A60">
              <w:rPr>
                <w:rFonts w:ascii="Rockwell" w:hAnsi="Rockwell" w:cs="Rockwell"/>
                <w:color w:val="003768"/>
                <w:sz w:val="18"/>
                <w:szCs w:val="18"/>
                <w:lang w:val="fr-FR" w:eastAsia="nl-BE"/>
              </w:rPr>
              <w:t>* Ce communiqué contient des informations soumises à la réglementation sur la transparence des entreprises cotées en Bourse.</w:t>
            </w:r>
          </w:p>
        </w:tc>
      </w:tr>
      <w:tr w:rsidR="001C2ABF" w:rsidRPr="003B66AD" w:rsidTr="001C2ABF">
        <w:trPr>
          <w:trHeight w:val="913"/>
        </w:trPr>
        <w:tc>
          <w:tcPr>
            <w:tcW w:w="3400" w:type="dxa"/>
            <w:shd w:val="clear" w:color="auto" w:fill="FFFFFF"/>
            <w:tcMar>
              <w:top w:w="15" w:type="dxa"/>
              <w:left w:w="15" w:type="dxa"/>
              <w:bottom w:w="0" w:type="dxa"/>
              <w:right w:w="15" w:type="dxa"/>
            </w:tcMar>
            <w:hideMark/>
          </w:tcPr>
          <w:p w:rsidR="001C2ABF" w:rsidRPr="001C2ABF" w:rsidRDefault="001C2ABF" w:rsidP="001C2ABF">
            <w:pPr>
              <w:pStyle w:val="Footer"/>
              <w:tabs>
                <w:tab w:val="bar" w:pos="-2709"/>
              </w:tabs>
              <w:rPr>
                <w:bCs/>
                <w:color w:val="00B0F0"/>
                <w:sz w:val="4"/>
                <w:szCs w:val="4"/>
                <w:lang w:val="fr-FR"/>
              </w:rPr>
            </w:pPr>
          </w:p>
          <w:p w:rsidR="001C2ABF" w:rsidRPr="00D01FB0" w:rsidRDefault="001C2ABF" w:rsidP="001C2ABF">
            <w:pPr>
              <w:pStyle w:val="Footer"/>
              <w:tabs>
                <w:tab w:val="bar" w:pos="-2709"/>
              </w:tabs>
              <w:rPr>
                <w:rFonts w:ascii="Rockwell" w:hAnsi="Rockwell"/>
                <w:color w:val="00B0F0"/>
                <w:sz w:val="18"/>
                <w:szCs w:val="18"/>
                <w:lang w:val="fr-FR"/>
              </w:rPr>
            </w:pPr>
            <w:r>
              <w:rPr>
                <w:rFonts w:ascii="Rockwell" w:hAnsi="Rockwell"/>
                <w:b/>
                <w:bCs/>
                <w:color w:val="00B0F0"/>
                <w:sz w:val="18"/>
                <w:szCs w:val="18"/>
                <w:lang w:val="fr-FR"/>
              </w:rPr>
              <w:t>KBC Grou</w:t>
            </w:r>
            <w:r w:rsidRPr="00D01FB0">
              <w:rPr>
                <w:rFonts w:ascii="Rockwell" w:hAnsi="Rockwell"/>
                <w:b/>
                <w:bCs/>
                <w:color w:val="00B0F0"/>
                <w:sz w:val="18"/>
                <w:szCs w:val="18"/>
                <w:lang w:val="fr-FR"/>
              </w:rPr>
              <w:t>p</w:t>
            </w:r>
            <w:r>
              <w:rPr>
                <w:rFonts w:ascii="Rockwell" w:hAnsi="Rockwell"/>
                <w:b/>
                <w:bCs/>
                <w:color w:val="00B0F0"/>
                <w:sz w:val="18"/>
                <w:szCs w:val="18"/>
                <w:lang w:val="fr-FR"/>
              </w:rPr>
              <w:t>e</w:t>
            </w:r>
            <w:r w:rsidRPr="00D01FB0">
              <w:rPr>
                <w:rFonts w:ascii="Rockwell" w:hAnsi="Rockwell"/>
                <w:b/>
                <w:bCs/>
                <w:color w:val="00B0F0"/>
                <w:sz w:val="18"/>
                <w:szCs w:val="18"/>
                <w:lang w:val="fr-FR"/>
              </w:rPr>
              <w:t xml:space="preserve"> </w:t>
            </w:r>
            <w:r>
              <w:rPr>
                <w:rFonts w:ascii="Rockwell" w:hAnsi="Rockwell"/>
                <w:b/>
                <w:bCs/>
                <w:color w:val="00B0F0"/>
                <w:sz w:val="18"/>
                <w:szCs w:val="18"/>
                <w:lang w:val="fr-FR"/>
              </w:rPr>
              <w:t>SA</w:t>
            </w:r>
          </w:p>
          <w:p w:rsidR="001C2ABF" w:rsidRPr="001E36E6" w:rsidRDefault="001C2ABF" w:rsidP="001C2ABF">
            <w:pPr>
              <w:pStyle w:val="Footer"/>
              <w:tabs>
                <w:tab w:val="bar" w:pos="-2709"/>
              </w:tabs>
              <w:rPr>
                <w:color w:val="002060"/>
                <w:sz w:val="14"/>
                <w:szCs w:val="14"/>
                <w:lang w:val="fr-FR"/>
              </w:rPr>
            </w:pPr>
            <w:r w:rsidRPr="001E36E6">
              <w:rPr>
                <w:rFonts w:cs="Arial"/>
                <w:b/>
                <w:bCs/>
                <w:color w:val="003768"/>
                <w:sz w:val="14"/>
                <w:szCs w:val="14"/>
                <w:lang w:val="fr-FR" w:eastAsia="nl-BE"/>
              </w:rPr>
              <w:t>Av. Du Port 2</w:t>
            </w:r>
            <w:r w:rsidRPr="001E36E6">
              <w:rPr>
                <w:b/>
                <w:bCs/>
                <w:color w:val="002060"/>
                <w:sz w:val="14"/>
                <w:szCs w:val="14"/>
                <w:lang w:val="fr-FR"/>
              </w:rPr>
              <w:t xml:space="preserve"> – 1080 Bruxelles</w:t>
            </w:r>
          </w:p>
          <w:p w:rsidR="001C2ABF" w:rsidRPr="001E36E6" w:rsidRDefault="001C2ABF" w:rsidP="001C2ABF">
            <w:pPr>
              <w:pStyle w:val="Footer"/>
              <w:tabs>
                <w:tab w:val="bar" w:pos="-2709"/>
              </w:tabs>
              <w:rPr>
                <w:color w:val="002060"/>
                <w:sz w:val="14"/>
                <w:szCs w:val="14"/>
                <w:lang w:val="fr-FR"/>
              </w:rPr>
            </w:pPr>
            <w:r w:rsidRPr="001E36E6">
              <w:rPr>
                <w:b/>
                <w:bCs/>
                <w:color w:val="002060"/>
                <w:sz w:val="14"/>
                <w:szCs w:val="14"/>
                <w:lang w:val="fr-FR"/>
              </w:rPr>
              <w:t>Viviane Huybrecht</w:t>
            </w:r>
          </w:p>
          <w:p w:rsidR="001C2ABF" w:rsidRPr="00340775" w:rsidRDefault="001C2ABF" w:rsidP="001C2ABF">
            <w:pPr>
              <w:autoSpaceDE w:val="0"/>
              <w:autoSpaceDN w:val="0"/>
              <w:adjustRightInd w:val="0"/>
              <w:spacing w:after="0" w:line="240" w:lineRule="auto"/>
              <w:rPr>
                <w:rFonts w:cs="Arial"/>
                <w:b/>
                <w:color w:val="003768"/>
                <w:sz w:val="14"/>
                <w:szCs w:val="14"/>
                <w:lang w:val="fr-FR" w:eastAsia="nl-BE"/>
              </w:rPr>
            </w:pPr>
            <w:r>
              <w:rPr>
                <w:rFonts w:cs="Arial"/>
                <w:b/>
                <w:color w:val="003768"/>
                <w:sz w:val="14"/>
                <w:szCs w:val="14"/>
                <w:lang w:val="fr-FR" w:eastAsia="nl-BE"/>
              </w:rPr>
              <w:t>D</w:t>
            </w:r>
            <w:r w:rsidRPr="00340775">
              <w:rPr>
                <w:rFonts w:cs="Arial"/>
                <w:b/>
                <w:color w:val="003768"/>
                <w:sz w:val="14"/>
                <w:szCs w:val="14"/>
                <w:lang w:val="fr-FR" w:eastAsia="nl-BE"/>
              </w:rPr>
              <w:t>irecteur</w:t>
            </w:r>
          </w:p>
          <w:p w:rsidR="001C2ABF" w:rsidRPr="00340775" w:rsidRDefault="001C2ABF" w:rsidP="001C2ABF">
            <w:pPr>
              <w:autoSpaceDE w:val="0"/>
              <w:autoSpaceDN w:val="0"/>
              <w:adjustRightInd w:val="0"/>
              <w:spacing w:after="0" w:line="240" w:lineRule="auto"/>
              <w:rPr>
                <w:rFonts w:cs="Arial"/>
                <w:b/>
                <w:color w:val="003768"/>
                <w:sz w:val="14"/>
                <w:szCs w:val="14"/>
                <w:lang w:val="fr-FR" w:eastAsia="nl-BE"/>
              </w:rPr>
            </w:pPr>
            <w:r>
              <w:rPr>
                <w:rFonts w:cs="Arial"/>
                <w:b/>
                <w:color w:val="003768"/>
                <w:sz w:val="14"/>
                <w:szCs w:val="14"/>
                <w:lang w:val="fr-FR" w:eastAsia="nl-BE"/>
              </w:rPr>
              <w:t xml:space="preserve">Communication </w:t>
            </w:r>
            <w:proofErr w:type="spellStart"/>
            <w:r>
              <w:rPr>
                <w:rFonts w:cs="Arial"/>
                <w:b/>
                <w:color w:val="003768"/>
                <w:sz w:val="14"/>
                <w:szCs w:val="14"/>
                <w:lang w:val="fr-FR" w:eastAsia="nl-BE"/>
              </w:rPr>
              <w:t>Corporate</w:t>
            </w:r>
            <w:proofErr w:type="spellEnd"/>
            <w:r>
              <w:rPr>
                <w:rFonts w:cs="Arial"/>
                <w:b/>
                <w:color w:val="003768"/>
                <w:sz w:val="14"/>
                <w:szCs w:val="14"/>
                <w:lang w:val="fr-FR" w:eastAsia="nl-BE"/>
              </w:rPr>
              <w:t>/</w:t>
            </w:r>
            <w:r w:rsidRPr="00340775">
              <w:rPr>
                <w:rFonts w:cs="Arial"/>
                <w:b/>
                <w:color w:val="003768"/>
                <w:sz w:val="14"/>
                <w:szCs w:val="14"/>
                <w:lang w:val="fr-FR" w:eastAsia="nl-BE"/>
              </w:rPr>
              <w:t xml:space="preserve"> </w:t>
            </w:r>
          </w:p>
          <w:p w:rsidR="001C2ABF" w:rsidRPr="00340775" w:rsidRDefault="001C2ABF" w:rsidP="001C2ABF">
            <w:pPr>
              <w:pStyle w:val="Footer"/>
              <w:tabs>
                <w:tab w:val="bar" w:pos="-2709"/>
              </w:tabs>
              <w:rPr>
                <w:rFonts w:cs="Arial"/>
                <w:b/>
                <w:color w:val="003768"/>
                <w:sz w:val="14"/>
                <w:szCs w:val="14"/>
                <w:lang w:val="fr-FR" w:eastAsia="nl-BE"/>
              </w:rPr>
            </w:pPr>
            <w:r w:rsidRPr="00340775">
              <w:rPr>
                <w:rFonts w:cs="Arial"/>
                <w:b/>
                <w:color w:val="003768"/>
                <w:sz w:val="14"/>
                <w:szCs w:val="14"/>
                <w:lang w:val="fr-FR" w:eastAsia="nl-BE"/>
              </w:rPr>
              <w:t>Porte-parole</w:t>
            </w:r>
          </w:p>
          <w:p w:rsidR="001C2ABF" w:rsidRPr="00D01FB0" w:rsidRDefault="001C2ABF" w:rsidP="001C2ABF">
            <w:pPr>
              <w:pStyle w:val="Footer"/>
              <w:tabs>
                <w:tab w:val="bar" w:pos="-2709"/>
              </w:tabs>
              <w:rPr>
                <w:b/>
                <w:bCs/>
                <w:color w:val="002060"/>
                <w:sz w:val="14"/>
                <w:szCs w:val="14"/>
                <w:lang w:val="fr-FR"/>
              </w:rPr>
            </w:pPr>
            <w:r w:rsidRPr="00D01FB0">
              <w:rPr>
                <w:b/>
                <w:bCs/>
                <w:color w:val="002060"/>
                <w:sz w:val="14"/>
                <w:szCs w:val="14"/>
                <w:lang w:val="fr-FR"/>
              </w:rPr>
              <w:t>Tel. +32 2 429 85 45</w:t>
            </w:r>
          </w:p>
          <w:p w:rsidR="001C2ABF" w:rsidRPr="00D01FB0" w:rsidRDefault="001C2ABF" w:rsidP="001C2ABF">
            <w:pPr>
              <w:pStyle w:val="Footer"/>
              <w:tabs>
                <w:tab w:val="bar" w:pos="-2709"/>
              </w:tabs>
              <w:rPr>
                <w:b/>
                <w:bCs/>
                <w:color w:val="002060"/>
                <w:sz w:val="4"/>
                <w:szCs w:val="4"/>
                <w:lang w:val="fr-FR"/>
              </w:rPr>
            </w:pPr>
          </w:p>
        </w:tc>
        <w:tc>
          <w:tcPr>
            <w:tcW w:w="3400" w:type="dxa"/>
            <w:shd w:val="clear" w:color="auto" w:fill="FFFFFF"/>
            <w:tcMar>
              <w:top w:w="15" w:type="dxa"/>
              <w:left w:w="15" w:type="dxa"/>
              <w:bottom w:w="0" w:type="dxa"/>
              <w:right w:w="15" w:type="dxa"/>
            </w:tcMar>
            <w:hideMark/>
          </w:tcPr>
          <w:p w:rsidR="001C2ABF" w:rsidRPr="00D01FB0" w:rsidRDefault="001C2ABF" w:rsidP="001C2ABF">
            <w:pPr>
              <w:pStyle w:val="Footer"/>
              <w:tabs>
                <w:tab w:val="bar" w:pos="-2709"/>
              </w:tabs>
              <w:rPr>
                <w:b/>
                <w:bCs/>
                <w:color w:val="002060"/>
                <w:sz w:val="4"/>
                <w:szCs w:val="4"/>
                <w:lang w:val="fr-FR"/>
              </w:rPr>
            </w:pPr>
          </w:p>
          <w:p w:rsidR="001C2ABF" w:rsidRPr="00D01FB0" w:rsidRDefault="001C2ABF" w:rsidP="001C2ABF">
            <w:pPr>
              <w:pStyle w:val="Footer"/>
              <w:tabs>
                <w:tab w:val="bar" w:pos="-2709"/>
              </w:tabs>
              <w:rPr>
                <w:rFonts w:ascii="Rockwell" w:hAnsi="Rockwell"/>
                <w:b/>
                <w:bCs/>
                <w:color w:val="002060"/>
                <w:sz w:val="18"/>
                <w:szCs w:val="18"/>
                <w:lang w:val="fr-FR"/>
              </w:rPr>
            </w:pPr>
          </w:p>
          <w:p w:rsidR="001C2ABF" w:rsidRPr="00D01FB0" w:rsidRDefault="001C2ABF" w:rsidP="001C2ABF">
            <w:pPr>
              <w:pStyle w:val="Footer"/>
              <w:tabs>
                <w:tab w:val="bar" w:pos="-2709"/>
              </w:tabs>
              <w:rPr>
                <w:rFonts w:cs="Arial"/>
                <w:b/>
                <w:color w:val="003768"/>
                <w:sz w:val="14"/>
                <w:szCs w:val="14"/>
                <w:lang w:val="fr-FR" w:eastAsia="nl-BE"/>
              </w:rPr>
            </w:pPr>
            <w:r w:rsidRPr="00D01FB0">
              <w:rPr>
                <w:rFonts w:cs="Arial"/>
                <w:b/>
                <w:color w:val="003768"/>
                <w:sz w:val="14"/>
                <w:szCs w:val="14"/>
                <w:lang w:val="fr-FR" w:eastAsia="nl-BE"/>
              </w:rPr>
              <w:t>Service Presse</w:t>
            </w:r>
          </w:p>
          <w:p w:rsidR="001C2ABF" w:rsidRPr="00D01FB0" w:rsidRDefault="001C2ABF" w:rsidP="001C2ABF">
            <w:pPr>
              <w:pStyle w:val="Footer"/>
              <w:tabs>
                <w:tab w:val="bar" w:pos="-2709"/>
              </w:tabs>
              <w:rPr>
                <w:color w:val="002060"/>
                <w:sz w:val="14"/>
                <w:szCs w:val="14"/>
                <w:lang w:val="fr-FR"/>
              </w:rPr>
            </w:pPr>
            <w:r w:rsidRPr="00D01FB0">
              <w:rPr>
                <w:b/>
                <w:bCs/>
                <w:color w:val="002060"/>
                <w:sz w:val="14"/>
                <w:szCs w:val="14"/>
                <w:lang w:val="fr-FR"/>
              </w:rPr>
              <w:t>Tel. +32 2 429 65 01</w:t>
            </w:r>
            <w:r>
              <w:rPr>
                <w:b/>
                <w:bCs/>
                <w:color w:val="002060"/>
                <w:sz w:val="14"/>
                <w:szCs w:val="14"/>
                <w:lang w:val="fr-FR"/>
              </w:rPr>
              <w:t xml:space="preserve"> Stef Leunens</w:t>
            </w:r>
          </w:p>
          <w:p w:rsidR="001C2ABF" w:rsidRPr="00C608CE" w:rsidRDefault="001C2ABF" w:rsidP="001C2ABF">
            <w:pPr>
              <w:pStyle w:val="Footer"/>
              <w:tabs>
                <w:tab w:val="bar" w:pos="-2709"/>
              </w:tabs>
              <w:rPr>
                <w:b/>
                <w:bCs/>
                <w:color w:val="002060"/>
                <w:sz w:val="14"/>
                <w:szCs w:val="14"/>
                <w:lang w:val="fr-FR"/>
              </w:rPr>
            </w:pPr>
            <w:r w:rsidRPr="00C608CE">
              <w:rPr>
                <w:b/>
                <w:bCs/>
                <w:color w:val="002060"/>
                <w:sz w:val="14"/>
                <w:szCs w:val="14"/>
                <w:lang w:val="fr-FR"/>
              </w:rPr>
              <w:t>Tel. +32 2 429 29 15</w:t>
            </w:r>
            <w:r>
              <w:rPr>
                <w:b/>
                <w:bCs/>
                <w:color w:val="002060"/>
                <w:sz w:val="14"/>
                <w:szCs w:val="14"/>
                <w:lang w:val="fr-FR"/>
              </w:rPr>
              <w:t xml:space="preserve"> Ilse De Muyer</w:t>
            </w:r>
          </w:p>
          <w:p w:rsidR="001C2ABF" w:rsidRPr="00C608CE" w:rsidRDefault="001C2ABF" w:rsidP="001C2ABF">
            <w:pPr>
              <w:pStyle w:val="Footer"/>
              <w:tabs>
                <w:tab w:val="bar" w:pos="-2709"/>
              </w:tabs>
              <w:rPr>
                <w:color w:val="002060"/>
                <w:sz w:val="14"/>
                <w:szCs w:val="14"/>
                <w:lang w:val="fr-FR"/>
              </w:rPr>
            </w:pPr>
            <w:r w:rsidRPr="00D01FB0">
              <w:rPr>
                <w:b/>
                <w:bCs/>
                <w:color w:val="002060"/>
                <w:sz w:val="14"/>
                <w:szCs w:val="14"/>
                <w:lang w:val="fr-FR"/>
              </w:rPr>
              <w:t>Fax +32 2 429 81 60</w:t>
            </w:r>
          </w:p>
          <w:p w:rsidR="001C2ABF" w:rsidRPr="00C608CE" w:rsidRDefault="001C2ABF" w:rsidP="001C2ABF">
            <w:pPr>
              <w:pStyle w:val="Footer"/>
              <w:tabs>
                <w:tab w:val="bar" w:pos="-2709"/>
              </w:tabs>
              <w:rPr>
                <w:lang w:val="fr-FR"/>
              </w:rPr>
            </w:pPr>
            <w:r w:rsidRPr="00C608CE">
              <w:rPr>
                <w:b/>
                <w:bCs/>
                <w:color w:val="002060"/>
                <w:sz w:val="14"/>
                <w:szCs w:val="14"/>
                <w:lang w:val="fr-FR"/>
              </w:rPr>
              <w:t xml:space="preserve">E-Mail : </w:t>
            </w:r>
            <w:hyperlink r:id="rId15" w:history="1">
              <w:r w:rsidRPr="00C608CE">
                <w:rPr>
                  <w:rStyle w:val="Hyperlink"/>
                  <w:b/>
                  <w:bCs/>
                  <w:color w:val="00AEEF"/>
                  <w:sz w:val="14"/>
                  <w:szCs w:val="14"/>
                  <w:lang w:val="fr-FR"/>
                </w:rPr>
                <w:t>pressofficekbc@kbc.be</w:t>
              </w:r>
            </w:hyperlink>
          </w:p>
        </w:tc>
        <w:tc>
          <w:tcPr>
            <w:tcW w:w="2980" w:type="dxa"/>
            <w:shd w:val="clear" w:color="auto" w:fill="FFFFFF"/>
            <w:tcMar>
              <w:top w:w="15" w:type="dxa"/>
              <w:left w:w="15" w:type="dxa"/>
              <w:bottom w:w="0" w:type="dxa"/>
              <w:right w:w="15" w:type="dxa"/>
            </w:tcMar>
            <w:hideMark/>
          </w:tcPr>
          <w:p w:rsidR="001C2ABF" w:rsidRPr="00C608CE" w:rsidRDefault="001C2ABF" w:rsidP="001C2ABF">
            <w:pPr>
              <w:pStyle w:val="Footer"/>
              <w:tabs>
                <w:tab w:val="bar" w:pos="-2709"/>
              </w:tabs>
              <w:rPr>
                <w:b/>
                <w:bCs/>
                <w:color w:val="002060"/>
                <w:sz w:val="4"/>
                <w:szCs w:val="4"/>
                <w:lang w:val="fr-FR"/>
              </w:rPr>
            </w:pPr>
          </w:p>
          <w:p w:rsidR="001C2ABF" w:rsidRPr="00C608CE" w:rsidRDefault="001C2ABF" w:rsidP="001C2ABF">
            <w:pPr>
              <w:pStyle w:val="Footer"/>
              <w:tabs>
                <w:tab w:val="bar" w:pos="-2709"/>
              </w:tabs>
              <w:rPr>
                <w:b/>
                <w:bCs/>
                <w:color w:val="002060"/>
                <w:sz w:val="18"/>
                <w:szCs w:val="18"/>
                <w:lang w:val="fr-FR"/>
              </w:rPr>
            </w:pPr>
          </w:p>
          <w:p w:rsidR="001C2ABF" w:rsidRPr="00A9543A" w:rsidRDefault="001C2ABF" w:rsidP="001C2ABF">
            <w:pPr>
              <w:autoSpaceDE w:val="0"/>
              <w:autoSpaceDN w:val="0"/>
              <w:adjustRightInd w:val="0"/>
              <w:spacing w:after="0" w:line="240" w:lineRule="auto"/>
              <w:rPr>
                <w:rFonts w:cs="Arial"/>
                <w:b/>
                <w:color w:val="003768"/>
                <w:sz w:val="14"/>
                <w:szCs w:val="14"/>
                <w:lang w:val="fr-FR" w:eastAsia="nl-BE"/>
              </w:rPr>
            </w:pPr>
            <w:r w:rsidRPr="00A9543A">
              <w:rPr>
                <w:rFonts w:cs="Arial"/>
                <w:b/>
                <w:color w:val="003768"/>
                <w:sz w:val="14"/>
                <w:szCs w:val="14"/>
                <w:lang w:val="fr-FR" w:eastAsia="nl-BE"/>
              </w:rPr>
              <w:t>Les communiqués de presse KBC peuvent être</w:t>
            </w:r>
          </w:p>
          <w:p w:rsidR="001C2ABF" w:rsidRPr="00A9543A" w:rsidRDefault="001C2ABF" w:rsidP="001C2ABF">
            <w:pPr>
              <w:autoSpaceDE w:val="0"/>
              <w:autoSpaceDN w:val="0"/>
              <w:adjustRightInd w:val="0"/>
              <w:spacing w:after="0" w:line="240" w:lineRule="auto"/>
              <w:rPr>
                <w:rFonts w:cs="Arial"/>
                <w:b/>
                <w:color w:val="003768"/>
                <w:sz w:val="14"/>
                <w:szCs w:val="14"/>
                <w:lang w:val="fr-FR" w:eastAsia="nl-BE"/>
              </w:rPr>
            </w:pPr>
            <w:r w:rsidRPr="00A9543A">
              <w:rPr>
                <w:rFonts w:cs="Arial"/>
                <w:b/>
                <w:color w:val="003768"/>
                <w:sz w:val="14"/>
                <w:szCs w:val="14"/>
                <w:lang w:val="fr-FR" w:eastAsia="nl-BE"/>
              </w:rPr>
              <w:t xml:space="preserve">consultés sur </w:t>
            </w:r>
            <w:hyperlink r:id="rId16" w:history="1">
              <w:r w:rsidRPr="00A9543A">
                <w:rPr>
                  <w:rStyle w:val="Hyperlink"/>
                  <w:b/>
                  <w:bCs/>
                  <w:color w:val="00B0F0"/>
                  <w:sz w:val="14"/>
                  <w:szCs w:val="14"/>
                  <w:lang w:val="fr-FR"/>
                </w:rPr>
                <w:t>www.kbc.com</w:t>
              </w:r>
            </w:hyperlink>
            <w:r w:rsidRPr="00A9543A">
              <w:rPr>
                <w:b/>
                <w:bCs/>
                <w:color w:val="002060"/>
                <w:sz w:val="14"/>
                <w:szCs w:val="14"/>
                <w:lang w:val="fr-FR"/>
              </w:rPr>
              <w:t xml:space="preserve"> </w:t>
            </w:r>
            <w:r>
              <w:rPr>
                <w:rFonts w:cs="Arial"/>
                <w:b/>
                <w:color w:val="003768"/>
                <w:sz w:val="14"/>
                <w:szCs w:val="14"/>
                <w:lang w:val="fr-FR" w:eastAsia="nl-BE"/>
              </w:rPr>
              <w:t xml:space="preserve">ou obtenus </w:t>
            </w:r>
            <w:r w:rsidRPr="00A9543A">
              <w:rPr>
                <w:rFonts w:cs="Arial"/>
                <w:b/>
                <w:color w:val="003768"/>
                <w:sz w:val="14"/>
                <w:szCs w:val="14"/>
                <w:lang w:val="fr-FR" w:eastAsia="nl-BE"/>
              </w:rPr>
              <w:t>en</w:t>
            </w:r>
          </w:p>
          <w:p w:rsidR="001C2ABF" w:rsidRPr="00A9543A" w:rsidRDefault="001C2ABF" w:rsidP="001C2ABF">
            <w:pPr>
              <w:pStyle w:val="Footer"/>
              <w:tabs>
                <w:tab w:val="bar" w:pos="-2709"/>
              </w:tabs>
              <w:spacing w:after="120"/>
              <w:rPr>
                <w:color w:val="002060"/>
                <w:sz w:val="14"/>
                <w:szCs w:val="14"/>
                <w:lang w:val="fr-FR"/>
              </w:rPr>
            </w:pPr>
            <w:r w:rsidRPr="00A9543A">
              <w:rPr>
                <w:rFonts w:cs="Arial"/>
                <w:b/>
                <w:color w:val="003768"/>
                <w:sz w:val="14"/>
                <w:szCs w:val="14"/>
                <w:lang w:val="fr-FR" w:eastAsia="nl-BE"/>
              </w:rPr>
              <w:t>envoyant un courriel à</w:t>
            </w:r>
            <w:r>
              <w:rPr>
                <w:rFonts w:cs="Arial"/>
                <w:b/>
                <w:color w:val="003768"/>
                <w:sz w:val="14"/>
                <w:szCs w:val="14"/>
                <w:lang w:val="fr-FR" w:eastAsia="nl-BE"/>
              </w:rPr>
              <w:t xml:space="preserve"> </w:t>
            </w:r>
            <w:r w:rsidRPr="00A9543A">
              <w:rPr>
                <w:b/>
                <w:bCs/>
                <w:color w:val="003768"/>
                <w:sz w:val="14"/>
                <w:szCs w:val="14"/>
                <w:lang w:val="fr-FR"/>
              </w:rPr>
              <w:t xml:space="preserve"> </w:t>
            </w:r>
            <w:hyperlink r:id="rId17" w:history="1">
              <w:r w:rsidRPr="00A9543A">
                <w:rPr>
                  <w:rStyle w:val="Hyperlink"/>
                  <w:b/>
                  <w:bCs/>
                  <w:color w:val="00B0F0"/>
                  <w:sz w:val="14"/>
                  <w:szCs w:val="14"/>
                  <w:lang w:val="fr-FR"/>
                </w:rPr>
                <w:t>pressofficekbc@kbc.be</w:t>
              </w:r>
            </w:hyperlink>
          </w:p>
          <w:p w:rsidR="001C2ABF" w:rsidRPr="00A9543A" w:rsidRDefault="001C2ABF" w:rsidP="001C2ABF">
            <w:pPr>
              <w:pStyle w:val="Footer"/>
              <w:tabs>
                <w:tab w:val="bar" w:pos="-2709"/>
              </w:tabs>
              <w:spacing w:after="120"/>
              <w:rPr>
                <w:color w:val="002060"/>
                <w:lang w:val="fr-FR"/>
              </w:rPr>
            </w:pPr>
            <w:r w:rsidRPr="00A9543A">
              <w:rPr>
                <w:rFonts w:cs="Calibri"/>
                <w:b/>
                <w:color w:val="003768"/>
                <w:sz w:val="14"/>
                <w:szCs w:val="14"/>
                <w:lang w:val="fr-FR" w:eastAsia="nl-BE"/>
              </w:rPr>
              <w:t>Suivez nous</w:t>
            </w:r>
            <w:r>
              <w:rPr>
                <w:rFonts w:cs="Calibri"/>
                <w:b/>
                <w:color w:val="003768"/>
                <w:sz w:val="14"/>
                <w:szCs w:val="14"/>
                <w:lang w:val="fr-FR" w:eastAsia="nl-BE"/>
              </w:rPr>
              <w:t xml:space="preserve"> sur</w:t>
            </w:r>
            <w:r w:rsidRPr="00A9543A">
              <w:rPr>
                <w:lang w:val="fr-FR"/>
              </w:rPr>
              <w:t xml:space="preserve"> </w:t>
            </w:r>
            <w:hyperlink r:id="rId18" w:history="1">
              <w:r w:rsidRPr="00A9543A">
                <w:rPr>
                  <w:rStyle w:val="Hyperlink"/>
                  <w:b/>
                  <w:bCs/>
                  <w:color w:val="00B0F0"/>
                  <w:sz w:val="14"/>
                  <w:szCs w:val="14"/>
                  <w:lang w:val="fr-FR"/>
                </w:rPr>
                <w:t>www.twitter.com/kbc_group</w:t>
              </w:r>
            </w:hyperlink>
          </w:p>
        </w:tc>
      </w:tr>
    </w:tbl>
    <w:p w:rsidR="001C2ABF" w:rsidRPr="001C2ABF" w:rsidRDefault="001C2ABF" w:rsidP="001C2ABF">
      <w:pPr>
        <w:autoSpaceDE w:val="0"/>
        <w:autoSpaceDN w:val="0"/>
        <w:adjustRightInd w:val="0"/>
        <w:spacing w:after="0" w:line="240" w:lineRule="auto"/>
        <w:ind w:right="4"/>
        <w:rPr>
          <w:rFonts w:cs="Arial"/>
          <w:lang w:val="fr-FR"/>
        </w:rPr>
      </w:pPr>
    </w:p>
    <w:sectPr w:rsidR="001C2ABF" w:rsidRPr="001C2ABF" w:rsidSect="003A39E3">
      <w:footerReference w:type="default" r:id="rId19"/>
      <w:pgSz w:w="11907" w:h="16840"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9DA" w:rsidRDefault="002D59DA" w:rsidP="0077354C">
      <w:pPr>
        <w:spacing w:after="0" w:line="240" w:lineRule="auto"/>
      </w:pPr>
      <w:r>
        <w:separator/>
      </w:r>
    </w:p>
  </w:endnote>
  <w:endnote w:type="continuationSeparator" w:id="0">
    <w:p w:rsidR="002D59DA" w:rsidRDefault="002D59DA" w:rsidP="0077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Rockwell,Bold">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4C" w:rsidRDefault="0077354C">
    <w:pPr>
      <w:pStyle w:val="Footer"/>
      <w:jc w:val="center"/>
    </w:pPr>
    <w:r>
      <w:t xml:space="preserve">Page </w:t>
    </w:r>
    <w:r w:rsidR="005B5013">
      <w:rPr>
        <w:b/>
        <w:sz w:val="24"/>
        <w:szCs w:val="24"/>
      </w:rPr>
      <w:fldChar w:fldCharType="begin"/>
    </w:r>
    <w:r>
      <w:rPr>
        <w:b/>
      </w:rPr>
      <w:instrText xml:space="preserve"> PAGE </w:instrText>
    </w:r>
    <w:r w:rsidR="005B5013">
      <w:rPr>
        <w:b/>
        <w:sz w:val="24"/>
        <w:szCs w:val="24"/>
      </w:rPr>
      <w:fldChar w:fldCharType="separate"/>
    </w:r>
    <w:r w:rsidR="00410ACD">
      <w:rPr>
        <w:b/>
        <w:noProof/>
      </w:rPr>
      <w:t>11</w:t>
    </w:r>
    <w:r w:rsidR="005B5013">
      <w:rPr>
        <w:b/>
        <w:sz w:val="24"/>
        <w:szCs w:val="24"/>
      </w:rPr>
      <w:fldChar w:fldCharType="end"/>
    </w:r>
    <w:r>
      <w:t xml:space="preserve"> of </w:t>
    </w:r>
    <w:r w:rsidR="005B5013">
      <w:rPr>
        <w:b/>
        <w:sz w:val="24"/>
        <w:szCs w:val="24"/>
      </w:rPr>
      <w:fldChar w:fldCharType="begin"/>
    </w:r>
    <w:r>
      <w:rPr>
        <w:b/>
      </w:rPr>
      <w:instrText xml:space="preserve"> NUMPAGES  </w:instrText>
    </w:r>
    <w:r w:rsidR="005B5013">
      <w:rPr>
        <w:b/>
        <w:sz w:val="24"/>
        <w:szCs w:val="24"/>
      </w:rPr>
      <w:fldChar w:fldCharType="separate"/>
    </w:r>
    <w:r w:rsidR="00410ACD">
      <w:rPr>
        <w:b/>
        <w:noProof/>
      </w:rPr>
      <w:t>11</w:t>
    </w:r>
    <w:r w:rsidR="005B5013">
      <w:rPr>
        <w:b/>
        <w:sz w:val="24"/>
        <w:szCs w:val="24"/>
      </w:rPr>
      <w:fldChar w:fldCharType="end"/>
    </w:r>
  </w:p>
  <w:p w:rsidR="0077354C" w:rsidRDefault="00773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9DA" w:rsidRDefault="002D59DA" w:rsidP="0077354C">
      <w:pPr>
        <w:spacing w:after="0" w:line="240" w:lineRule="auto"/>
      </w:pPr>
      <w:r>
        <w:separator/>
      </w:r>
    </w:p>
  </w:footnote>
  <w:footnote w:type="continuationSeparator" w:id="0">
    <w:p w:rsidR="002D59DA" w:rsidRDefault="002D59DA" w:rsidP="007735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A88"/>
    <w:multiLevelType w:val="hybridMultilevel"/>
    <w:tmpl w:val="44AAB1A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04A56"/>
    <w:multiLevelType w:val="hybridMultilevel"/>
    <w:tmpl w:val="1062F5A4"/>
    <w:lvl w:ilvl="0" w:tplc="9090604A">
      <w:start w:val="1"/>
      <w:numFmt w:val="bullet"/>
      <w:lvlText w:val=""/>
      <w:lvlJc w:val="left"/>
      <w:pPr>
        <w:tabs>
          <w:tab w:val="num" w:pos="1080"/>
        </w:tabs>
        <w:ind w:left="108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E739F"/>
    <w:multiLevelType w:val="hybridMultilevel"/>
    <w:tmpl w:val="A8903918"/>
    <w:lvl w:ilvl="0" w:tplc="9090604A">
      <w:start w:val="1"/>
      <w:numFmt w:val="bullet"/>
      <w:lvlText w:val=""/>
      <w:lvlJc w:val="left"/>
      <w:pPr>
        <w:ind w:left="720" w:hanging="360"/>
      </w:pPr>
      <w:rPr>
        <w:rFonts w:ascii="Symbol" w:hAnsi="Symbol" w:hint="default"/>
        <w:color w:val="auto"/>
        <w:sz w:val="18"/>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16A06F4E">
      <w:numFmt w:val="bullet"/>
      <w:lvlText w:val="-"/>
      <w:lvlJc w:val="left"/>
      <w:pPr>
        <w:ind w:left="3240" w:hanging="720"/>
      </w:pPr>
      <w:rPr>
        <w:rFonts w:ascii="Arial" w:eastAsia="Times New Roman" w:hAnsi="Arial" w:cs="Aria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ACA286D"/>
    <w:multiLevelType w:val="hybridMultilevel"/>
    <w:tmpl w:val="1250F7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A6A586C"/>
    <w:multiLevelType w:val="hybridMultilevel"/>
    <w:tmpl w:val="D7C07E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D457351"/>
    <w:multiLevelType w:val="hybridMultilevel"/>
    <w:tmpl w:val="53BE02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3917FA9"/>
    <w:multiLevelType w:val="hybridMultilevel"/>
    <w:tmpl w:val="927C46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6581658"/>
    <w:multiLevelType w:val="hybridMultilevel"/>
    <w:tmpl w:val="A4200268"/>
    <w:lvl w:ilvl="0" w:tplc="4F943584">
      <w:numFmt w:val="bullet"/>
      <w:lvlText w:val="•"/>
      <w:lvlJc w:val="left"/>
      <w:pPr>
        <w:ind w:left="1080" w:hanging="720"/>
      </w:pPr>
      <w:rPr>
        <w:rFonts w:ascii="Calibri" w:eastAsia="Calibr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5174913"/>
    <w:multiLevelType w:val="hybridMultilevel"/>
    <w:tmpl w:val="5BE01A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93F4213"/>
    <w:multiLevelType w:val="hybridMultilevel"/>
    <w:tmpl w:val="7B920F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7"/>
  </w:num>
  <w:num w:numId="6">
    <w:abstractNumId w:val="1"/>
  </w:num>
  <w:num w:numId="7">
    <w:abstractNumId w:val="8"/>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C4"/>
    <w:rsid w:val="00001188"/>
    <w:rsid w:val="00017839"/>
    <w:rsid w:val="00017FD1"/>
    <w:rsid w:val="00020337"/>
    <w:rsid w:val="00036562"/>
    <w:rsid w:val="00067351"/>
    <w:rsid w:val="0007720A"/>
    <w:rsid w:val="001044FC"/>
    <w:rsid w:val="00115144"/>
    <w:rsid w:val="00145E8E"/>
    <w:rsid w:val="001572F2"/>
    <w:rsid w:val="00191CF8"/>
    <w:rsid w:val="001C2ABF"/>
    <w:rsid w:val="001E36E6"/>
    <w:rsid w:val="00222803"/>
    <w:rsid w:val="00262D1E"/>
    <w:rsid w:val="00281858"/>
    <w:rsid w:val="00286C63"/>
    <w:rsid w:val="002D59DA"/>
    <w:rsid w:val="00326CB0"/>
    <w:rsid w:val="00334465"/>
    <w:rsid w:val="00340775"/>
    <w:rsid w:val="00355604"/>
    <w:rsid w:val="0038316D"/>
    <w:rsid w:val="0038517C"/>
    <w:rsid w:val="00391543"/>
    <w:rsid w:val="003915CA"/>
    <w:rsid w:val="003A10F4"/>
    <w:rsid w:val="003A39E3"/>
    <w:rsid w:val="003A54AC"/>
    <w:rsid w:val="003B66AD"/>
    <w:rsid w:val="003C1BF8"/>
    <w:rsid w:val="003C3F4A"/>
    <w:rsid w:val="003C61B4"/>
    <w:rsid w:val="00410ACD"/>
    <w:rsid w:val="004278B1"/>
    <w:rsid w:val="0047091F"/>
    <w:rsid w:val="004F7511"/>
    <w:rsid w:val="004F75DC"/>
    <w:rsid w:val="0052230C"/>
    <w:rsid w:val="005235E3"/>
    <w:rsid w:val="00574F3C"/>
    <w:rsid w:val="005B005E"/>
    <w:rsid w:val="005B5013"/>
    <w:rsid w:val="00612175"/>
    <w:rsid w:val="0064576A"/>
    <w:rsid w:val="00673D3E"/>
    <w:rsid w:val="006917E1"/>
    <w:rsid w:val="006A6C5E"/>
    <w:rsid w:val="006A73EA"/>
    <w:rsid w:val="006C3542"/>
    <w:rsid w:val="006F3BB7"/>
    <w:rsid w:val="007571D2"/>
    <w:rsid w:val="00770C2F"/>
    <w:rsid w:val="0077354C"/>
    <w:rsid w:val="00775C2F"/>
    <w:rsid w:val="00777C89"/>
    <w:rsid w:val="007F4206"/>
    <w:rsid w:val="00830F8B"/>
    <w:rsid w:val="00856602"/>
    <w:rsid w:val="00884D01"/>
    <w:rsid w:val="008C575A"/>
    <w:rsid w:val="009C1678"/>
    <w:rsid w:val="009C4391"/>
    <w:rsid w:val="00A20B2F"/>
    <w:rsid w:val="00A42FB1"/>
    <w:rsid w:val="00A73521"/>
    <w:rsid w:val="00A9543A"/>
    <w:rsid w:val="00AC7A25"/>
    <w:rsid w:val="00B7736D"/>
    <w:rsid w:val="00B97593"/>
    <w:rsid w:val="00BE46FD"/>
    <w:rsid w:val="00C608CE"/>
    <w:rsid w:val="00C879D4"/>
    <w:rsid w:val="00CE168D"/>
    <w:rsid w:val="00D01FB0"/>
    <w:rsid w:val="00D14EBE"/>
    <w:rsid w:val="00D57A50"/>
    <w:rsid w:val="00D61FE6"/>
    <w:rsid w:val="00D651BD"/>
    <w:rsid w:val="00E65043"/>
    <w:rsid w:val="00EA7DF4"/>
    <w:rsid w:val="00EF1A60"/>
    <w:rsid w:val="00F5543C"/>
    <w:rsid w:val="00F56CC4"/>
    <w:rsid w:val="00F83524"/>
    <w:rsid w:val="00F8611A"/>
    <w:rsid w:val="00FC36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regrouptable v:ext="edit">
        <o:entry new="1" old="0"/>
        <o:entry new="2" old="0"/>
        <o:entry new="3" old="0"/>
      </o:regrouptable>
    </o:shapelayout>
  </w:shapeDefaults>
  <w:decimalSymbol w:val=","/>
  <w:listSeparator w:val=";"/>
  <w15:docId w15:val="{122CC149-A3C4-4E3C-A698-1B32ADA0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59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CC4"/>
    <w:rPr>
      <w:rFonts w:ascii="Tahoma" w:hAnsi="Tahoma" w:cs="Tahoma"/>
      <w:sz w:val="16"/>
      <w:szCs w:val="16"/>
    </w:rPr>
  </w:style>
  <w:style w:type="paragraph" w:styleId="NoSpacing">
    <w:name w:val="No Spacing"/>
    <w:uiPriority w:val="1"/>
    <w:qFormat/>
    <w:rsid w:val="00F56CC4"/>
    <w:rPr>
      <w:sz w:val="22"/>
      <w:szCs w:val="22"/>
      <w:lang w:val="en-US" w:eastAsia="en-US"/>
    </w:rPr>
  </w:style>
  <w:style w:type="character" w:styleId="Hyperlink">
    <w:name w:val="Hyperlink"/>
    <w:basedOn w:val="DefaultParagraphFont"/>
    <w:uiPriority w:val="99"/>
    <w:unhideWhenUsed/>
    <w:rsid w:val="00A20B2F"/>
    <w:rPr>
      <w:color w:val="0000FF"/>
      <w:u w:val="single"/>
    </w:rPr>
  </w:style>
  <w:style w:type="paragraph" w:styleId="Footer">
    <w:name w:val="footer"/>
    <w:basedOn w:val="Normal"/>
    <w:link w:val="FooterChar"/>
    <w:uiPriority w:val="99"/>
    <w:unhideWhenUsed/>
    <w:rsid w:val="00AC7A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A25"/>
  </w:style>
  <w:style w:type="paragraph" w:styleId="Header">
    <w:name w:val="header"/>
    <w:basedOn w:val="Normal"/>
    <w:link w:val="HeaderChar"/>
    <w:uiPriority w:val="99"/>
    <w:semiHidden/>
    <w:unhideWhenUsed/>
    <w:rsid w:val="0077354C"/>
    <w:pPr>
      <w:tabs>
        <w:tab w:val="center" w:pos="4536"/>
        <w:tab w:val="right" w:pos="9072"/>
      </w:tabs>
    </w:pPr>
  </w:style>
  <w:style w:type="character" w:customStyle="1" w:styleId="HeaderChar">
    <w:name w:val="Header Char"/>
    <w:basedOn w:val="DefaultParagraphFont"/>
    <w:link w:val="Header"/>
    <w:uiPriority w:val="99"/>
    <w:semiHidden/>
    <w:rsid w:val="0077354C"/>
    <w:rPr>
      <w:sz w:val="22"/>
      <w:szCs w:val="22"/>
      <w:lang w:val="en-US" w:eastAsia="en-US"/>
    </w:rPr>
  </w:style>
  <w:style w:type="paragraph" w:customStyle="1" w:styleId="Intro">
    <w:name w:val="Intro"/>
    <w:basedOn w:val="Normal"/>
    <w:rsid w:val="008C575A"/>
    <w:pPr>
      <w:spacing w:after="0" w:line="240" w:lineRule="auto"/>
      <w:jc w:val="both"/>
    </w:pPr>
    <w:rPr>
      <w:rFonts w:ascii="Arial" w:eastAsia="Times New Roman" w:hAnsi="Arial"/>
      <w:b/>
      <w:bCs/>
      <w:snapToGrid w:val="0"/>
      <w:sz w:val="20"/>
      <w:szCs w:val="20"/>
      <w:lang w:val="nl-NL"/>
    </w:rPr>
  </w:style>
  <w:style w:type="paragraph" w:styleId="ListParagraph">
    <w:name w:val="List Paragraph"/>
    <w:basedOn w:val="Normal"/>
    <w:uiPriority w:val="34"/>
    <w:qFormat/>
    <w:rsid w:val="008C575A"/>
    <w:pPr>
      <w:ind w:left="720"/>
      <w:contextualSpacing/>
    </w:pPr>
  </w:style>
  <w:style w:type="paragraph" w:styleId="BodyTextIndent">
    <w:name w:val="Body Text Indent"/>
    <w:basedOn w:val="Normal"/>
    <w:link w:val="BodyTextIndentChar"/>
    <w:rsid w:val="00036562"/>
    <w:pPr>
      <w:spacing w:after="0" w:line="240" w:lineRule="auto"/>
      <w:ind w:left="540"/>
      <w:jc w:val="both"/>
    </w:pPr>
    <w:rPr>
      <w:rFonts w:ascii="Arial" w:eastAsia="Times New Roman" w:hAnsi="Arial"/>
      <w:sz w:val="17"/>
      <w:szCs w:val="24"/>
      <w:lang w:val="en-GB"/>
    </w:rPr>
  </w:style>
  <w:style w:type="character" w:customStyle="1" w:styleId="BodyTextIndentChar">
    <w:name w:val="Body Text Indent Char"/>
    <w:basedOn w:val="DefaultParagraphFont"/>
    <w:link w:val="BodyTextIndent"/>
    <w:rsid w:val="00036562"/>
    <w:rPr>
      <w:rFonts w:ascii="Arial" w:eastAsia="Times New Roman" w:hAnsi="Arial"/>
      <w:sz w:val="17"/>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wim.allegaert@kbc.be" TargetMode="External"/><Relationship Id="rId18" Type="http://schemas.openxmlformats.org/officeDocument/2006/relationships/hyperlink" Target="http://www.twitter.com/kbc_grou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kbc.com" TargetMode="External"/><Relationship Id="rId17" Type="http://schemas.openxmlformats.org/officeDocument/2006/relationships/hyperlink" Target="mailto:pressofficekbc@kbc.be" TargetMode="External"/><Relationship Id="rId2" Type="http://schemas.openxmlformats.org/officeDocument/2006/relationships/styles" Target="styles.xml"/><Relationship Id="rId16" Type="http://schemas.openxmlformats.org/officeDocument/2006/relationships/hyperlink" Target="http://www.kbc.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pressofficekbc@kbc.be"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pressofficekbc@kbc.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5292</Words>
  <Characters>29106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KBC Group</Company>
  <LinksUpToDate>false</LinksUpToDate>
  <CharactersWithSpaces>34330</CharactersWithSpaces>
  <SharedDoc>false</SharedDoc>
  <HLinks>
    <vt:vector size="36" baseType="variant">
      <vt:variant>
        <vt:i4>5111906</vt:i4>
      </vt:variant>
      <vt:variant>
        <vt:i4>15</vt:i4>
      </vt:variant>
      <vt:variant>
        <vt:i4>0</vt:i4>
      </vt:variant>
      <vt:variant>
        <vt:i4>5</vt:i4>
      </vt:variant>
      <vt:variant>
        <vt:lpwstr>http://www.twitter.com/kbc_group</vt:lpwstr>
      </vt:variant>
      <vt:variant>
        <vt:lpwstr/>
      </vt:variant>
      <vt:variant>
        <vt:i4>6619203</vt:i4>
      </vt:variant>
      <vt:variant>
        <vt:i4>12</vt:i4>
      </vt:variant>
      <vt:variant>
        <vt:i4>0</vt:i4>
      </vt:variant>
      <vt:variant>
        <vt:i4>5</vt:i4>
      </vt:variant>
      <vt:variant>
        <vt:lpwstr>mailto:pressofficekbc@kbc.be</vt:lpwstr>
      </vt:variant>
      <vt:variant>
        <vt:lpwstr/>
      </vt:variant>
      <vt:variant>
        <vt:i4>2949235</vt:i4>
      </vt:variant>
      <vt:variant>
        <vt:i4>9</vt:i4>
      </vt:variant>
      <vt:variant>
        <vt:i4>0</vt:i4>
      </vt:variant>
      <vt:variant>
        <vt:i4>5</vt:i4>
      </vt:variant>
      <vt:variant>
        <vt:lpwstr>http://www.kbc.com/</vt:lpwstr>
      </vt:variant>
      <vt:variant>
        <vt:lpwstr/>
      </vt:variant>
      <vt:variant>
        <vt:i4>6619203</vt:i4>
      </vt:variant>
      <vt:variant>
        <vt:i4>6</vt:i4>
      </vt:variant>
      <vt:variant>
        <vt:i4>0</vt:i4>
      </vt:variant>
      <vt:variant>
        <vt:i4>5</vt:i4>
      </vt:variant>
      <vt:variant>
        <vt:lpwstr>mailto:pressofficekbc@kbc.be</vt:lpwstr>
      </vt:variant>
      <vt:variant>
        <vt:lpwstr/>
      </vt:variant>
      <vt:variant>
        <vt:i4>6619203</vt:i4>
      </vt:variant>
      <vt:variant>
        <vt:i4>3</vt:i4>
      </vt:variant>
      <vt:variant>
        <vt:i4>0</vt:i4>
      </vt:variant>
      <vt:variant>
        <vt:i4>5</vt:i4>
      </vt:variant>
      <vt:variant>
        <vt:lpwstr>mailto:pressofficekbc@kbc.be</vt:lpwstr>
      </vt:variant>
      <vt:variant>
        <vt:lpwstr/>
      </vt:variant>
      <vt:variant>
        <vt:i4>6881307</vt:i4>
      </vt:variant>
      <vt:variant>
        <vt:i4>0</vt:i4>
      </vt:variant>
      <vt:variant>
        <vt:i4>0</vt:i4>
      </vt:variant>
      <vt:variant>
        <vt:i4>5</vt:i4>
      </vt:variant>
      <vt:variant>
        <vt:lpwstr>mailto:wim.allegaert@kbc.be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JD30767</dc:creator>
  <cp:lastModifiedBy>Leunens Stef</cp:lastModifiedBy>
  <cp:revision>10</cp:revision>
  <cp:lastPrinted>2016-05-11T16:48:00Z</cp:lastPrinted>
  <dcterms:created xsi:type="dcterms:W3CDTF">2016-05-11T15:18:00Z</dcterms:created>
  <dcterms:modified xsi:type="dcterms:W3CDTF">2016-05-11T16:48:00Z</dcterms:modified>
</cp:coreProperties>
</file>