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0490" w14:textId="77777777" w:rsidR="00490AA6" w:rsidRPr="00DD7E2D" w:rsidRDefault="00490AA6" w:rsidP="00490AA6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4C7ACCF2" w14:textId="77777777" w:rsidR="00490AA6" w:rsidRPr="00DD7E2D" w:rsidRDefault="00490AA6" w:rsidP="00490AA6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14:paraId="1E154871" w14:textId="77777777" w:rsidR="00490AA6" w:rsidRDefault="00490AA6" w:rsidP="00490AA6">
      <w:pPr>
        <w:spacing w:after="0" w:line="336" w:lineRule="auto"/>
        <w:rPr>
          <w:rFonts w:ascii="Gill Sans MT" w:hAnsi="Gill Sans MT"/>
          <w:b/>
          <w:szCs w:val="22"/>
          <w:lang w:val="en-US"/>
        </w:rPr>
      </w:pPr>
    </w:p>
    <w:p w14:paraId="3188D970" w14:textId="77777777" w:rsidR="00F878D7" w:rsidRPr="00F878D7" w:rsidRDefault="00F878D7" w:rsidP="002C7BCD">
      <w:pPr>
        <w:spacing w:line="336" w:lineRule="auto"/>
        <w:jc w:val="center"/>
        <w:rPr>
          <w:rFonts w:ascii="Gill Sans" w:hAnsi="Gill Sans"/>
          <w:b/>
          <w:szCs w:val="24"/>
        </w:rPr>
      </w:pPr>
      <w:r>
        <w:rPr>
          <w:rFonts w:ascii="Gill Sans" w:hAnsi="Gill Sans"/>
          <w:b/>
          <w:szCs w:val="24"/>
        </w:rPr>
        <w:t xml:space="preserve">Ferrofish to Showcase PULSE16, PULSE16 MX </w:t>
      </w:r>
      <w:r w:rsidRPr="006E0C3A">
        <w:rPr>
          <w:rFonts w:ascii="Gill Sans" w:hAnsi="Gill Sans"/>
          <w:b/>
          <w:szCs w:val="24"/>
        </w:rPr>
        <w:t xml:space="preserve">Recording Interface </w:t>
      </w:r>
      <w:r w:rsidR="002C7BCD">
        <w:rPr>
          <w:rFonts w:ascii="Gill Sans" w:hAnsi="Gill Sans"/>
          <w:b/>
          <w:szCs w:val="24"/>
        </w:rPr>
        <w:t xml:space="preserve">                      </w:t>
      </w:r>
      <w:r w:rsidRPr="006E0C3A">
        <w:rPr>
          <w:rFonts w:ascii="Gill Sans" w:hAnsi="Gill Sans"/>
          <w:b/>
          <w:szCs w:val="24"/>
        </w:rPr>
        <w:t>at NAMM 2018</w:t>
      </w:r>
    </w:p>
    <w:p w14:paraId="6A0A74FA" w14:textId="77777777" w:rsidR="00F878D7" w:rsidRPr="006E0C3A" w:rsidRDefault="00870CA9" w:rsidP="002C7BCD">
      <w:pPr>
        <w:spacing w:line="336" w:lineRule="auto"/>
        <w:jc w:val="center"/>
        <w:rPr>
          <w:rFonts w:ascii="Gill Sans" w:hAnsi="Gill Sans"/>
          <w:i/>
          <w:szCs w:val="24"/>
        </w:rPr>
      </w:pPr>
      <w:r>
        <w:rPr>
          <w:rFonts w:ascii="Gill Sans" w:hAnsi="Gill Sans"/>
          <w:i/>
          <w:szCs w:val="24"/>
        </w:rPr>
        <w:t xml:space="preserve">The cost-effective </w:t>
      </w:r>
      <w:r w:rsidR="00F878D7">
        <w:rPr>
          <w:rFonts w:ascii="Gill Sans" w:hAnsi="Gill Sans"/>
          <w:i/>
          <w:szCs w:val="24"/>
        </w:rPr>
        <w:t>16x16 interface features ADAT connectivity, l</w:t>
      </w:r>
      <w:r w:rsidR="00F878D7" w:rsidRPr="006E0C3A">
        <w:rPr>
          <w:rFonts w:ascii="Gill Sans" w:hAnsi="Gill Sans"/>
          <w:i/>
          <w:szCs w:val="24"/>
        </w:rPr>
        <w:t xml:space="preserve">atest </w:t>
      </w:r>
      <w:r w:rsidR="00F878D7">
        <w:rPr>
          <w:rFonts w:ascii="Gill Sans" w:hAnsi="Gill Sans"/>
          <w:i/>
          <w:szCs w:val="24"/>
        </w:rPr>
        <w:t>AD/DA conversion and o</w:t>
      </w:r>
      <w:r w:rsidR="00F878D7" w:rsidRPr="006E0C3A">
        <w:rPr>
          <w:rFonts w:ascii="Gill Sans" w:hAnsi="Gill Sans"/>
          <w:i/>
          <w:szCs w:val="24"/>
        </w:rPr>
        <w:t>ptional MADI</w:t>
      </w:r>
      <w:r>
        <w:rPr>
          <w:rFonts w:ascii="Gill Sans" w:hAnsi="Gill Sans"/>
          <w:i/>
          <w:szCs w:val="24"/>
        </w:rPr>
        <w:t xml:space="preserve"> — making it ideal for live or studio applications </w:t>
      </w:r>
    </w:p>
    <w:p w14:paraId="2E368C1D" w14:textId="77777777" w:rsidR="00F878D7" w:rsidRDefault="00F878D7" w:rsidP="00490AA6">
      <w:pPr>
        <w:pStyle w:val="Normal1"/>
        <w:spacing w:line="336" w:lineRule="auto"/>
        <w:rPr>
          <w:rFonts w:ascii="Gill Sans" w:eastAsia="Gill Sans" w:hAnsi="Gill Sans" w:cs="Gill Sans"/>
          <w:b/>
          <w:sz w:val="24"/>
          <w:szCs w:val="24"/>
        </w:rPr>
      </w:pPr>
    </w:p>
    <w:p w14:paraId="7DAA0095" w14:textId="74A18811" w:rsidR="00F878D7" w:rsidRPr="006E0C3A" w:rsidRDefault="00F878D7" w:rsidP="00F878D7">
      <w:pPr>
        <w:spacing w:line="336" w:lineRule="auto"/>
        <w:rPr>
          <w:rFonts w:ascii="Gill Sans" w:hAnsi="Gill Sans"/>
          <w:szCs w:val="24"/>
        </w:rPr>
      </w:pPr>
      <w:r w:rsidRPr="006E0C3A">
        <w:rPr>
          <w:rFonts w:ascii="Gill Sans" w:hAnsi="Gill Sans"/>
          <w:noProof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26E2BF" wp14:editId="5FD574F4">
            <wp:simplePos x="0" y="0"/>
            <wp:positionH relativeFrom="column">
              <wp:posOffset>2819400</wp:posOffset>
            </wp:positionH>
            <wp:positionV relativeFrom="paragraph">
              <wp:posOffset>1210310</wp:posOffset>
            </wp:positionV>
            <wp:extent cx="3352165" cy="974725"/>
            <wp:effectExtent l="25400" t="0" r="635" b="0"/>
            <wp:wrapTight wrapText="bothSides">
              <wp:wrapPolygon edited="0">
                <wp:start x="-164" y="3377"/>
                <wp:lineTo x="491" y="17449"/>
                <wp:lineTo x="21277" y="17449"/>
                <wp:lineTo x="21113" y="12383"/>
                <wp:lineTo x="21604" y="6754"/>
                <wp:lineTo x="21604" y="3377"/>
                <wp:lineTo x="-164" y="3377"/>
              </wp:wrapPolygon>
            </wp:wrapTight>
            <wp:docPr id="5" name="Picture 5" descr="Macintosh HD:Users:psikahn7:Documents:Hummingbird Media:Pulse16_75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ikahn7:Documents:Hummingbird Media:Pulse16_750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0" b="12259"/>
                    <a:stretch/>
                  </pic:blipFill>
                  <pic:spPr bwMode="auto">
                    <a:xfrm>
                      <a:off x="0" y="0"/>
                      <a:ext cx="335216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0C3A">
        <w:rPr>
          <w:rFonts w:ascii="Gill Sans" w:hAnsi="Gill Sans"/>
          <w:b/>
          <w:szCs w:val="24"/>
        </w:rPr>
        <w:t>Anaheim</w:t>
      </w:r>
      <w:r w:rsidR="00490AA6">
        <w:rPr>
          <w:rFonts w:ascii="Gill Sans" w:eastAsia="Gill Sans" w:hAnsi="Gill Sans" w:cs="Gill Sans"/>
          <w:b/>
          <w:szCs w:val="24"/>
        </w:rPr>
        <w:t xml:space="preserve">, </w:t>
      </w:r>
      <w:r w:rsidR="002C7BCD">
        <w:rPr>
          <w:rFonts w:ascii="Gill Sans" w:eastAsia="Gill Sans" w:hAnsi="Gill Sans" w:cs="Gill Sans"/>
          <w:b/>
          <w:szCs w:val="24"/>
        </w:rPr>
        <w:t xml:space="preserve">CA, </w:t>
      </w:r>
      <w:r>
        <w:rPr>
          <w:rFonts w:ascii="Gill Sans" w:eastAsia="Gill Sans" w:hAnsi="Gill Sans" w:cs="Gill Sans"/>
          <w:b/>
          <w:szCs w:val="24"/>
        </w:rPr>
        <w:t>January</w:t>
      </w:r>
      <w:r w:rsidR="00490AA6">
        <w:rPr>
          <w:rFonts w:ascii="Gill Sans" w:eastAsia="Gill Sans" w:hAnsi="Gill Sans" w:cs="Gill Sans"/>
          <w:b/>
          <w:szCs w:val="24"/>
        </w:rPr>
        <w:t xml:space="preserve"> </w:t>
      </w:r>
      <w:r w:rsidR="004D50AB">
        <w:rPr>
          <w:rFonts w:ascii="Gill Sans" w:eastAsia="Gill Sans" w:hAnsi="Gill Sans" w:cs="Gill Sans"/>
          <w:b/>
          <w:szCs w:val="24"/>
        </w:rPr>
        <w:t>23</w:t>
      </w:r>
      <w:bookmarkStart w:id="0" w:name="_GoBack"/>
      <w:bookmarkEnd w:id="0"/>
      <w:r w:rsidR="00490AA6">
        <w:rPr>
          <w:rFonts w:ascii="Gill Sans" w:eastAsia="Gill Sans" w:hAnsi="Gill Sans" w:cs="Gill Sans"/>
          <w:b/>
          <w:szCs w:val="24"/>
        </w:rPr>
        <w:t>, 201</w:t>
      </w:r>
      <w:r>
        <w:rPr>
          <w:rFonts w:ascii="Gill Sans" w:eastAsia="Gill Sans" w:hAnsi="Gill Sans" w:cs="Gill Sans"/>
          <w:b/>
          <w:szCs w:val="24"/>
        </w:rPr>
        <w:t>8</w:t>
      </w:r>
      <w:r w:rsidR="00936E54">
        <w:rPr>
          <w:rFonts w:ascii="Gill Sans" w:eastAsia="Gill Sans" w:hAnsi="Gill Sans" w:cs="Gill Sans"/>
          <w:b/>
          <w:szCs w:val="24"/>
        </w:rPr>
        <w:t xml:space="preserve"> —</w:t>
      </w:r>
      <w:r w:rsidR="00490AA6">
        <w:rPr>
          <w:rFonts w:ascii="Gill Sans" w:eastAsia="Gill Sans" w:hAnsi="Gill Sans" w:cs="Gill Sans"/>
          <w:b/>
          <w:szCs w:val="24"/>
        </w:rPr>
        <w:t xml:space="preserve"> </w:t>
      </w:r>
      <w:hyperlink r:id="rId10">
        <w:r>
          <w:rPr>
            <w:rFonts w:ascii="Gill Sans" w:eastAsia="Gill Sans" w:hAnsi="Gill Sans" w:cs="Gill Sans"/>
            <w:color w:val="1155CC"/>
            <w:szCs w:val="24"/>
            <w:u w:val="single"/>
          </w:rPr>
          <w:t>Ferrofish</w:t>
        </w:r>
      </w:hyperlink>
      <w:r>
        <w:rPr>
          <w:rFonts w:ascii="Gill Sans" w:eastAsia="Gill Sans" w:hAnsi="Gill Sans" w:cs="Gill Sans"/>
          <w:szCs w:val="24"/>
        </w:rPr>
        <w:t>, German manufacturer of premium conversion solutions for the pro-audio, broadcast and integration markets,</w:t>
      </w:r>
      <w:r w:rsidRPr="006E0C3A">
        <w:rPr>
          <w:rFonts w:ascii="Gill Sans" w:hAnsi="Gill Sans"/>
          <w:szCs w:val="24"/>
        </w:rPr>
        <w:t xml:space="preserve"> has announced it will showcase its </w:t>
      </w:r>
      <w:r>
        <w:rPr>
          <w:rFonts w:ascii="Gill Sans" w:hAnsi="Gill Sans"/>
          <w:szCs w:val="24"/>
        </w:rPr>
        <w:t xml:space="preserve">PULSE16 and PULSE16 MX </w:t>
      </w:r>
      <w:r w:rsidRPr="006E0C3A">
        <w:rPr>
          <w:rFonts w:ascii="Gill Sans" w:hAnsi="Gill Sans"/>
          <w:szCs w:val="24"/>
        </w:rPr>
        <w:t>recording interface</w:t>
      </w:r>
      <w:r>
        <w:rPr>
          <w:rFonts w:ascii="Gill Sans" w:hAnsi="Gill Sans"/>
          <w:szCs w:val="24"/>
        </w:rPr>
        <w:t>s</w:t>
      </w:r>
      <w:r w:rsidRPr="006E0C3A">
        <w:rPr>
          <w:rFonts w:ascii="Gill Sans" w:hAnsi="Gill Sans"/>
          <w:szCs w:val="24"/>
        </w:rPr>
        <w:t xml:space="preserve"> at</w:t>
      </w:r>
      <w:r>
        <w:rPr>
          <w:rFonts w:ascii="Gill Sans" w:hAnsi="Gill Sans"/>
          <w:szCs w:val="24"/>
        </w:rPr>
        <w:t xml:space="preserve"> booth </w:t>
      </w:r>
      <w:r w:rsidRPr="006E0C3A">
        <w:rPr>
          <w:rFonts w:ascii="Gill Sans" w:hAnsi="Gill Sans"/>
          <w:szCs w:val="24"/>
        </w:rPr>
        <w:t xml:space="preserve">14701, </w:t>
      </w:r>
      <w:r>
        <w:rPr>
          <w:rFonts w:ascii="Gill Sans" w:hAnsi="Gill Sans"/>
          <w:szCs w:val="24"/>
        </w:rPr>
        <w:t>during the 2018 NAMM Show</w:t>
      </w:r>
      <w:r w:rsidRPr="006E0C3A">
        <w:rPr>
          <w:rFonts w:ascii="Gill Sans" w:hAnsi="Gill Sans"/>
          <w:szCs w:val="24"/>
        </w:rPr>
        <w:t xml:space="preserve">. The </w:t>
      </w:r>
      <w:r>
        <w:rPr>
          <w:rFonts w:ascii="Gill Sans" w:hAnsi="Gill Sans"/>
          <w:szCs w:val="24"/>
        </w:rPr>
        <w:t xml:space="preserve">PULSE16 </w:t>
      </w:r>
      <w:r w:rsidRPr="006E0C3A">
        <w:rPr>
          <w:rFonts w:ascii="Gill Sans" w:hAnsi="Gill Sans"/>
          <w:szCs w:val="24"/>
        </w:rPr>
        <w:t xml:space="preserve">boasts 16 channels each of analog input and output in a single rack space chassis. The full I/O is deliverable via ADAT at up to 96 kHz, </w:t>
      </w:r>
      <w:r>
        <w:rPr>
          <w:rFonts w:ascii="Gill Sans" w:hAnsi="Gill Sans"/>
          <w:szCs w:val="24"/>
        </w:rPr>
        <w:t>while the PULSE16 MX adds</w:t>
      </w:r>
      <w:r w:rsidRPr="006E0C3A">
        <w:rPr>
          <w:rFonts w:ascii="Gill Sans" w:hAnsi="Gill Sans"/>
          <w:szCs w:val="24"/>
        </w:rPr>
        <w:t xml:space="preserve"> MADI </w:t>
      </w:r>
      <w:r>
        <w:rPr>
          <w:rFonts w:ascii="Gill Sans" w:hAnsi="Gill Sans"/>
          <w:szCs w:val="24"/>
        </w:rPr>
        <w:t>connectivity</w:t>
      </w:r>
      <w:r w:rsidRPr="006E0C3A">
        <w:rPr>
          <w:rFonts w:ascii="Gill Sans" w:hAnsi="Gill Sans"/>
          <w:szCs w:val="24"/>
        </w:rPr>
        <w:t xml:space="preserve">. The </w:t>
      </w:r>
      <w:r>
        <w:rPr>
          <w:rFonts w:ascii="Gill Sans" w:hAnsi="Gill Sans"/>
          <w:szCs w:val="24"/>
        </w:rPr>
        <w:t>PULSE16 and PULSE16 MX</w:t>
      </w:r>
      <w:r w:rsidRPr="006E0C3A">
        <w:rPr>
          <w:rFonts w:ascii="Gill Sans" w:hAnsi="Gill Sans"/>
          <w:szCs w:val="24"/>
        </w:rPr>
        <w:t xml:space="preserve"> </w:t>
      </w:r>
      <w:r>
        <w:rPr>
          <w:rFonts w:ascii="Gill Sans" w:hAnsi="Gill Sans"/>
          <w:szCs w:val="24"/>
        </w:rPr>
        <w:t>adopt</w:t>
      </w:r>
      <w:r w:rsidRPr="006E0C3A">
        <w:rPr>
          <w:rFonts w:ascii="Gill Sans" w:hAnsi="Gill Sans"/>
          <w:szCs w:val="24"/>
        </w:rPr>
        <w:t xml:space="preserve"> the latest features and AD/DA conversion of the company’s popular A32 Converter, resulting in a powerful, compact interface at an enticing price.</w:t>
      </w:r>
    </w:p>
    <w:p w14:paraId="7DE56257" w14:textId="77777777" w:rsidR="00F878D7" w:rsidRPr="006E0C3A" w:rsidRDefault="00F878D7" w:rsidP="00F878D7">
      <w:pPr>
        <w:spacing w:line="336" w:lineRule="auto"/>
        <w:rPr>
          <w:rFonts w:ascii="Gill Sans" w:hAnsi="Gill Sans"/>
          <w:szCs w:val="24"/>
        </w:rPr>
      </w:pPr>
      <w:r w:rsidRPr="006E0C3A">
        <w:rPr>
          <w:rFonts w:ascii="Gill Sans" w:hAnsi="Gill Sans"/>
          <w:szCs w:val="24"/>
        </w:rPr>
        <w:t xml:space="preserve">“We are looking forward to showcasing the </w:t>
      </w:r>
      <w:r>
        <w:rPr>
          <w:rFonts w:ascii="Gill Sans" w:hAnsi="Gill Sans"/>
          <w:szCs w:val="24"/>
        </w:rPr>
        <w:t>PULSE16 and PULSE16 MX</w:t>
      </w:r>
      <w:r w:rsidRPr="006E0C3A">
        <w:rPr>
          <w:rFonts w:ascii="Gill Sans" w:hAnsi="Gill Sans"/>
          <w:szCs w:val="24"/>
        </w:rPr>
        <w:t xml:space="preserve"> at this year’s NAMM </w:t>
      </w:r>
      <w:r>
        <w:rPr>
          <w:rFonts w:ascii="Gill Sans" w:hAnsi="Gill Sans"/>
          <w:szCs w:val="24"/>
        </w:rPr>
        <w:t>show</w:t>
      </w:r>
      <w:r w:rsidRPr="006E0C3A">
        <w:rPr>
          <w:rFonts w:ascii="Gill Sans" w:hAnsi="Gill Sans"/>
          <w:szCs w:val="24"/>
        </w:rPr>
        <w:t xml:space="preserve">,” </w:t>
      </w:r>
      <w:r>
        <w:rPr>
          <w:rFonts w:ascii="Gill Sans" w:hAnsi="Gill Sans"/>
          <w:szCs w:val="24"/>
        </w:rPr>
        <w:t xml:space="preserve">said Mathias von Heydekampf, </w:t>
      </w:r>
      <w:r>
        <w:rPr>
          <w:rFonts w:ascii="Gill Sans" w:eastAsia="Gill Sans" w:hAnsi="Gill Sans" w:cs="Gill Sans"/>
          <w:szCs w:val="24"/>
        </w:rPr>
        <w:t>managing director of Synthax, distributor of Ferrofish</w:t>
      </w:r>
      <w:r w:rsidRPr="006E0C3A">
        <w:rPr>
          <w:rFonts w:ascii="Gill Sans" w:hAnsi="Gill Sans"/>
          <w:szCs w:val="24"/>
        </w:rPr>
        <w:t xml:space="preserve">. “With </w:t>
      </w:r>
      <w:r>
        <w:rPr>
          <w:rFonts w:ascii="Gill Sans" w:hAnsi="Gill Sans"/>
          <w:szCs w:val="24"/>
        </w:rPr>
        <w:t>16</w:t>
      </w:r>
      <w:r w:rsidRPr="006E0C3A">
        <w:rPr>
          <w:rFonts w:ascii="Gill Sans" w:hAnsi="Gill Sans"/>
          <w:szCs w:val="24"/>
        </w:rPr>
        <w:t xml:space="preserve"> channels of input and output, the </w:t>
      </w:r>
      <w:r>
        <w:rPr>
          <w:rFonts w:ascii="Gill Sans" w:hAnsi="Gill Sans"/>
          <w:szCs w:val="24"/>
        </w:rPr>
        <w:t>PULSE16</w:t>
      </w:r>
      <w:r w:rsidRPr="006E0C3A">
        <w:rPr>
          <w:rFonts w:ascii="Gill Sans" w:hAnsi="Gill Sans"/>
          <w:szCs w:val="24"/>
        </w:rPr>
        <w:t xml:space="preserve"> will </w:t>
      </w:r>
      <w:r>
        <w:rPr>
          <w:rFonts w:ascii="Gill Sans" w:hAnsi="Gill Sans"/>
          <w:szCs w:val="24"/>
        </w:rPr>
        <w:t>more than</w:t>
      </w:r>
      <w:r w:rsidRPr="006E0C3A">
        <w:rPr>
          <w:rFonts w:ascii="Gill Sans" w:hAnsi="Gill Sans"/>
          <w:szCs w:val="24"/>
        </w:rPr>
        <w:t xml:space="preserve"> meet the needs of home and project studios for multitrack recording and routing to outboard </w:t>
      </w:r>
      <w:r>
        <w:rPr>
          <w:rFonts w:ascii="Gill Sans" w:hAnsi="Gill Sans"/>
          <w:szCs w:val="24"/>
        </w:rPr>
        <w:t>signal processing.</w:t>
      </w:r>
      <w:r w:rsidRPr="006E0C3A">
        <w:rPr>
          <w:rFonts w:ascii="Gill Sans" w:hAnsi="Gill Sans"/>
          <w:szCs w:val="24"/>
        </w:rPr>
        <w:t xml:space="preserve"> </w:t>
      </w:r>
      <w:r>
        <w:rPr>
          <w:rFonts w:ascii="Gill Sans" w:hAnsi="Gill Sans"/>
          <w:szCs w:val="24"/>
        </w:rPr>
        <w:t>The units also</w:t>
      </w:r>
      <w:r w:rsidRPr="006E0C3A">
        <w:rPr>
          <w:rFonts w:ascii="Gill Sans" w:hAnsi="Gill Sans"/>
          <w:szCs w:val="24"/>
        </w:rPr>
        <w:t xml:space="preserve"> serv</w:t>
      </w:r>
      <w:r>
        <w:rPr>
          <w:rFonts w:ascii="Gill Sans" w:hAnsi="Gill Sans"/>
          <w:szCs w:val="24"/>
        </w:rPr>
        <w:t>e</w:t>
      </w:r>
      <w:r w:rsidRPr="006E0C3A">
        <w:rPr>
          <w:rFonts w:ascii="Gill Sans" w:hAnsi="Gill Sans"/>
          <w:szCs w:val="24"/>
        </w:rPr>
        <w:t xml:space="preserve"> as a cost-effective I/O expansion option for larger studios via ADAT or</w:t>
      </w:r>
      <w:r>
        <w:rPr>
          <w:rFonts w:ascii="Gill Sans" w:hAnsi="Gill Sans"/>
          <w:szCs w:val="24"/>
        </w:rPr>
        <w:t>, in the case of PULSE16 MX,</w:t>
      </w:r>
      <w:r w:rsidRPr="006E0C3A">
        <w:rPr>
          <w:rFonts w:ascii="Gill Sans" w:hAnsi="Gill Sans"/>
          <w:szCs w:val="24"/>
        </w:rPr>
        <w:t xml:space="preserve"> MADI. The </w:t>
      </w:r>
      <w:r>
        <w:rPr>
          <w:rFonts w:ascii="Gill Sans" w:hAnsi="Gill Sans"/>
          <w:szCs w:val="24"/>
        </w:rPr>
        <w:t>latest generation conversion chip</w:t>
      </w:r>
      <w:r w:rsidRPr="006E0C3A">
        <w:rPr>
          <w:rFonts w:ascii="Gill Sans" w:hAnsi="Gill Sans"/>
          <w:szCs w:val="24"/>
        </w:rPr>
        <w:t xml:space="preserve"> from Cirrus Logic </w:t>
      </w:r>
      <w:r>
        <w:rPr>
          <w:rFonts w:ascii="Gill Sans" w:hAnsi="Gill Sans"/>
          <w:szCs w:val="24"/>
        </w:rPr>
        <w:t>joins</w:t>
      </w:r>
      <w:r w:rsidRPr="006E0C3A">
        <w:rPr>
          <w:rFonts w:ascii="Gill Sans" w:hAnsi="Gill Sans"/>
          <w:szCs w:val="24"/>
        </w:rPr>
        <w:t xml:space="preserve"> our </w:t>
      </w:r>
      <w:r>
        <w:rPr>
          <w:rFonts w:ascii="Gill Sans" w:hAnsi="Gill Sans"/>
          <w:szCs w:val="24"/>
        </w:rPr>
        <w:t xml:space="preserve">own </w:t>
      </w:r>
      <w:r w:rsidRPr="006E0C3A">
        <w:rPr>
          <w:rFonts w:ascii="Gill Sans" w:hAnsi="Gill Sans"/>
          <w:szCs w:val="24"/>
        </w:rPr>
        <w:t xml:space="preserve">active jitter reduction circuit </w:t>
      </w:r>
      <w:r>
        <w:rPr>
          <w:rFonts w:ascii="Gill Sans" w:hAnsi="Gill Sans"/>
          <w:szCs w:val="24"/>
        </w:rPr>
        <w:t xml:space="preserve">to </w:t>
      </w:r>
      <w:r w:rsidRPr="006E0C3A">
        <w:rPr>
          <w:rFonts w:ascii="Gill Sans" w:hAnsi="Gill Sans"/>
          <w:szCs w:val="24"/>
        </w:rPr>
        <w:t>ensure that your audio sounds smoother and more natural than ever before in the digital realm.”</w:t>
      </w:r>
    </w:p>
    <w:p w14:paraId="63FA9A84" w14:textId="77777777" w:rsidR="00F878D7" w:rsidRPr="002C7BCD" w:rsidRDefault="00F878D7" w:rsidP="00F878D7">
      <w:pPr>
        <w:spacing w:line="336" w:lineRule="auto"/>
        <w:rPr>
          <w:rFonts w:ascii="Gill Sans" w:hAnsi="Gill Sans"/>
          <w:b/>
          <w:szCs w:val="24"/>
        </w:rPr>
      </w:pPr>
      <w:r w:rsidRPr="00D30C40">
        <w:rPr>
          <w:rFonts w:ascii="Gill Sans" w:hAnsi="Gill Sans"/>
          <w:b/>
          <w:szCs w:val="24"/>
        </w:rPr>
        <w:t>Feeling the Pulse</w:t>
      </w:r>
      <w:r w:rsidR="002C7BCD">
        <w:rPr>
          <w:rFonts w:ascii="Gill Sans" w:hAnsi="Gill Sans"/>
          <w:b/>
          <w:szCs w:val="24"/>
        </w:rPr>
        <w:br/>
      </w:r>
      <w:r>
        <w:rPr>
          <w:rFonts w:ascii="Gill Sans" w:hAnsi="Gill Sans"/>
          <w:szCs w:val="24"/>
        </w:rPr>
        <w:t>The PULSE16 and PULSE16 MX’</w:t>
      </w:r>
      <w:r w:rsidRPr="006E0C3A">
        <w:rPr>
          <w:rFonts w:ascii="Gill Sans" w:hAnsi="Gill Sans"/>
          <w:szCs w:val="24"/>
        </w:rPr>
        <w:t xml:space="preserve">s 16 analog inputs and 16 analog outputs are available on TRS connectors and </w:t>
      </w:r>
      <w:r>
        <w:rPr>
          <w:rFonts w:ascii="Gill Sans" w:hAnsi="Gill Sans"/>
          <w:szCs w:val="24"/>
        </w:rPr>
        <w:t xml:space="preserve">are </w:t>
      </w:r>
      <w:r w:rsidRPr="006E0C3A">
        <w:rPr>
          <w:rFonts w:ascii="Gill Sans" w:hAnsi="Gill Sans"/>
          <w:szCs w:val="24"/>
        </w:rPr>
        <w:t>capable of handling levels up to +20dBu</w:t>
      </w:r>
      <w:r>
        <w:rPr>
          <w:rFonts w:ascii="Gill Sans" w:hAnsi="Gill Sans"/>
          <w:szCs w:val="24"/>
        </w:rPr>
        <w:t>, allowing</w:t>
      </w:r>
      <w:r w:rsidRPr="006E0C3A">
        <w:rPr>
          <w:rFonts w:ascii="Gill Sans" w:hAnsi="Gill Sans"/>
          <w:szCs w:val="24"/>
        </w:rPr>
        <w:t xml:space="preserve"> </w:t>
      </w:r>
      <w:r>
        <w:rPr>
          <w:rFonts w:ascii="Gill Sans" w:hAnsi="Gill Sans"/>
          <w:szCs w:val="24"/>
        </w:rPr>
        <w:t>easy integration into</w:t>
      </w:r>
      <w:r w:rsidRPr="006E0C3A">
        <w:rPr>
          <w:rFonts w:ascii="Gill Sans" w:hAnsi="Gill Sans"/>
          <w:szCs w:val="24"/>
        </w:rPr>
        <w:t xml:space="preserve"> </w:t>
      </w:r>
      <w:r>
        <w:rPr>
          <w:rFonts w:ascii="Gill Sans" w:hAnsi="Gill Sans"/>
          <w:szCs w:val="24"/>
        </w:rPr>
        <w:t>any studio environment</w:t>
      </w:r>
      <w:r w:rsidRPr="006E0C3A">
        <w:rPr>
          <w:rFonts w:ascii="Gill Sans" w:hAnsi="Gill Sans"/>
          <w:szCs w:val="24"/>
        </w:rPr>
        <w:t>. A</w:t>
      </w:r>
      <w:r>
        <w:rPr>
          <w:rFonts w:ascii="Gill Sans" w:hAnsi="Gill Sans"/>
          <w:szCs w:val="24"/>
        </w:rPr>
        <w:t xml:space="preserve">t the core of both models is the latest generation </w:t>
      </w:r>
      <w:r w:rsidRPr="006E0C3A">
        <w:rPr>
          <w:rFonts w:ascii="Gill Sans" w:hAnsi="Gill Sans"/>
          <w:szCs w:val="24"/>
        </w:rPr>
        <w:t xml:space="preserve">Cirrus Logic </w:t>
      </w:r>
      <w:r>
        <w:rPr>
          <w:rFonts w:ascii="Gill Sans" w:hAnsi="Gill Sans"/>
          <w:szCs w:val="24"/>
        </w:rPr>
        <w:t>conversion chip</w:t>
      </w:r>
      <w:r w:rsidRPr="006E0C3A">
        <w:rPr>
          <w:rFonts w:ascii="Gill Sans" w:hAnsi="Gill Sans"/>
          <w:szCs w:val="24"/>
        </w:rPr>
        <w:t xml:space="preserve">, </w:t>
      </w:r>
      <w:r w:rsidRPr="006E0C3A">
        <w:rPr>
          <w:rFonts w:ascii="Gill Sans" w:hAnsi="Gill Sans"/>
          <w:szCs w:val="24"/>
        </w:rPr>
        <w:lastRenderedPageBreak/>
        <w:t xml:space="preserve">providing pristine 24 bit/96 kHz AD/DA conversion. Dual ADAT I/O pairs handled by the </w:t>
      </w:r>
      <w:r>
        <w:rPr>
          <w:rFonts w:ascii="Gill Sans" w:hAnsi="Gill Sans"/>
          <w:szCs w:val="24"/>
        </w:rPr>
        <w:t>PULSE16</w:t>
      </w:r>
      <w:r w:rsidRPr="006E0C3A">
        <w:rPr>
          <w:rFonts w:ascii="Gill Sans" w:hAnsi="Gill Sans"/>
          <w:szCs w:val="24"/>
        </w:rPr>
        <w:t xml:space="preserve">’s four TOSLINK ports enable digital delivery of the full 16x16 analog channel count even at 96 kHz. </w:t>
      </w:r>
      <w:r>
        <w:rPr>
          <w:rFonts w:ascii="Gill Sans" w:hAnsi="Gill Sans"/>
          <w:szCs w:val="24"/>
        </w:rPr>
        <w:t>MADI I/O</w:t>
      </w:r>
      <w:r w:rsidRPr="006E0C3A">
        <w:rPr>
          <w:rFonts w:ascii="Gill Sans" w:hAnsi="Gill Sans"/>
          <w:szCs w:val="24"/>
        </w:rPr>
        <w:t>,</w:t>
      </w:r>
      <w:r>
        <w:rPr>
          <w:rFonts w:ascii="Gill Sans" w:hAnsi="Gill Sans"/>
          <w:szCs w:val="24"/>
        </w:rPr>
        <w:t xml:space="preserve"> available on the PULSE16 MX or PULSE16 via an expansion card,</w:t>
      </w:r>
      <w:r w:rsidRPr="006E0C3A">
        <w:rPr>
          <w:rFonts w:ascii="Gill Sans" w:hAnsi="Gill Sans"/>
          <w:szCs w:val="24"/>
        </w:rPr>
        <w:t xml:space="preserve"> </w:t>
      </w:r>
      <w:r>
        <w:rPr>
          <w:rFonts w:ascii="Gill Sans" w:hAnsi="Gill Sans"/>
          <w:szCs w:val="24"/>
        </w:rPr>
        <w:t>expands</w:t>
      </w:r>
      <w:r w:rsidRPr="006E0C3A">
        <w:rPr>
          <w:rFonts w:ascii="Gill Sans" w:hAnsi="Gill Sans"/>
          <w:szCs w:val="24"/>
        </w:rPr>
        <w:t xml:space="preserve"> the </w:t>
      </w:r>
      <w:r>
        <w:rPr>
          <w:rFonts w:ascii="Gill Sans" w:hAnsi="Gill Sans"/>
          <w:szCs w:val="24"/>
        </w:rPr>
        <w:t>unit’s</w:t>
      </w:r>
      <w:r w:rsidRPr="006E0C3A">
        <w:rPr>
          <w:rFonts w:ascii="Gill Sans" w:hAnsi="Gill Sans"/>
          <w:szCs w:val="24"/>
        </w:rPr>
        <w:t xml:space="preserve"> connectivity options</w:t>
      </w:r>
      <w:r>
        <w:rPr>
          <w:rFonts w:ascii="Gill Sans" w:hAnsi="Gill Sans"/>
          <w:szCs w:val="24"/>
        </w:rPr>
        <w:t xml:space="preserve"> further</w:t>
      </w:r>
      <w:r w:rsidRPr="006E0C3A">
        <w:rPr>
          <w:rFonts w:ascii="Gill Sans" w:hAnsi="Gill Sans"/>
          <w:szCs w:val="24"/>
        </w:rPr>
        <w:t xml:space="preserve">. </w:t>
      </w:r>
      <w:r>
        <w:rPr>
          <w:rFonts w:ascii="Gill Sans" w:hAnsi="Gill Sans"/>
          <w:szCs w:val="24"/>
        </w:rPr>
        <w:t xml:space="preserve">Included </w:t>
      </w:r>
      <w:r w:rsidRPr="006E0C3A">
        <w:rPr>
          <w:rFonts w:ascii="Gill Sans" w:hAnsi="Gill Sans"/>
          <w:szCs w:val="24"/>
        </w:rPr>
        <w:t>Wordclock I/O ports</w:t>
      </w:r>
      <w:r>
        <w:rPr>
          <w:rFonts w:ascii="Gill Sans" w:hAnsi="Gill Sans"/>
          <w:szCs w:val="24"/>
        </w:rPr>
        <w:t xml:space="preserve"> enable</w:t>
      </w:r>
      <w:r w:rsidRPr="006E0C3A">
        <w:rPr>
          <w:rFonts w:ascii="Gill Sans" w:hAnsi="Gill Sans"/>
          <w:szCs w:val="24"/>
        </w:rPr>
        <w:t xml:space="preserve"> synching </w:t>
      </w:r>
      <w:r>
        <w:rPr>
          <w:rFonts w:ascii="Gill Sans" w:hAnsi="Gill Sans"/>
          <w:szCs w:val="24"/>
        </w:rPr>
        <w:t xml:space="preserve">both PULSE16 models </w:t>
      </w:r>
      <w:r w:rsidRPr="006E0C3A">
        <w:rPr>
          <w:rFonts w:ascii="Gill Sans" w:hAnsi="Gill Sans"/>
          <w:szCs w:val="24"/>
        </w:rPr>
        <w:t>with other digital equipment</w:t>
      </w:r>
      <w:r>
        <w:rPr>
          <w:rFonts w:ascii="Gill Sans" w:hAnsi="Gill Sans"/>
          <w:szCs w:val="24"/>
        </w:rPr>
        <w:t>, and</w:t>
      </w:r>
      <w:r w:rsidRPr="006E0C3A">
        <w:rPr>
          <w:rFonts w:ascii="Gill Sans" w:hAnsi="Gill Sans"/>
          <w:szCs w:val="24"/>
        </w:rPr>
        <w:t xml:space="preserve"> MIDI I/O</w:t>
      </w:r>
      <w:r>
        <w:rPr>
          <w:rFonts w:ascii="Gill Sans" w:hAnsi="Gill Sans"/>
          <w:szCs w:val="24"/>
        </w:rPr>
        <w:t xml:space="preserve"> ports enable</w:t>
      </w:r>
      <w:r w:rsidRPr="006E0C3A">
        <w:rPr>
          <w:rFonts w:ascii="Gill Sans" w:hAnsi="Gill Sans"/>
          <w:szCs w:val="24"/>
        </w:rPr>
        <w:t xml:space="preserve"> </w:t>
      </w:r>
      <w:r>
        <w:rPr>
          <w:rFonts w:ascii="Gill Sans" w:hAnsi="Gill Sans"/>
          <w:szCs w:val="24"/>
        </w:rPr>
        <w:t>full</w:t>
      </w:r>
      <w:r w:rsidRPr="006E0C3A">
        <w:rPr>
          <w:rFonts w:ascii="Gill Sans" w:hAnsi="Gill Sans"/>
          <w:szCs w:val="24"/>
        </w:rPr>
        <w:t xml:space="preserve"> remote control</w:t>
      </w:r>
      <w:r>
        <w:rPr>
          <w:rFonts w:ascii="Gill Sans" w:hAnsi="Gill Sans"/>
          <w:szCs w:val="24"/>
        </w:rPr>
        <w:t xml:space="preserve"> of interface functionality</w:t>
      </w:r>
      <w:r w:rsidRPr="006E0C3A">
        <w:rPr>
          <w:rFonts w:ascii="Gill Sans" w:hAnsi="Gill Sans"/>
          <w:szCs w:val="24"/>
        </w:rPr>
        <w:t>.</w:t>
      </w:r>
    </w:p>
    <w:p w14:paraId="20069DFC" w14:textId="77777777" w:rsidR="00F878D7" w:rsidRPr="006E0C3A" w:rsidRDefault="00F878D7" w:rsidP="00F878D7">
      <w:pPr>
        <w:spacing w:line="336" w:lineRule="auto"/>
        <w:rPr>
          <w:rFonts w:ascii="Gill Sans" w:hAnsi="Gill Sans"/>
          <w:szCs w:val="24"/>
        </w:rPr>
      </w:pPr>
      <w:r w:rsidRPr="006E0C3A">
        <w:rPr>
          <w:rFonts w:ascii="Gill Sans" w:hAnsi="Gill Sans"/>
          <w:szCs w:val="24"/>
        </w:rPr>
        <w:t xml:space="preserve">The </w:t>
      </w:r>
      <w:r>
        <w:rPr>
          <w:rFonts w:ascii="Gill Sans" w:hAnsi="Gill Sans"/>
          <w:szCs w:val="24"/>
        </w:rPr>
        <w:t>PULSE16 and PULSE16 MX sport</w:t>
      </w:r>
      <w:r w:rsidRPr="006E0C3A">
        <w:rPr>
          <w:rFonts w:ascii="Gill Sans" w:hAnsi="Gill Sans"/>
          <w:szCs w:val="24"/>
        </w:rPr>
        <w:t xml:space="preserve"> full signal monitoring and </w:t>
      </w:r>
      <w:r>
        <w:rPr>
          <w:rFonts w:ascii="Gill Sans" w:hAnsi="Gill Sans"/>
          <w:szCs w:val="24"/>
        </w:rPr>
        <w:t xml:space="preserve">comprehensive </w:t>
      </w:r>
      <w:r w:rsidRPr="006E0C3A">
        <w:rPr>
          <w:rFonts w:ascii="Gill Sans" w:hAnsi="Gill Sans"/>
          <w:szCs w:val="24"/>
        </w:rPr>
        <w:t xml:space="preserve">routing control via dual TFT LCD displays on the front of the unit. </w:t>
      </w:r>
      <w:r>
        <w:rPr>
          <w:rFonts w:ascii="Gill Sans" w:hAnsi="Gill Sans"/>
          <w:szCs w:val="24"/>
        </w:rPr>
        <w:t>T</w:t>
      </w:r>
      <w:r w:rsidRPr="006E0C3A">
        <w:rPr>
          <w:rFonts w:ascii="Gill Sans" w:hAnsi="Gill Sans"/>
          <w:szCs w:val="24"/>
        </w:rPr>
        <w:t xml:space="preserve">he displays </w:t>
      </w:r>
      <w:r>
        <w:rPr>
          <w:rFonts w:ascii="Gill Sans" w:hAnsi="Gill Sans"/>
          <w:szCs w:val="24"/>
        </w:rPr>
        <w:t xml:space="preserve">can also </w:t>
      </w:r>
      <w:r w:rsidRPr="006E0C3A">
        <w:rPr>
          <w:rFonts w:ascii="Gill Sans" w:hAnsi="Gill Sans"/>
          <w:szCs w:val="24"/>
        </w:rPr>
        <w:t>provide detailed signal level readings for each channel</w:t>
      </w:r>
      <w:r>
        <w:rPr>
          <w:rFonts w:ascii="Gill Sans" w:hAnsi="Gill Sans"/>
          <w:szCs w:val="24"/>
        </w:rPr>
        <w:t>, while a</w:t>
      </w:r>
      <w:r w:rsidRPr="006E0C3A">
        <w:rPr>
          <w:rFonts w:ascii="Gill Sans" w:hAnsi="Gill Sans"/>
          <w:szCs w:val="24"/>
        </w:rPr>
        <w:t xml:space="preserve"> front-panel headphone output is available to allow easy monitoring of any stereo or mono signal passing through the interface on the fly. The innovative always-on contextual help feature, made popular in </w:t>
      </w:r>
      <w:r>
        <w:rPr>
          <w:rFonts w:ascii="Gill Sans" w:hAnsi="Gill Sans"/>
          <w:szCs w:val="24"/>
        </w:rPr>
        <w:t>Ferrofish’s</w:t>
      </w:r>
      <w:r w:rsidRPr="006E0C3A">
        <w:rPr>
          <w:rFonts w:ascii="Gill Sans" w:hAnsi="Gill Sans"/>
          <w:szCs w:val="24"/>
        </w:rPr>
        <w:t xml:space="preserve"> A32</w:t>
      </w:r>
      <w:r>
        <w:rPr>
          <w:rFonts w:ascii="Gill Sans" w:hAnsi="Gill Sans"/>
          <w:szCs w:val="24"/>
        </w:rPr>
        <w:t xml:space="preserve"> interface</w:t>
      </w:r>
      <w:r w:rsidRPr="006E0C3A">
        <w:rPr>
          <w:rFonts w:ascii="Gill Sans" w:hAnsi="Gill Sans"/>
          <w:szCs w:val="24"/>
        </w:rPr>
        <w:t>, is also available to make menu navigation a snap.</w:t>
      </w:r>
    </w:p>
    <w:p w14:paraId="38E792D5" w14:textId="77777777" w:rsidR="00F878D7" w:rsidRDefault="00F878D7" w:rsidP="00F878D7">
      <w:pPr>
        <w:spacing w:line="336" w:lineRule="auto"/>
        <w:rPr>
          <w:rFonts w:ascii="Gill Sans" w:hAnsi="Gill Sans"/>
          <w:szCs w:val="24"/>
        </w:rPr>
      </w:pPr>
      <w:r w:rsidRPr="006E0C3A">
        <w:rPr>
          <w:rFonts w:ascii="Gill Sans" w:hAnsi="Gill Sans"/>
          <w:szCs w:val="24"/>
        </w:rPr>
        <w:t xml:space="preserve">For more information, please visit Ferrofish at </w:t>
      </w:r>
      <w:r w:rsidR="00870CA9">
        <w:rPr>
          <w:rFonts w:ascii="Gill Sans" w:hAnsi="Gill Sans"/>
          <w:szCs w:val="24"/>
        </w:rPr>
        <w:t>booth</w:t>
      </w:r>
      <w:r w:rsidRPr="006E0C3A">
        <w:rPr>
          <w:rFonts w:ascii="Gill Sans" w:hAnsi="Gill Sans"/>
          <w:szCs w:val="24"/>
        </w:rPr>
        <w:t xml:space="preserve"> 14701, </w:t>
      </w:r>
      <w:r w:rsidR="00870CA9">
        <w:rPr>
          <w:rFonts w:ascii="Gill Sans" w:hAnsi="Gill Sans"/>
          <w:szCs w:val="24"/>
        </w:rPr>
        <w:t>Anaheim Convention Center North</w:t>
      </w:r>
      <w:r w:rsidRPr="006E0C3A">
        <w:rPr>
          <w:rFonts w:ascii="Gill Sans" w:hAnsi="Gill Sans"/>
          <w:szCs w:val="24"/>
        </w:rPr>
        <w:t xml:space="preserve"> or visit </w:t>
      </w:r>
      <w:hyperlink r:id="rId11" w:history="1">
        <w:r w:rsidRPr="006E0C3A">
          <w:rPr>
            <w:rStyle w:val="Hyperlink"/>
            <w:rFonts w:ascii="Gill Sans" w:hAnsi="Gill Sans"/>
            <w:szCs w:val="24"/>
          </w:rPr>
          <w:t>ferrofish.com</w:t>
        </w:r>
      </w:hyperlink>
      <w:r w:rsidRPr="006E0C3A">
        <w:rPr>
          <w:rFonts w:ascii="Gill Sans" w:hAnsi="Gill Sans"/>
          <w:szCs w:val="24"/>
        </w:rPr>
        <w:t>.</w:t>
      </w:r>
    </w:p>
    <w:p w14:paraId="26F8B765" w14:textId="77777777" w:rsidR="00F878D7" w:rsidRDefault="00F878D7" w:rsidP="00F878D7">
      <w:pPr>
        <w:rPr>
          <w:rFonts w:ascii="Gill Sans" w:hAnsi="Gill Sans"/>
          <w:szCs w:val="24"/>
        </w:rPr>
      </w:pPr>
    </w:p>
    <w:p w14:paraId="2EA05225" w14:textId="77777777" w:rsidR="00F878D7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About Ferrofish</w:t>
      </w:r>
    </w:p>
    <w:p w14:paraId="577C0E9C" w14:textId="77777777" w:rsidR="00F878D7" w:rsidRPr="00F878D7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Known for its precision-engineered German technology, Ferrofish manufacturers high quality, innovative advanced audio applications. From its class-leading A16 MK-II and A32 AD/DA converters to its Verto Series of intuitive Dante converters, Ferrofish is known for its premium conversion solutions that are ideal for a wide range of applications. For additional information, visit the company online at </w:t>
      </w:r>
      <w:hyperlink r:id="rId12">
        <w:r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http://www.ferrofish.com</w:t>
        </w:r>
      </w:hyperlink>
      <w:r>
        <w:rPr>
          <w:rFonts w:ascii="Gill Sans" w:eastAsia="Gill Sans" w:hAnsi="Gill Sans" w:cs="Gill Sans"/>
          <w:sz w:val="24"/>
          <w:szCs w:val="24"/>
        </w:rPr>
        <w:t>.</w:t>
      </w:r>
    </w:p>
    <w:p w14:paraId="4D496737" w14:textId="77777777" w:rsidR="00F878D7" w:rsidRDefault="00F878D7" w:rsidP="00F878D7">
      <w:pPr>
        <w:spacing w:line="336" w:lineRule="auto"/>
        <w:rPr>
          <w:rFonts w:ascii="Gill Sans" w:hAnsi="Gill Sans" w:cs="Gill Sans MT"/>
          <w:b/>
          <w:szCs w:val="24"/>
        </w:rPr>
      </w:pPr>
    </w:p>
    <w:p w14:paraId="14097C14" w14:textId="77777777" w:rsidR="00F878D7" w:rsidRPr="006E0C3A" w:rsidRDefault="00F878D7" w:rsidP="00F878D7">
      <w:pPr>
        <w:rPr>
          <w:rFonts w:ascii="Gill Sans" w:hAnsi="Gill Sans" w:cs="Gill Sans MT"/>
          <w:szCs w:val="24"/>
        </w:rPr>
      </w:pPr>
      <w:r w:rsidRPr="006E0C3A">
        <w:rPr>
          <w:rFonts w:ascii="Gill Sans" w:hAnsi="Gill Sans" w:cs="Gill Sans MT"/>
          <w:b/>
          <w:szCs w:val="24"/>
        </w:rPr>
        <w:t>About Synthax, Incorporated</w:t>
      </w:r>
      <w:r w:rsidRPr="006E0C3A">
        <w:rPr>
          <w:rFonts w:ascii="Gill Sans" w:hAnsi="Gill Sans" w:cs="Gill Sans MT"/>
          <w:szCs w:val="24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3" w:history="1">
        <w:r w:rsidRPr="006E0C3A">
          <w:rPr>
            <w:rStyle w:val="Hyperlink"/>
            <w:rFonts w:ascii="Gill Sans" w:hAnsi="Gill Sans" w:cs="Gill Sans MT"/>
            <w:szCs w:val="24"/>
          </w:rPr>
          <w:t>http://www.synthax.com</w:t>
        </w:r>
      </w:hyperlink>
      <w:r w:rsidRPr="006E0C3A">
        <w:rPr>
          <w:rFonts w:ascii="Gill Sans" w:hAnsi="Gill Sans" w:cs="Gill Sans MT"/>
          <w:szCs w:val="24"/>
        </w:rPr>
        <w:t>.</w:t>
      </w:r>
    </w:p>
    <w:p w14:paraId="4AE9CF9A" w14:textId="77777777" w:rsidR="00490AA6" w:rsidRPr="00F878D7" w:rsidRDefault="00F878D7" w:rsidP="00F878D7">
      <w:pPr>
        <w:spacing w:before="2" w:after="2"/>
        <w:rPr>
          <w:rFonts w:ascii="Gill Sans" w:hAnsi="Gill Sans" w:cs="Gill Sans MT"/>
          <w:b/>
          <w:szCs w:val="24"/>
        </w:rPr>
      </w:pPr>
      <w:r w:rsidRPr="006E0C3A">
        <w:rPr>
          <w:rFonts w:ascii="Gill Sans" w:hAnsi="Gill Sans" w:cs="Gill Sans MT"/>
          <w:szCs w:val="24"/>
        </w:rPr>
        <w:br/>
      </w:r>
    </w:p>
    <w:p w14:paraId="06CE139A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2AD2A774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6E6EE2EE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Media Contacts:</w:t>
      </w:r>
    </w:p>
    <w:p w14:paraId="2F04C3D7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 Touzeau</w:t>
      </w:r>
    </w:p>
    <w:p w14:paraId="64D9E0DA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1593EB8E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66C070B0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(914) 602 2913</w:t>
      </w:r>
    </w:p>
    <w:p w14:paraId="7FB0026D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jeff@hummingbirdmedia.com</w:t>
      </w:r>
    </w:p>
    <w:p w14:paraId="1E59FE6B" w14:textId="77777777" w:rsidR="00490AA6" w:rsidRDefault="00490AA6" w:rsidP="00490AA6">
      <w:pPr>
        <w:pStyle w:val="Normal1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14:paraId="7D821B38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Katie Kailus</w:t>
      </w:r>
    </w:p>
    <w:p w14:paraId="035B3712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5D5C6D9A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3DE59266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(630) 319-5226</w:t>
      </w:r>
    </w:p>
    <w:p w14:paraId="2B2E2AA6" w14:textId="77777777" w:rsidR="00490AA6" w:rsidRPr="00617A32" w:rsidRDefault="00490AA6" w:rsidP="004615F1">
      <w:pPr>
        <w:pStyle w:val="Normal1"/>
        <w:spacing w:line="240" w:lineRule="auto"/>
        <w:rPr>
          <w:rStyle w:val="Hyperlink"/>
        </w:rPr>
      </w:pPr>
      <w:r>
        <w:rPr>
          <w:rFonts w:ascii="Gill Sans" w:eastAsia="Gill Sans" w:hAnsi="Gill Sans" w:cs="Gill Sans"/>
          <w:sz w:val="24"/>
          <w:szCs w:val="24"/>
        </w:rPr>
        <w:t>katie@hummingbirdmedia.com</w:t>
      </w:r>
    </w:p>
    <w:sectPr w:rsidR="00490AA6" w:rsidRPr="00617A32" w:rsidSect="00490AA6">
      <w:headerReference w:type="first" r:id="rId14"/>
      <w:pgSz w:w="12240" w:h="15840"/>
      <w:pgMar w:top="1440" w:right="117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E4392" w14:textId="77777777" w:rsidR="00F878D7" w:rsidRDefault="00F878D7" w:rsidP="00490AA6">
      <w:pPr>
        <w:spacing w:after="0"/>
      </w:pPr>
      <w:r>
        <w:separator/>
      </w:r>
    </w:p>
  </w:endnote>
  <w:endnote w:type="continuationSeparator" w:id="0">
    <w:p w14:paraId="7F6DAC44" w14:textId="77777777" w:rsidR="00F878D7" w:rsidRDefault="00F878D7" w:rsidP="00490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9DFE" w14:textId="77777777" w:rsidR="00F878D7" w:rsidRDefault="00F878D7" w:rsidP="00490AA6">
      <w:pPr>
        <w:spacing w:after="0"/>
      </w:pPr>
      <w:r>
        <w:separator/>
      </w:r>
    </w:p>
  </w:footnote>
  <w:footnote w:type="continuationSeparator" w:id="0">
    <w:p w14:paraId="6CBDD9D0" w14:textId="77777777" w:rsidR="00F878D7" w:rsidRDefault="00F878D7" w:rsidP="00490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A33B" w14:textId="77777777" w:rsidR="00F878D7" w:rsidRDefault="00F878D7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 wp14:anchorId="188D427B" wp14:editId="7E3C22E6">
          <wp:extent cx="1981200" cy="423545"/>
          <wp:effectExtent l="0" t="0" r="0" b="8255"/>
          <wp:docPr id="1" name="Picture 1" descr="ferrofi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rofis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8E833" w14:textId="77777777" w:rsidR="00F878D7" w:rsidRPr="00AD3547" w:rsidRDefault="00F878D7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  <w:t xml:space="preserve">     </w:t>
    </w:r>
  </w:p>
  <w:p w14:paraId="2BA0B73B" w14:textId="77777777" w:rsidR="00F878D7" w:rsidRDefault="00F878D7" w:rsidP="00490A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02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Garvin">
    <w15:presenceInfo w15:providerId="Windows Live" w15:userId="0eb6112720ccf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5A2"/>
    <w:rsid w:val="0005229A"/>
    <w:rsid w:val="00053C7D"/>
    <w:rsid w:val="000557DA"/>
    <w:rsid w:val="000825D6"/>
    <w:rsid w:val="00094ED0"/>
    <w:rsid w:val="00096197"/>
    <w:rsid w:val="000C13A4"/>
    <w:rsid w:val="000C66A4"/>
    <w:rsid w:val="000D31A4"/>
    <w:rsid w:val="000F4176"/>
    <w:rsid w:val="0013262F"/>
    <w:rsid w:val="00150980"/>
    <w:rsid w:val="00177593"/>
    <w:rsid w:val="00197045"/>
    <w:rsid w:val="001A4695"/>
    <w:rsid w:val="001B2B25"/>
    <w:rsid w:val="001C59FA"/>
    <w:rsid w:val="001F331C"/>
    <w:rsid w:val="001F6FF3"/>
    <w:rsid w:val="00201E0F"/>
    <w:rsid w:val="00225FA6"/>
    <w:rsid w:val="0023047E"/>
    <w:rsid w:val="0025367C"/>
    <w:rsid w:val="00272D87"/>
    <w:rsid w:val="002A00E9"/>
    <w:rsid w:val="002A57AA"/>
    <w:rsid w:val="002B44D4"/>
    <w:rsid w:val="002C7BCD"/>
    <w:rsid w:val="002D6639"/>
    <w:rsid w:val="002D70BA"/>
    <w:rsid w:val="00322779"/>
    <w:rsid w:val="003274F1"/>
    <w:rsid w:val="00327B61"/>
    <w:rsid w:val="0037255C"/>
    <w:rsid w:val="0039508B"/>
    <w:rsid w:val="003F521D"/>
    <w:rsid w:val="00406BFD"/>
    <w:rsid w:val="00414AA5"/>
    <w:rsid w:val="00415423"/>
    <w:rsid w:val="00447474"/>
    <w:rsid w:val="004615F1"/>
    <w:rsid w:val="00467BB2"/>
    <w:rsid w:val="00490AA6"/>
    <w:rsid w:val="00495FA2"/>
    <w:rsid w:val="004A05D4"/>
    <w:rsid w:val="004C0305"/>
    <w:rsid w:val="004C1A26"/>
    <w:rsid w:val="004D50AB"/>
    <w:rsid w:val="004E0AC0"/>
    <w:rsid w:val="004E34D8"/>
    <w:rsid w:val="004F3B9D"/>
    <w:rsid w:val="004F7D31"/>
    <w:rsid w:val="00501D23"/>
    <w:rsid w:val="005149C4"/>
    <w:rsid w:val="00525ED0"/>
    <w:rsid w:val="00532B2C"/>
    <w:rsid w:val="00552C7D"/>
    <w:rsid w:val="00563445"/>
    <w:rsid w:val="005720D1"/>
    <w:rsid w:val="005A31CC"/>
    <w:rsid w:val="005D5975"/>
    <w:rsid w:val="005E7231"/>
    <w:rsid w:val="00603285"/>
    <w:rsid w:val="00617A32"/>
    <w:rsid w:val="00622AD4"/>
    <w:rsid w:val="006318B2"/>
    <w:rsid w:val="006473BE"/>
    <w:rsid w:val="006A06A5"/>
    <w:rsid w:val="006C1B75"/>
    <w:rsid w:val="006E3B19"/>
    <w:rsid w:val="007A62A4"/>
    <w:rsid w:val="007B0923"/>
    <w:rsid w:val="00812B35"/>
    <w:rsid w:val="00816995"/>
    <w:rsid w:val="0086389F"/>
    <w:rsid w:val="00870CA9"/>
    <w:rsid w:val="00892DB3"/>
    <w:rsid w:val="008A319A"/>
    <w:rsid w:val="008C17E5"/>
    <w:rsid w:val="008C50D5"/>
    <w:rsid w:val="008C6E10"/>
    <w:rsid w:val="008D1C4D"/>
    <w:rsid w:val="00936E54"/>
    <w:rsid w:val="0094352A"/>
    <w:rsid w:val="00961CC1"/>
    <w:rsid w:val="0098554D"/>
    <w:rsid w:val="00996DDD"/>
    <w:rsid w:val="009B52AF"/>
    <w:rsid w:val="009C2A54"/>
    <w:rsid w:val="009C342F"/>
    <w:rsid w:val="009F0808"/>
    <w:rsid w:val="00A11315"/>
    <w:rsid w:val="00A16224"/>
    <w:rsid w:val="00A25492"/>
    <w:rsid w:val="00A371A4"/>
    <w:rsid w:val="00AB0732"/>
    <w:rsid w:val="00AB7A50"/>
    <w:rsid w:val="00AC2AD7"/>
    <w:rsid w:val="00AE1E4D"/>
    <w:rsid w:val="00B15926"/>
    <w:rsid w:val="00B41571"/>
    <w:rsid w:val="00B716A2"/>
    <w:rsid w:val="00BA2FC6"/>
    <w:rsid w:val="00BB7A77"/>
    <w:rsid w:val="00BE7693"/>
    <w:rsid w:val="00C001BD"/>
    <w:rsid w:val="00C45D9D"/>
    <w:rsid w:val="00C611DC"/>
    <w:rsid w:val="00CD3F87"/>
    <w:rsid w:val="00CE48E0"/>
    <w:rsid w:val="00D052BB"/>
    <w:rsid w:val="00D143E0"/>
    <w:rsid w:val="00D31A97"/>
    <w:rsid w:val="00D907A3"/>
    <w:rsid w:val="00E01192"/>
    <w:rsid w:val="00E272E1"/>
    <w:rsid w:val="00E6348D"/>
    <w:rsid w:val="00E741BA"/>
    <w:rsid w:val="00EA4ADA"/>
    <w:rsid w:val="00EB78E7"/>
    <w:rsid w:val="00EC15D9"/>
    <w:rsid w:val="00EC253C"/>
    <w:rsid w:val="00F40CCA"/>
    <w:rsid w:val="00F42085"/>
    <w:rsid w:val="00F54F43"/>
    <w:rsid w:val="00F71FAA"/>
    <w:rsid w:val="00F74449"/>
    <w:rsid w:val="00F878D7"/>
    <w:rsid w:val="00FA7058"/>
    <w:rsid w:val="00FB184A"/>
    <w:rsid w:val="00FC05A2"/>
    <w:rsid w:val="00FC1DF0"/>
    <w:rsid w:val="00FD15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829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sz w:val="24"/>
      <w:lang w:val="en-GB" w:eastAsia="ja-JP"/>
    </w:rPr>
  </w:style>
  <w:style w:type="paragraph" w:styleId="Caption">
    <w:name w:val="caption"/>
    <w:basedOn w:val="Normal"/>
    <w:next w:val="Normal"/>
    <w:rsid w:val="00040EAF"/>
    <w:rPr>
      <w:b/>
      <w:bCs/>
      <w:sz w:val="20"/>
    </w:rPr>
  </w:style>
  <w:style w:type="paragraph" w:customStyle="1" w:styleId="Normal1">
    <w:name w:val="Normal1"/>
    <w:rsid w:val="00B850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errofish.com/en" TargetMode="External"/><Relationship Id="rId12" Type="http://schemas.openxmlformats.org/officeDocument/2006/relationships/hyperlink" Target="http://www.ferrofish.com" TargetMode="External"/><Relationship Id="rId13" Type="http://schemas.openxmlformats.org/officeDocument/2006/relationships/hyperlink" Target="http://www.synthax.com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ferrofish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8D811-54D5-F94E-B419-BEAE206B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4285</CharactersWithSpaces>
  <SharedDoc>false</SharedDoc>
  <HLinks>
    <vt:vector size="42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http://www.ferrofish.com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3080305</vt:i4>
      </vt:variant>
      <vt:variant>
        <vt:i4>6310</vt:i4>
      </vt:variant>
      <vt:variant>
        <vt:i4>1025</vt:i4>
      </vt:variant>
      <vt:variant>
        <vt:i4>1</vt:i4>
      </vt:variant>
      <vt:variant>
        <vt:lpwstr>ferrofish-logo</vt:lpwstr>
      </vt:variant>
      <vt:variant>
        <vt:lpwstr/>
      </vt:variant>
      <vt:variant>
        <vt:i4>4653091</vt:i4>
      </vt:variant>
      <vt:variant>
        <vt:i4>-1</vt:i4>
      </vt:variant>
      <vt:variant>
        <vt:i4>1029</vt:i4>
      </vt:variant>
      <vt:variant>
        <vt:i4>1</vt:i4>
      </vt:variant>
      <vt:variant>
        <vt:lpwstr>unnamed-1</vt:lpwstr>
      </vt:variant>
      <vt:variant>
        <vt:lpwstr/>
      </vt:variant>
      <vt:variant>
        <vt:i4>2228242</vt:i4>
      </vt:variant>
      <vt:variant>
        <vt:i4>-1</vt:i4>
      </vt:variant>
      <vt:variant>
        <vt:i4>1030</vt:i4>
      </vt:variant>
      <vt:variant>
        <vt:i4>1</vt:i4>
      </vt:variant>
      <vt:variant>
        <vt:lpwstr>SYTYCD-s14_33-Group-Top-T10_2022_R_hires2</vt:lpwstr>
      </vt:variant>
      <vt:variant>
        <vt:lpwstr/>
      </vt:variant>
      <vt:variant>
        <vt:i4>4194363</vt:i4>
      </vt:variant>
      <vt:variant>
        <vt:i4>-1</vt:i4>
      </vt:variant>
      <vt:variant>
        <vt:i4>1031</vt:i4>
      </vt:variant>
      <vt:variant>
        <vt:i4>1</vt:i4>
      </vt:variant>
      <vt:variant>
        <vt:lpwstr>a32dantefront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81</cp:revision>
  <cp:lastPrinted>2016-11-18T03:19:00Z</cp:lastPrinted>
  <dcterms:created xsi:type="dcterms:W3CDTF">2017-10-25T21:26:00Z</dcterms:created>
  <dcterms:modified xsi:type="dcterms:W3CDTF">2018-01-19T22:54:00Z</dcterms:modified>
</cp:coreProperties>
</file>