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b w:val="1"/>
          <w:i w:val="1"/>
          <w:sz w:val="22"/>
          <w:szCs w:val="22"/>
          <w:highlight w:val="white"/>
        </w:rPr>
      </w:pPr>
      <w:r w:rsidDel="00000000" w:rsidR="00000000" w:rsidRPr="00000000">
        <w:rPr>
          <w:rFonts w:ascii="Arial" w:cs="Arial" w:eastAsia="Arial" w:hAnsi="Arial"/>
          <w:b w:val="1"/>
          <w:sz w:val="22"/>
          <w:szCs w:val="22"/>
          <w:highlight w:val="white"/>
          <w:rtl w:val="0"/>
        </w:rPr>
        <w:t xml:space="preserve"> Rhodes Music Introduces the Rhodes Wurli Plug-in: A Faithful Recreation of the Classic Reed-Based Electric Piano</w:t>
      </w:r>
      <w:r w:rsidDel="00000000" w:rsidR="00000000" w:rsidRPr="00000000">
        <w:rPr>
          <w:rtl w:val="0"/>
        </w:rPr>
      </w:r>
    </w:p>
    <w:p w:rsidR="00000000" w:rsidDel="00000000" w:rsidP="00000000" w:rsidRDefault="00000000" w:rsidRPr="00000000" w14:paraId="00000002">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June 3, 2025 — </w:t>
      </w:r>
      <w:hyperlink r:id="rId7">
        <w:r w:rsidDel="00000000" w:rsidR="00000000" w:rsidRPr="00000000">
          <w:rPr>
            <w:rFonts w:ascii="Arial" w:cs="Arial" w:eastAsia="Arial" w:hAnsi="Arial"/>
            <w:b w:val="1"/>
            <w:color w:val="1155cc"/>
            <w:sz w:val="22"/>
            <w:szCs w:val="22"/>
            <w:highlight w:val="white"/>
            <w:u w:val="single"/>
            <w:rtl w:val="0"/>
          </w:rPr>
          <w:t xml:space="preserve">Rhodes Music</w:t>
        </w:r>
      </w:hyperlink>
      <w:r w:rsidDel="00000000" w:rsidR="00000000" w:rsidRPr="00000000">
        <w:rPr>
          <w:rFonts w:ascii="Arial" w:cs="Arial" w:eastAsia="Arial" w:hAnsi="Arial"/>
          <w:b w:val="1"/>
          <w:sz w:val="22"/>
          <w:szCs w:val="22"/>
          <w:highlight w:val="white"/>
          <w:rtl w:val="0"/>
        </w:rPr>
        <w:t xml:space="preserve"> expands its virtual instrument lineup with the </w:t>
      </w:r>
      <w:hyperlink r:id="rId8">
        <w:r w:rsidDel="00000000" w:rsidR="00000000" w:rsidRPr="00000000">
          <w:rPr>
            <w:rFonts w:ascii="Arial" w:cs="Arial" w:eastAsia="Arial" w:hAnsi="Arial"/>
            <w:b w:val="1"/>
            <w:color w:val="1155cc"/>
            <w:sz w:val="22"/>
            <w:szCs w:val="22"/>
            <w:highlight w:val="white"/>
            <w:u w:val="single"/>
            <w:rtl w:val="0"/>
          </w:rPr>
          <w:t xml:space="preserve">Rhodes Wurli</w:t>
        </w:r>
      </w:hyperlink>
      <w:r w:rsidDel="00000000" w:rsidR="00000000" w:rsidRPr="00000000">
        <w:rPr>
          <w:rFonts w:ascii="Arial" w:cs="Arial" w:eastAsia="Arial" w:hAnsi="Arial"/>
          <w:b w:val="1"/>
          <w:sz w:val="22"/>
          <w:szCs w:val="22"/>
          <w:highlight w:val="white"/>
          <w:rtl w:val="0"/>
        </w:rPr>
        <w:t xml:space="preserve"> — a deeply musical recreation of the iconic reed-based electric piano sound that shaped some of the most enduring records of the past five decades.</w:t>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Timeless Tone, Modern Performance</w:t>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Rhodes Wurli draws on the character of legendary reed-based electric pianos introduced in the 1970s — celebrated for their compact design, midrange-forward bite, and dynamic, expressive tone. Its unmistakable tone became a fixture on classic records by artists like Ray Charles, Joni Mitchell, Elton John, Supertramp, and Beck — and continues to inspire musicians working across many genres today.</w:t>
      </w:r>
    </w:p>
    <w:p w:rsidR="00000000" w:rsidDel="00000000" w:rsidP="00000000" w:rsidRDefault="00000000" w:rsidRPr="00000000" w14:paraId="00000007">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part of our ever-expanding library of classic instruments, we’re proud to share our own take on the iconic reed-based electric piano,” says Dan Goldman, Chief Product Officer at Rhodes Music. “Sampled by the same expert team behind the Rhodes V8 and </w:t>
      </w:r>
      <w:hyperlink r:id="rId9">
        <w:r w:rsidDel="00000000" w:rsidR="00000000" w:rsidRPr="00000000">
          <w:rPr>
            <w:rFonts w:ascii="Arial" w:cs="Arial" w:eastAsia="Arial" w:hAnsi="Arial"/>
            <w:color w:val="1155cc"/>
            <w:sz w:val="22"/>
            <w:szCs w:val="22"/>
            <w:highlight w:val="white"/>
            <w:u w:val="single"/>
            <w:rtl w:val="0"/>
          </w:rPr>
          <w:t xml:space="preserve">Anthology plug-ins</w:t>
        </w:r>
      </w:hyperlink>
      <w:r w:rsidDel="00000000" w:rsidR="00000000" w:rsidRPr="00000000">
        <w:rPr>
          <w:rFonts w:ascii="Arial" w:cs="Arial" w:eastAsia="Arial" w:hAnsi="Arial"/>
          <w:sz w:val="22"/>
          <w:szCs w:val="22"/>
          <w:highlight w:val="white"/>
          <w:rtl w:val="0"/>
        </w:rPr>
        <w:t xml:space="preserve">, Rhodes Wurli brings the 200A to a whole new level of musicality and playability. Paired with Anthology’s powerful sound-shaping tools, effects, and intuitive interface, the result is something truly special — raw, warm, and beautifully expressive.”</w:t>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Vintage Feel, Contemporary Control</w:t>
      </w:r>
    </w:p>
    <w:p w:rsidR="00000000" w:rsidDel="00000000" w:rsidP="00000000" w:rsidRDefault="00000000" w:rsidRPr="00000000" w14:paraId="0000000B">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Built on the same robust engine as Rhodes Anthology, Rhodes Wurli features a vintage-style interface that nods to the original’s front panel design. Retro LED indicators, classic rotary dials, and intuitive navigation create a UI that balances nostalgia with modern workflow enhancements.</w:t>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Users can dial in unique textures using tools like:</w:t>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Timbre Shift</w:t>
      </w:r>
      <w:r w:rsidDel="00000000" w:rsidR="00000000" w:rsidRPr="00000000">
        <w:rPr>
          <w:rFonts w:ascii="Arial" w:cs="Arial" w:eastAsia="Arial" w:hAnsi="Arial"/>
          <w:sz w:val="22"/>
          <w:szCs w:val="22"/>
          <w:highlight w:val="white"/>
          <w:rtl w:val="0"/>
        </w:rPr>
        <w:t xml:space="preserve">: Revoice the instrument in real time.</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Global Tune</w:t>
      </w:r>
      <w:r w:rsidDel="00000000" w:rsidR="00000000" w:rsidRPr="00000000">
        <w:rPr>
          <w:rFonts w:ascii="Arial" w:cs="Arial" w:eastAsia="Arial" w:hAnsi="Arial"/>
          <w:sz w:val="22"/>
          <w:szCs w:val="22"/>
          <w:highlight w:val="white"/>
          <w:rtl w:val="0"/>
        </w:rPr>
        <w:t xml:space="preserve">: Match your session’s tuning with precision.</w:t>
      </w: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Authentic Vibrato</w:t>
      </w:r>
      <w:r w:rsidDel="00000000" w:rsidR="00000000" w:rsidRPr="00000000">
        <w:rPr>
          <w:rFonts w:ascii="Arial" w:cs="Arial" w:eastAsia="Arial" w:hAnsi="Arial"/>
          <w:sz w:val="22"/>
          <w:szCs w:val="22"/>
          <w:highlight w:val="white"/>
          <w:rtl w:val="0"/>
        </w:rPr>
        <w:t xml:space="preserve">: Modeled after the classic hardware circuit for added vintage warmth.</w:t>
      </w:r>
      <w:r w:rsidDel="00000000" w:rsidR="00000000" w:rsidRPr="00000000">
        <w:rPr>
          <w:rtl w:val="0"/>
        </w:rPr>
      </w:r>
    </w:p>
    <w:p w:rsidR="00000000" w:rsidDel="00000000" w:rsidP="00000000" w:rsidRDefault="00000000" w:rsidRPr="00000000" w14:paraId="00000012">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Rhodes Wurli also introduces two new authentic models of the 200A’s amplifier and front-facing panel mounted speakers — known for their midrange bite and natural breakup — alongside the amp models already familiar to Rhodes users.</w:t>
      </w:r>
    </w:p>
    <w:p w:rsidR="00000000" w:rsidDel="00000000" w:rsidP="00000000" w:rsidRDefault="00000000" w:rsidRPr="00000000" w14:paraId="00000014">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Pricing and Availability</w:t>
      </w:r>
    </w:p>
    <w:p w:rsidR="00000000" w:rsidDel="00000000" w:rsidP="00000000" w:rsidRDefault="00000000" w:rsidRPr="00000000" w14:paraId="00000016">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Rhodes Wurli is available now in VST, AU, and AAX formats through the official Rhodes Music store.</w:t>
      </w:r>
    </w:p>
    <w:p w:rsidR="00000000" w:rsidDel="00000000" w:rsidP="00000000" w:rsidRDefault="00000000" w:rsidRPr="00000000" w14:paraId="00000017">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Standard Pricing:</w:t>
      </w:r>
    </w:p>
    <w:p w:rsidR="00000000" w:rsidDel="00000000" w:rsidP="00000000" w:rsidRDefault="00000000" w:rsidRPr="00000000" w14:paraId="00000019">
      <w:pPr>
        <w:spacing w:line="276" w:lineRule="auto"/>
        <w:ind w:left="72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A">
      <w:pPr>
        <w:numPr>
          <w:ilvl w:val="0"/>
          <w:numId w:val="4"/>
        </w:numPr>
        <w:spacing w:line="276" w:lineRule="auto"/>
        <w:ind w:left="1440" w:hanging="360"/>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GBP: £89.95 (Inc VAT)</w:t>
      </w:r>
    </w:p>
    <w:p w:rsidR="00000000" w:rsidDel="00000000" w:rsidP="00000000" w:rsidRDefault="00000000" w:rsidRPr="00000000" w14:paraId="0000001B">
      <w:pPr>
        <w:numPr>
          <w:ilvl w:val="0"/>
          <w:numId w:val="4"/>
        </w:numPr>
        <w:spacing w:line="276" w:lineRule="auto"/>
        <w:ind w:left="1440" w:hanging="360"/>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EUR: €99.95 (+ local taxes)</w:t>
      </w:r>
    </w:p>
    <w:p w:rsidR="00000000" w:rsidDel="00000000" w:rsidP="00000000" w:rsidRDefault="00000000" w:rsidRPr="00000000" w14:paraId="0000001C">
      <w:pPr>
        <w:numPr>
          <w:ilvl w:val="0"/>
          <w:numId w:val="4"/>
        </w:numPr>
        <w:spacing w:line="276" w:lineRule="auto"/>
        <w:ind w:left="1440" w:hanging="360"/>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USD: $129.95</w:t>
      </w:r>
    </w:p>
    <w:p w:rsidR="00000000" w:rsidDel="00000000" w:rsidP="00000000" w:rsidRDefault="00000000" w:rsidRPr="00000000" w14:paraId="0000001D">
      <w:pPr>
        <w:spacing w:line="276" w:lineRule="auto"/>
        <w:ind w:left="72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E">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Introductory Offer – 30 percent off through June 30, 2025:</w:t>
      </w:r>
    </w:p>
    <w:p w:rsidR="00000000" w:rsidDel="00000000" w:rsidP="00000000" w:rsidRDefault="00000000" w:rsidRPr="00000000" w14:paraId="0000001F">
      <w:pPr>
        <w:spacing w:line="276" w:lineRule="auto"/>
        <w:ind w:left="72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20">
      <w:pPr>
        <w:numPr>
          <w:ilvl w:val="0"/>
          <w:numId w:val="3"/>
        </w:numPr>
        <w:spacing w:line="276" w:lineRule="auto"/>
        <w:ind w:left="1440" w:hanging="360"/>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GBP: £62.97 (Inc VAT)</w:t>
      </w:r>
    </w:p>
    <w:p w:rsidR="00000000" w:rsidDel="00000000" w:rsidP="00000000" w:rsidRDefault="00000000" w:rsidRPr="00000000" w14:paraId="00000021">
      <w:pPr>
        <w:numPr>
          <w:ilvl w:val="0"/>
          <w:numId w:val="3"/>
        </w:numPr>
        <w:spacing w:line="276" w:lineRule="auto"/>
        <w:ind w:left="1440" w:hanging="360"/>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EUR: €69.97 (+ local taxes)</w:t>
      </w:r>
    </w:p>
    <w:p w:rsidR="00000000" w:rsidDel="00000000" w:rsidP="00000000" w:rsidRDefault="00000000" w:rsidRPr="00000000" w14:paraId="00000022">
      <w:pPr>
        <w:numPr>
          <w:ilvl w:val="0"/>
          <w:numId w:val="3"/>
        </w:numPr>
        <w:spacing w:line="276" w:lineRule="auto"/>
        <w:ind w:left="1440" w:hanging="360"/>
        <w:rPr>
          <w:rFonts w:ascii="Arial" w:cs="Arial" w:eastAsia="Arial" w:hAnsi="Arial"/>
          <w:b w:val="1"/>
          <w:sz w:val="22"/>
          <w:szCs w:val="22"/>
          <w:highlight w:val="white"/>
          <w:u w:val="none"/>
        </w:rPr>
      </w:pPr>
      <w:r w:rsidDel="00000000" w:rsidR="00000000" w:rsidRPr="00000000">
        <w:rPr>
          <w:rFonts w:ascii="Arial" w:cs="Arial" w:eastAsia="Arial" w:hAnsi="Arial"/>
          <w:b w:val="1"/>
          <w:sz w:val="22"/>
          <w:szCs w:val="22"/>
          <w:highlight w:val="white"/>
          <w:rtl w:val="0"/>
        </w:rPr>
        <w:t xml:space="preserve">USD: $90.97</w:t>
      </w:r>
    </w:p>
    <w:p w:rsidR="00000000" w:rsidDel="00000000" w:rsidP="00000000" w:rsidRDefault="00000000" w:rsidRPr="00000000" w14:paraId="00000023">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4">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learn more or purchase, visit: </w:t>
      </w:r>
      <w:hyperlink r:id="rId10">
        <w:r w:rsidDel="00000000" w:rsidR="00000000" w:rsidRPr="00000000">
          <w:rPr>
            <w:rFonts w:ascii="Arial" w:cs="Arial" w:eastAsia="Arial" w:hAnsi="Arial"/>
            <w:color w:val="1155cc"/>
            <w:sz w:val="22"/>
            <w:szCs w:val="22"/>
            <w:highlight w:val="white"/>
            <w:u w:val="single"/>
            <w:rtl w:val="0"/>
          </w:rPr>
          <w:t xml:space="preserve">www.rhodesmusic.com</w:t>
        </w:r>
      </w:hyperlink>
      <w:r w:rsidDel="00000000" w:rsidR="00000000" w:rsidRPr="00000000">
        <w:rPr>
          <w:rtl w:val="0"/>
        </w:rPr>
      </w:r>
    </w:p>
    <w:p w:rsidR="00000000" w:rsidDel="00000000" w:rsidP="00000000" w:rsidRDefault="00000000" w:rsidRPr="00000000" w14:paraId="00000025">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7">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B">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C">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D">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E">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F">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30">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31">
      <w:pPr>
        <w:spacing w:line="276" w:lineRule="auto"/>
        <w:rPr>
          <w:highlight w:val="white"/>
        </w:rPr>
      </w:pPr>
      <w:r w:rsidDel="00000000" w:rsidR="00000000" w:rsidRPr="00000000">
        <w:rPr>
          <w:rtl w:val="0"/>
        </w:rPr>
      </w:r>
    </w:p>
    <w:p w:rsidR="00000000" w:rsidDel="00000000" w:rsidP="00000000" w:rsidRDefault="00000000" w:rsidRPr="00000000" w14:paraId="00000032">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33">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4">
      <w:pPr>
        <w:spacing w:line="276" w:lineRule="auto"/>
        <w:rPr>
          <w:highlight w:val="white"/>
        </w:rPr>
      </w:pPr>
      <w:hyperlink r:id="rId11">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5">
      <w:pPr>
        <w:spacing w:line="276" w:lineRule="auto"/>
        <w:rPr>
          <w:highlight w:val="white"/>
        </w:rPr>
      </w:pPr>
      <w:r w:rsidDel="00000000" w:rsidR="00000000" w:rsidRPr="00000000">
        <w:rPr>
          <w:rtl w:val="0"/>
        </w:rPr>
      </w:r>
    </w:p>
    <w:p w:rsidR="00000000" w:rsidDel="00000000" w:rsidP="00000000" w:rsidRDefault="00000000" w:rsidRPr="00000000" w14:paraId="00000036">
      <w:pPr>
        <w:spacing w:line="276" w:lineRule="auto"/>
        <w:rPr>
          <w:highlight w:val="white"/>
        </w:rPr>
      </w:pPr>
      <w:r w:rsidDel="00000000" w:rsidR="00000000" w:rsidRPr="00000000">
        <w:rPr>
          <w:rtl w:val="0"/>
        </w:rPr>
      </w:r>
    </w:p>
    <w:p w:rsidR="00000000" w:rsidDel="00000000" w:rsidP="00000000" w:rsidRDefault="00000000" w:rsidRPr="00000000" w14:paraId="00000037">
      <w:pPr>
        <w:spacing w:line="276" w:lineRule="auto"/>
        <w:rPr>
          <w:highlight w:val="white"/>
        </w:rPr>
      </w:pP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rtl w:val="0"/>
        </w:rPr>
      </w:r>
    </w:p>
    <w:p w:rsidR="00000000" w:rsidDel="00000000" w:rsidP="00000000" w:rsidRDefault="00000000" w:rsidRPr="00000000" w14:paraId="0000003A">
      <w:pPr>
        <w:spacing w:line="276" w:lineRule="auto"/>
        <w:rPr>
          <w:highlight w:val="white"/>
        </w:rPr>
      </w:pPr>
      <w:r w:rsidDel="00000000" w:rsidR="00000000" w:rsidRPr="00000000">
        <w:rPr>
          <w:rtl w:val="0"/>
        </w:rPr>
      </w:r>
    </w:p>
    <w:sectPr>
      <w:headerReference r:id="rId12" w:type="default"/>
      <w:headerReference r:id="rId13" w:type="first"/>
      <w:headerReference r:id="rId14" w:type="even"/>
      <w:footerReference r:id="rId15"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Wurli</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1"/>
      <w:keepLines w:val="1"/>
      <w:spacing w:after="120" w:before="480" w:lineRule="auto"/>
      <w:jc w:val="center"/>
      <w:rPr>
        <w:b w:val="1"/>
        <w:sz w:val="48"/>
        <w:szCs w:val="48"/>
        <w:highlight w:val="white"/>
        <w:u w:val="single"/>
      </w:rPr>
    </w:pPr>
    <w:r w:rsidDel="00000000" w:rsidR="00000000" w:rsidRPr="00000000">
      <w:rPr>
        <w:b w:val="1"/>
        <w:sz w:val="48"/>
        <w:szCs w:val="48"/>
        <w:highlight w:val="white"/>
      </w:rPr>
      <w:drawing>
        <wp:inline distB="0" distT="0" distL="0" distR="0">
          <wp:extent cx="3293586" cy="1207526"/>
          <wp:effectExtent b="0" l="0" r="0" t="0"/>
          <wp:docPr descr="A picture containing font, graphics, logo, black&#10;&#10;Description automatically generated" id="1279846640"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1"/>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1"/>
      <w:keepLines w:val="1"/>
      <w:spacing w:after="120" w:before="480" w:lineRule="auto"/>
      <w:jc w:val="center"/>
      <w:rPr>
        <w:b w:val="1"/>
        <w:sz w:val="48"/>
        <w:szCs w:val="48"/>
        <w:highlight w:val="white"/>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Wurli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unter@hummingbirdmedia.com" TargetMode="External"/><Relationship Id="rId10" Type="http://schemas.openxmlformats.org/officeDocument/2006/relationships/hyperlink" Target="https://rhodesmusic.com/rhodes-wurli-plugin/"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odesmusic.com/rhodes-anthology-plugin/?srsltid=AfmBOorN-bv53f6OeNX-lr_iQLsWv1L6RmuMmAmWsot87km3uDs9jkbF" TargetMode="External"/><Relationship Id="rId15"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odesmusic.com/" TargetMode="External"/><Relationship Id="rId8" Type="http://schemas.openxmlformats.org/officeDocument/2006/relationships/hyperlink" Target="https://rhodesmusic.com/rhodes-wurli-plu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QTYlJccExRQE7+uhcrVvaXbw==">CgMxLjA4AHIhMWwyRnpiSGNjTlNpbkNhdkZPMVp6a0hfRFEzR3lxZ085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