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jc w:val="center"/>
        <w:rPr>
          <w:b w:val="1"/>
          <w:sz w:val="28"/>
          <w:szCs w:val="28"/>
        </w:rPr>
      </w:pPr>
      <w:r w:rsidDel="00000000" w:rsidR="00000000" w:rsidRPr="00000000">
        <w:rPr>
          <w:rtl w:val="0"/>
        </w:rPr>
      </w:r>
    </w:p>
    <w:p w:rsidR="00000000" w:rsidDel="00000000" w:rsidP="00000000" w:rsidRDefault="00000000" w:rsidRPr="00000000" w14:paraId="00000002">
      <w:pPr>
        <w:shd w:fill="ffffff" w:val="clear"/>
        <w:jc w:val="center"/>
        <w:rPr>
          <w:b w:val="1"/>
          <w:sz w:val="30"/>
          <w:szCs w:val="30"/>
        </w:rPr>
      </w:pPr>
      <w:r w:rsidDel="00000000" w:rsidR="00000000" w:rsidRPr="00000000">
        <w:rPr>
          <w:b w:val="1"/>
          <w:sz w:val="30"/>
          <w:szCs w:val="30"/>
          <w:rtl w:val="0"/>
        </w:rPr>
        <w:t xml:space="preserve">P&amp;G</w:t>
      </w:r>
      <w:r w:rsidDel="00000000" w:rsidR="00000000" w:rsidRPr="00000000">
        <w:rPr>
          <w:b w:val="1"/>
          <w:sz w:val="30"/>
          <w:szCs w:val="30"/>
          <w:rtl w:val="0"/>
        </w:rPr>
        <w:t xml:space="preserve"> es reconocida como la empresa del sector consumo masivo con mejor reputación corporativa en México</w:t>
      </w:r>
    </w:p>
    <w:p w:rsidR="00000000" w:rsidDel="00000000" w:rsidP="00000000" w:rsidRDefault="00000000" w:rsidRPr="00000000" w14:paraId="00000003">
      <w:pPr>
        <w:shd w:fill="ffffff" w:val="clear"/>
        <w:jc w:val="center"/>
        <w:rPr>
          <w:b w:val="1"/>
          <w:sz w:val="28"/>
          <w:szCs w:val="28"/>
        </w:rPr>
      </w:pPr>
      <w:r w:rsidDel="00000000" w:rsidR="00000000" w:rsidRPr="00000000">
        <w:rPr>
          <w:rtl w:val="0"/>
        </w:rPr>
      </w:r>
    </w:p>
    <w:p w:rsidR="00000000" w:rsidDel="00000000" w:rsidP="00000000" w:rsidRDefault="00000000" w:rsidRPr="00000000" w14:paraId="00000004">
      <w:pPr>
        <w:numPr>
          <w:ilvl w:val="0"/>
          <w:numId w:val="1"/>
        </w:numPr>
        <w:shd w:fill="ffffff" w:val="clear"/>
        <w:ind w:left="720" w:hanging="360"/>
        <w:jc w:val="both"/>
        <w:rPr/>
      </w:pPr>
      <w:r w:rsidDel="00000000" w:rsidR="00000000" w:rsidRPr="00000000">
        <w:rPr>
          <w:highlight w:val="white"/>
          <w:rtl w:val="0"/>
        </w:rPr>
        <w:t xml:space="preserve">Monitor</w:t>
      </w:r>
      <w:r w:rsidDel="00000000" w:rsidR="00000000" w:rsidRPr="00000000">
        <w:rPr>
          <w:highlight w:val="white"/>
          <w:rtl w:val="0"/>
        </w:rPr>
        <w:t xml:space="preserve"> Empresarial de Reputación Corporativa (Merco) reveló la lista de las 100 empresas con mejor reputación en México en 2023</w:t>
      </w:r>
      <w:r w:rsidDel="00000000" w:rsidR="00000000" w:rsidRPr="00000000">
        <w:rPr>
          <w:rtl w:val="0"/>
        </w:rPr>
        <w:t xml:space="preserve"> y las empresas líderes por sector.</w:t>
      </w:r>
    </w:p>
    <w:p w:rsidR="00000000" w:rsidDel="00000000" w:rsidP="00000000" w:rsidRDefault="00000000" w:rsidRPr="00000000" w14:paraId="00000005">
      <w:pPr>
        <w:numPr>
          <w:ilvl w:val="0"/>
          <w:numId w:val="1"/>
        </w:numPr>
        <w:shd w:fill="ffffff" w:val="clear"/>
        <w:ind w:left="720" w:hanging="360"/>
        <w:jc w:val="both"/>
        <w:rPr>
          <w:highlight w:val="white"/>
        </w:rPr>
      </w:pPr>
      <w:r w:rsidDel="00000000" w:rsidR="00000000" w:rsidRPr="00000000">
        <w:rPr>
          <w:highlight w:val="white"/>
          <w:rtl w:val="0"/>
        </w:rPr>
        <w:t xml:space="preserve">En el marco del 75 aniversario, </w:t>
      </w:r>
      <w:r w:rsidDel="00000000" w:rsidR="00000000" w:rsidRPr="00000000">
        <w:rPr>
          <w:rtl w:val="0"/>
        </w:rPr>
        <w:t xml:space="preserve">Procter &amp; Gamble</w:t>
      </w:r>
      <w:r w:rsidDel="00000000" w:rsidR="00000000" w:rsidRPr="00000000">
        <w:rPr>
          <w:highlight w:val="white"/>
          <w:rtl w:val="0"/>
        </w:rPr>
        <w:t xml:space="preserve"> celebró su reconocimiento y destacó su compromiso con la ciudadanía corporativa y ocho años continuos de crecimiento en ventas.</w:t>
      </w:r>
    </w:p>
    <w:p w:rsidR="00000000" w:rsidDel="00000000" w:rsidP="00000000" w:rsidRDefault="00000000" w:rsidRPr="00000000" w14:paraId="00000006">
      <w:pPr>
        <w:shd w:fill="ffffff" w:val="clear"/>
        <w:jc w:val="both"/>
        <w:rPr>
          <w:i w:val="1"/>
          <w:color w:val="666666"/>
          <w:highlight w:val="white"/>
        </w:rPr>
      </w:pPr>
      <w:r w:rsidDel="00000000" w:rsidR="00000000" w:rsidRPr="00000000">
        <w:rPr>
          <w:rtl w:val="0"/>
        </w:rPr>
      </w:r>
    </w:p>
    <w:p w:rsidR="00000000" w:rsidDel="00000000" w:rsidP="00000000" w:rsidRDefault="00000000" w:rsidRPr="00000000" w14:paraId="00000007">
      <w:pPr>
        <w:spacing w:line="240" w:lineRule="auto"/>
        <w:jc w:val="both"/>
        <w:rPr>
          <w:highlight w:val="white"/>
        </w:rPr>
      </w:pPr>
      <w:r w:rsidDel="00000000" w:rsidR="00000000" w:rsidRPr="00000000">
        <w:rPr>
          <w:b w:val="1"/>
          <w:rtl w:val="0"/>
        </w:rPr>
        <w:t xml:space="preserve">CIUDAD DE MÉXICO 24 de octubre de 2023</w:t>
      </w:r>
      <w:r w:rsidDel="00000000" w:rsidR="00000000" w:rsidRPr="00000000">
        <w:rPr>
          <w:rtl w:val="0"/>
        </w:rPr>
        <w:t xml:space="preserve">-. Procter &amp; Gamble, en el marco de su 75 aniversario en el país, fue reconocida por </w:t>
      </w:r>
      <w:r w:rsidDel="00000000" w:rsidR="00000000" w:rsidRPr="00000000">
        <w:rPr>
          <w:highlight w:val="white"/>
          <w:rtl w:val="0"/>
        </w:rPr>
        <w:t xml:space="preserve">Merco en la onceava edición del ranking ‘Empresas y Líderes México’</w:t>
      </w:r>
      <w:r w:rsidDel="00000000" w:rsidR="00000000" w:rsidRPr="00000000">
        <w:rPr>
          <w:rtl w:val="0"/>
        </w:rPr>
        <w:t xml:space="preserve"> que da</w:t>
      </w:r>
      <w:r w:rsidDel="00000000" w:rsidR="00000000" w:rsidRPr="00000000">
        <w:rPr>
          <w:highlight w:val="white"/>
          <w:rtl w:val="0"/>
        </w:rPr>
        <w:t xml:space="preserve"> a conocer a las empresas y líderes con mejor reputación en el país, a través del cual se da visión de la influencia de estos personajes en sus industrias.</w:t>
      </w:r>
    </w:p>
    <w:p w:rsidR="00000000" w:rsidDel="00000000" w:rsidP="00000000" w:rsidRDefault="00000000" w:rsidRPr="00000000" w14:paraId="00000008">
      <w:pPr>
        <w:spacing w:line="240" w:lineRule="auto"/>
        <w:jc w:val="both"/>
        <w:rPr>
          <w:highlight w:val="white"/>
        </w:rPr>
      </w:pPr>
      <w:r w:rsidDel="00000000" w:rsidR="00000000" w:rsidRPr="00000000">
        <w:rPr>
          <w:rtl w:val="0"/>
        </w:rPr>
      </w:r>
    </w:p>
    <w:p w:rsidR="00000000" w:rsidDel="00000000" w:rsidP="00000000" w:rsidRDefault="00000000" w:rsidRPr="00000000" w14:paraId="00000009">
      <w:pPr>
        <w:spacing w:line="240" w:lineRule="auto"/>
        <w:jc w:val="both"/>
        <w:rPr/>
      </w:pPr>
      <w:r w:rsidDel="00000000" w:rsidR="00000000" w:rsidRPr="00000000">
        <w:rPr>
          <w:i w:val="1"/>
          <w:highlight w:val="white"/>
          <w:rtl w:val="0"/>
        </w:rPr>
        <w:t xml:space="preserve">“</w:t>
      </w:r>
      <w:r w:rsidDel="00000000" w:rsidR="00000000" w:rsidRPr="00000000">
        <w:rPr>
          <w:i w:val="1"/>
          <w:rtl w:val="0"/>
        </w:rPr>
        <w:t xml:space="preserve">Estamos celebrando 75 años en México, y por eso, reforzamos nuestro compromiso para continuar siendo una fuerza para el bien y el crecimiento en país a través de nuestro propósito, principios y valores mejorando la vida diaria de las familias y comunidades del país. A lo largo de los años, </w:t>
      </w:r>
      <w:r w:rsidDel="00000000" w:rsidR="00000000" w:rsidRPr="00000000">
        <w:rPr>
          <w:i w:val="1"/>
          <w:rtl w:val="0"/>
        </w:rPr>
        <w:t xml:space="preserve">P&amp;G</w:t>
      </w:r>
      <w:r w:rsidDel="00000000" w:rsidR="00000000" w:rsidRPr="00000000">
        <w:rPr>
          <w:i w:val="1"/>
          <w:rtl w:val="0"/>
        </w:rPr>
        <w:t xml:space="preserve"> ha sido un referente en temas de innovación. El propósito de ofrecer  productos superiores nos ha convertido en la subsidiaria más importante de la región, con una destacada contribución al negocio global”. </w:t>
      </w:r>
      <w:r w:rsidDel="00000000" w:rsidR="00000000" w:rsidRPr="00000000">
        <w:rPr>
          <w:rtl w:val="0"/>
        </w:rPr>
        <w:t xml:space="preserve">destacó Ana Paula González, Directora de Comunicaciones en Procter &amp; Gamble México en el contexto de la premiación. </w:t>
      </w:r>
    </w:p>
    <w:p w:rsidR="00000000" w:rsidDel="00000000" w:rsidP="00000000" w:rsidRDefault="00000000" w:rsidRPr="00000000" w14:paraId="0000000A">
      <w:pPr>
        <w:spacing w:line="240" w:lineRule="auto"/>
        <w:jc w:val="both"/>
        <w:rPr/>
      </w:pPr>
      <w:r w:rsidDel="00000000" w:rsidR="00000000" w:rsidRPr="00000000">
        <w:rPr>
          <w:rtl w:val="0"/>
        </w:rPr>
      </w:r>
    </w:p>
    <w:p w:rsidR="00000000" w:rsidDel="00000000" w:rsidP="00000000" w:rsidRDefault="00000000" w:rsidRPr="00000000" w14:paraId="0000000B">
      <w:pPr>
        <w:spacing w:line="240" w:lineRule="auto"/>
        <w:jc w:val="both"/>
        <w:rPr>
          <w:rFonts w:ascii="Montserrat Medium" w:cs="Montserrat Medium" w:eastAsia="Montserrat Medium" w:hAnsi="Montserrat Medium"/>
          <w:color w:val="003da7"/>
          <w:sz w:val="20"/>
          <w:szCs w:val="20"/>
        </w:rPr>
      </w:pPr>
      <w:r w:rsidDel="00000000" w:rsidR="00000000" w:rsidRPr="00000000">
        <w:rPr>
          <w:rtl w:val="0"/>
        </w:rPr>
        <w:t xml:space="preserve">Ana Paula, también señaló que </w:t>
      </w:r>
      <w:r w:rsidDel="00000000" w:rsidR="00000000" w:rsidRPr="00000000">
        <w:rPr>
          <w:highlight w:val="white"/>
          <w:rtl w:val="0"/>
        </w:rPr>
        <w:t xml:space="preserve">los resultados de la empresa</w:t>
      </w:r>
      <w:r w:rsidDel="00000000" w:rsidR="00000000" w:rsidRPr="00000000">
        <w:rPr>
          <w:rtl w:val="0"/>
        </w:rPr>
        <w:t xml:space="preserve">, a través de los años, reflejan la capacidad de liderazgo de la compañía en innovación y desarrollo de productos, considerando a que las marcas de P&amp;G se han posicionado como líderes en el mercado de consumo, en 8 de las 8 categorías en las que participan: cuidado del cabello, cuidado femenino, cuidado del hogar, cuidado oral, cuidado de la salud, cuidado de la ropa, cuidado personal y afeitado. Actualmente en el 99% de los hogares de México cuenta con al menos una marca de </w:t>
      </w:r>
      <w:r w:rsidDel="00000000" w:rsidR="00000000" w:rsidRPr="00000000">
        <w:rPr>
          <w:rtl w:val="0"/>
        </w:rPr>
        <w:t xml:space="preserve">P&amp;G</w:t>
      </w:r>
      <w:r w:rsidDel="00000000" w:rsidR="00000000" w:rsidRPr="00000000">
        <w:rPr>
          <w:rtl w:val="0"/>
        </w:rPr>
        <w:t xml:space="preserve"> como Ariel, Pantene, Vick, Salvo, Downy, Naturella o Oral-B entre otras. Lo anterior representa una gran responsabilidad de generar un impacto positivo en la sociedad, comunidad y medio ambiente con el compromiso de actuar siempre de una manera responsable y ética, ser transparentes en la conducción del negocio.</w:t>
      </w:r>
      <w:r w:rsidDel="00000000" w:rsidR="00000000" w:rsidRPr="00000000">
        <w:rPr>
          <w:rFonts w:ascii="Montserrat Medium" w:cs="Montserrat Medium" w:eastAsia="Montserrat Medium" w:hAnsi="Montserrat Medium"/>
          <w:color w:val="003da7"/>
          <w:sz w:val="20"/>
          <w:szCs w:val="20"/>
          <w:rtl w:val="0"/>
        </w:rPr>
        <w:t xml:space="preserve"> </w:t>
      </w:r>
    </w:p>
    <w:p w:rsidR="00000000" w:rsidDel="00000000" w:rsidP="00000000" w:rsidRDefault="00000000" w:rsidRPr="00000000" w14:paraId="0000000C">
      <w:pPr>
        <w:spacing w:line="240" w:lineRule="auto"/>
        <w:jc w:val="both"/>
        <w:rPr>
          <w:rFonts w:ascii="Montserrat Medium" w:cs="Montserrat Medium" w:eastAsia="Montserrat Medium" w:hAnsi="Montserrat Medium"/>
          <w:color w:val="003da7"/>
          <w:sz w:val="20"/>
          <w:szCs w:val="20"/>
        </w:rPr>
      </w:pPr>
      <w:r w:rsidDel="00000000" w:rsidR="00000000" w:rsidRPr="00000000">
        <w:rPr>
          <w:rtl w:val="0"/>
        </w:rPr>
      </w:r>
    </w:p>
    <w:p w:rsidR="00000000" w:rsidDel="00000000" w:rsidP="00000000" w:rsidRDefault="00000000" w:rsidRPr="00000000" w14:paraId="0000000D">
      <w:pPr>
        <w:spacing w:line="240" w:lineRule="auto"/>
        <w:jc w:val="both"/>
        <w:rPr>
          <w:highlight w:val="white"/>
        </w:rPr>
      </w:pPr>
      <w:r w:rsidDel="00000000" w:rsidR="00000000" w:rsidRPr="00000000">
        <w:rPr>
          <w:highlight w:val="white"/>
          <w:rtl w:val="0"/>
        </w:rPr>
        <w:t xml:space="preserve">Merco ‘Empresas y Líderes México’ corporativo de referencia en Iberoamérica ha evaluado la reputación de las empresas desde el año 2000; para este ranking analizó 24,121 encuestas aplicadas a 1,242 directivos de grandes empresas, en donde incluyó a Juan Carlos Trujillo, presidente y director general de P&amp;G en su lista de los 100 líderes con mejor reputación por su trayectoria y liderazgo. Además, Merco reconoció a </w:t>
      </w:r>
      <w:r w:rsidDel="00000000" w:rsidR="00000000" w:rsidRPr="00000000">
        <w:rPr>
          <w:highlight w:val="white"/>
          <w:rtl w:val="0"/>
        </w:rPr>
        <w:t xml:space="preserve">P&amp;G</w:t>
      </w:r>
      <w:r w:rsidDel="00000000" w:rsidR="00000000" w:rsidRPr="00000000">
        <w:rPr>
          <w:highlight w:val="white"/>
          <w:rtl w:val="0"/>
        </w:rPr>
        <w:t xml:space="preserve"> como una de las 25 empresas con mejor reputación en el país y como la</w:t>
      </w:r>
      <w:r w:rsidDel="00000000" w:rsidR="00000000" w:rsidRPr="00000000">
        <w:rPr>
          <w:b w:val="1"/>
          <w:sz w:val="30"/>
          <w:szCs w:val="30"/>
          <w:rtl w:val="0"/>
        </w:rPr>
        <w:t xml:space="preserve"> </w:t>
      </w:r>
      <w:r w:rsidDel="00000000" w:rsidR="00000000" w:rsidRPr="00000000">
        <w:rPr>
          <w:rtl w:val="0"/>
        </w:rPr>
        <w:t xml:space="preserve">empresa número uno con mejor reputación corporativa del sector consumo masivo en México.</w:t>
      </w:r>
      <w:r w:rsidDel="00000000" w:rsidR="00000000" w:rsidRPr="00000000">
        <w:rPr>
          <w:rtl w:val="0"/>
        </w:rPr>
      </w:r>
    </w:p>
    <w:p w:rsidR="00000000" w:rsidDel="00000000" w:rsidP="00000000" w:rsidRDefault="00000000" w:rsidRPr="00000000" w14:paraId="0000000E">
      <w:pPr>
        <w:spacing w:line="240" w:lineRule="auto"/>
        <w:jc w:val="both"/>
        <w:rPr>
          <w:highlight w:val="white"/>
        </w:rPr>
      </w:pPr>
      <w:r w:rsidDel="00000000" w:rsidR="00000000" w:rsidRPr="00000000">
        <w:rPr>
          <w:rtl w:val="0"/>
        </w:rPr>
      </w:r>
    </w:p>
    <w:p w:rsidR="00000000" w:rsidDel="00000000" w:rsidP="00000000" w:rsidRDefault="00000000" w:rsidRPr="00000000" w14:paraId="0000000F">
      <w:pPr>
        <w:spacing w:line="240" w:lineRule="auto"/>
        <w:jc w:val="both"/>
        <w:rPr>
          <w:rFonts w:ascii="Helvetica Neue" w:cs="Helvetica Neue" w:eastAsia="Helvetica Neue" w:hAnsi="Helvetica Neue"/>
          <w:i w:val="1"/>
          <w:color w:val="666666"/>
          <w:highlight w:val="white"/>
        </w:rPr>
      </w:pPr>
      <w:r w:rsidDel="00000000" w:rsidR="00000000" w:rsidRPr="00000000">
        <w:rPr>
          <w:rtl w:val="0"/>
        </w:rPr>
      </w:r>
    </w:p>
    <w:p w:rsidR="00000000" w:rsidDel="00000000" w:rsidP="00000000" w:rsidRDefault="00000000" w:rsidRPr="00000000" w14:paraId="00000010">
      <w:pPr>
        <w:spacing w:line="240" w:lineRule="auto"/>
        <w:jc w:val="both"/>
        <w:rPr/>
      </w:pPr>
      <w:r w:rsidDel="00000000" w:rsidR="00000000" w:rsidRPr="00000000">
        <w:rPr>
          <w:rtl w:val="0"/>
        </w:rPr>
      </w:r>
    </w:p>
    <w:p w:rsidR="00000000" w:rsidDel="00000000" w:rsidP="00000000" w:rsidRDefault="00000000" w:rsidRPr="00000000" w14:paraId="00000011">
      <w:pPr>
        <w:widowControl w:val="0"/>
        <w:spacing w:before="1" w:lineRule="auto"/>
        <w:ind w:right="1243"/>
        <w:jc w:val="both"/>
        <w:rPr>
          <w:rFonts w:ascii="Arial MT" w:cs="Arial MT" w:eastAsia="Arial MT" w:hAnsi="Arial MT"/>
          <w:b w:val="1"/>
          <w:sz w:val="18"/>
          <w:szCs w:val="18"/>
        </w:rPr>
      </w:pPr>
      <w:r w:rsidDel="00000000" w:rsidR="00000000" w:rsidRPr="00000000">
        <w:rPr>
          <w:rFonts w:ascii="Arial MT" w:cs="Arial MT" w:eastAsia="Arial MT" w:hAnsi="Arial MT"/>
          <w:b w:val="1"/>
          <w:sz w:val="18"/>
          <w:szCs w:val="18"/>
          <w:rtl w:val="0"/>
        </w:rPr>
        <w:t xml:space="preserve">Acerca de Procter &amp; Gamble</w:t>
      </w:r>
    </w:p>
    <w:p w:rsidR="00000000" w:rsidDel="00000000" w:rsidP="00000000" w:rsidRDefault="00000000" w:rsidRPr="00000000" w14:paraId="00000012">
      <w:pPr>
        <w:widowControl w:val="0"/>
        <w:ind w:right="574"/>
        <w:jc w:val="both"/>
        <w:rPr>
          <w:rFonts w:ascii="Arial MT" w:cs="Arial MT" w:eastAsia="Arial MT" w:hAnsi="Arial MT"/>
          <w:sz w:val="18"/>
          <w:szCs w:val="18"/>
        </w:rPr>
      </w:pPr>
      <w:r w:rsidDel="00000000" w:rsidR="00000000" w:rsidRPr="00000000">
        <w:rPr>
          <w:rFonts w:ascii="Arial MT" w:cs="Arial MT" w:eastAsia="Arial MT" w:hAnsi="Arial MT"/>
          <w:sz w:val="18"/>
          <w:szCs w:val="18"/>
          <w:rtl w:val="0"/>
        </w:rPr>
        <w:t xml:space="preserve">P&amp;G sirve a consumidores alrededor del mundo con unos de los portafolios de marcas líderes más fuertes y de mayor confianza incluyendo Ace®, Always®, Ariel®, Dolo-Neurobión®, Downy®, Gillette®, Head &amp; Shoulders®, Herbal Essences®, Naturella®, Old-Spice®, Oral-B®, Pantene®, Pepto-Bismol®, Salvo®, Secret®, Sedalmerck® y Vick®, entre otras. La comunidad </w:t>
      </w:r>
      <w:r w:rsidDel="00000000" w:rsidR="00000000" w:rsidRPr="00000000">
        <w:rPr>
          <w:rFonts w:ascii="Arial MT" w:cs="Arial MT" w:eastAsia="Arial MT" w:hAnsi="Arial MT"/>
          <w:sz w:val="18"/>
          <w:szCs w:val="18"/>
          <w:rtl w:val="0"/>
        </w:rPr>
        <w:t xml:space="preserve">P&amp;G</w:t>
      </w:r>
      <w:r w:rsidDel="00000000" w:rsidR="00000000" w:rsidRPr="00000000">
        <w:rPr>
          <w:rFonts w:ascii="Arial MT" w:cs="Arial MT" w:eastAsia="Arial MT" w:hAnsi="Arial MT"/>
          <w:sz w:val="18"/>
          <w:szCs w:val="18"/>
          <w:rtl w:val="0"/>
        </w:rPr>
        <w:t xml:space="preserve"> incluye operaciones en aproximadamente 70 países alrededor del mundo. Por favor visita </w:t>
      </w:r>
      <w:hyperlink r:id="rId7">
        <w:r w:rsidDel="00000000" w:rsidR="00000000" w:rsidRPr="00000000">
          <w:rPr>
            <w:rFonts w:ascii="Arial MT" w:cs="Arial MT" w:eastAsia="Arial MT" w:hAnsi="Arial MT"/>
            <w:sz w:val="18"/>
            <w:szCs w:val="18"/>
            <w:rtl w:val="0"/>
          </w:rPr>
          <w:t xml:space="preserve">www.pg.com </w:t>
        </w:r>
      </w:hyperlink>
      <w:r w:rsidDel="00000000" w:rsidR="00000000" w:rsidRPr="00000000">
        <w:rPr>
          <w:rFonts w:ascii="Arial MT" w:cs="Arial MT" w:eastAsia="Arial MT" w:hAnsi="Arial MT"/>
          <w:sz w:val="18"/>
          <w:szCs w:val="18"/>
          <w:rtl w:val="0"/>
        </w:rPr>
        <w:t xml:space="preserve">para las últimas novedades e información sobre </w:t>
      </w:r>
      <w:r w:rsidDel="00000000" w:rsidR="00000000" w:rsidRPr="00000000">
        <w:rPr>
          <w:rFonts w:ascii="Arial MT" w:cs="Arial MT" w:eastAsia="Arial MT" w:hAnsi="Arial MT"/>
          <w:sz w:val="18"/>
          <w:szCs w:val="18"/>
          <w:rtl w:val="0"/>
        </w:rPr>
        <w:t xml:space="preserve">P&amp;G</w:t>
      </w:r>
      <w:r w:rsidDel="00000000" w:rsidR="00000000" w:rsidRPr="00000000">
        <w:rPr>
          <w:rFonts w:ascii="Arial MT" w:cs="Arial MT" w:eastAsia="Arial MT" w:hAnsi="Arial MT"/>
          <w:sz w:val="18"/>
          <w:szCs w:val="18"/>
          <w:rtl w:val="0"/>
        </w:rPr>
        <w:t xml:space="preserve"> y sus marcas. Para otras noticias, visítanos en https://</w:t>
      </w:r>
      <w:hyperlink r:id="rId8">
        <w:r w:rsidDel="00000000" w:rsidR="00000000" w:rsidRPr="00000000">
          <w:rPr>
            <w:rFonts w:ascii="Arial MT" w:cs="Arial MT" w:eastAsia="Arial MT" w:hAnsi="Arial MT"/>
            <w:sz w:val="18"/>
            <w:szCs w:val="18"/>
            <w:rtl w:val="0"/>
          </w:rPr>
          <w:t xml:space="preserve">www.pg.com/news</w:t>
        </w:r>
      </w:hyperlink>
      <w:r w:rsidDel="00000000" w:rsidR="00000000" w:rsidRPr="00000000">
        <w:rPr>
          <w:rtl w:val="0"/>
        </w:rPr>
      </w:r>
    </w:p>
    <w:p w:rsidR="00000000" w:rsidDel="00000000" w:rsidP="00000000" w:rsidRDefault="00000000" w:rsidRPr="00000000" w14:paraId="00000013">
      <w:pPr>
        <w:widowControl w:val="0"/>
        <w:ind w:right="574"/>
        <w:jc w:val="both"/>
        <w:rPr>
          <w:rFonts w:ascii="Arial MT" w:cs="Arial MT" w:eastAsia="Arial MT" w:hAnsi="Arial MT"/>
          <w:sz w:val="18"/>
          <w:szCs w:val="18"/>
        </w:rPr>
      </w:pPr>
      <w:r w:rsidDel="00000000" w:rsidR="00000000" w:rsidRPr="00000000">
        <w:rPr>
          <w:rtl w:val="0"/>
        </w:rPr>
      </w:r>
    </w:p>
    <w:p w:rsidR="00000000" w:rsidDel="00000000" w:rsidP="00000000" w:rsidRDefault="00000000" w:rsidRPr="00000000" w14:paraId="00000014">
      <w:pPr>
        <w:widowControl w:val="0"/>
        <w:spacing w:before="37" w:lineRule="auto"/>
        <w:ind w:right="1250"/>
        <w:jc w:val="both"/>
        <w:rPr>
          <w:rFonts w:ascii="Arial MT" w:cs="Arial MT" w:eastAsia="Arial MT" w:hAnsi="Arial MT"/>
          <w:b w:val="1"/>
          <w:sz w:val="18"/>
          <w:szCs w:val="18"/>
        </w:rPr>
      </w:pPr>
      <w:r w:rsidDel="00000000" w:rsidR="00000000" w:rsidRPr="00000000">
        <w:rPr>
          <w:rFonts w:ascii="Arial MT" w:cs="Arial MT" w:eastAsia="Arial MT" w:hAnsi="Arial MT"/>
          <w:b w:val="1"/>
          <w:sz w:val="18"/>
          <w:szCs w:val="18"/>
          <w:rtl w:val="0"/>
        </w:rPr>
        <w:t xml:space="preserve">Contacto:</w:t>
      </w:r>
    </w:p>
    <w:p w:rsidR="00000000" w:rsidDel="00000000" w:rsidP="00000000" w:rsidRDefault="00000000" w:rsidRPr="00000000" w14:paraId="00000015">
      <w:pPr>
        <w:widowControl w:val="0"/>
        <w:spacing w:before="37" w:lineRule="auto"/>
        <w:ind w:right="1250"/>
        <w:jc w:val="both"/>
        <w:rPr>
          <w:rFonts w:ascii="Arial MT" w:cs="Arial MT" w:eastAsia="Arial MT" w:hAnsi="Arial MT"/>
          <w:b w:val="1"/>
          <w:sz w:val="18"/>
          <w:szCs w:val="18"/>
        </w:rPr>
      </w:pPr>
      <w:r w:rsidDel="00000000" w:rsidR="00000000" w:rsidRPr="00000000">
        <w:rPr>
          <w:rFonts w:ascii="Arial MT" w:cs="Arial MT" w:eastAsia="Arial MT" w:hAnsi="Arial MT"/>
          <w:b w:val="1"/>
          <w:sz w:val="18"/>
          <w:szCs w:val="18"/>
          <w:rtl w:val="0"/>
        </w:rPr>
        <w:t xml:space="preserve">Tanya Belmont</w:t>
      </w:r>
    </w:p>
    <w:p w:rsidR="00000000" w:rsidDel="00000000" w:rsidP="00000000" w:rsidRDefault="00000000" w:rsidRPr="00000000" w14:paraId="00000016">
      <w:pPr>
        <w:widowControl w:val="0"/>
        <w:spacing w:before="37" w:lineRule="auto"/>
        <w:ind w:right="1250"/>
        <w:jc w:val="both"/>
        <w:rPr>
          <w:rFonts w:ascii="Arial MT" w:cs="Arial MT" w:eastAsia="Arial MT" w:hAnsi="Arial MT"/>
          <w:b w:val="1"/>
          <w:sz w:val="18"/>
          <w:szCs w:val="18"/>
        </w:rPr>
      </w:pPr>
      <w:r w:rsidDel="00000000" w:rsidR="00000000" w:rsidRPr="00000000">
        <w:rPr>
          <w:rFonts w:ascii="Arial MT" w:cs="Arial MT" w:eastAsia="Arial MT" w:hAnsi="Arial MT"/>
          <w:b w:val="1"/>
          <w:sz w:val="18"/>
          <w:szCs w:val="18"/>
          <w:rtl w:val="0"/>
        </w:rPr>
        <w:t xml:space="preserve">Ejecutiva Sr. de Relaciones Públicas para P&amp;G</w:t>
      </w:r>
    </w:p>
    <w:p w:rsidR="00000000" w:rsidDel="00000000" w:rsidP="00000000" w:rsidRDefault="00000000" w:rsidRPr="00000000" w14:paraId="00000017">
      <w:pPr>
        <w:widowControl w:val="0"/>
        <w:spacing w:before="37" w:lineRule="auto"/>
        <w:ind w:right="1250"/>
        <w:jc w:val="both"/>
        <w:rPr>
          <w:rFonts w:ascii="Arial MT" w:cs="Arial MT" w:eastAsia="Arial MT" w:hAnsi="Arial MT"/>
          <w:sz w:val="18"/>
          <w:szCs w:val="18"/>
        </w:rPr>
      </w:pPr>
      <w:hyperlink r:id="rId9">
        <w:r w:rsidDel="00000000" w:rsidR="00000000" w:rsidRPr="00000000">
          <w:rPr>
            <w:rFonts w:ascii="Arial MT" w:cs="Arial MT" w:eastAsia="Arial MT" w:hAnsi="Arial MT"/>
            <w:color w:val="1155cc"/>
            <w:sz w:val="18"/>
            <w:szCs w:val="18"/>
            <w:u w:val="single"/>
            <w:rtl w:val="0"/>
          </w:rPr>
          <w:t xml:space="preserve">tanya.belmont@another.co</w:t>
        </w:r>
      </w:hyperlink>
      <w:r w:rsidDel="00000000" w:rsidR="00000000" w:rsidRPr="00000000">
        <w:rPr>
          <w:rtl w:val="0"/>
        </w:rPr>
      </w:r>
    </w:p>
    <w:p w:rsidR="00000000" w:rsidDel="00000000" w:rsidP="00000000" w:rsidRDefault="00000000" w:rsidRPr="00000000" w14:paraId="00000018">
      <w:pPr>
        <w:widowControl w:val="0"/>
        <w:spacing w:before="37" w:lineRule="auto"/>
        <w:ind w:right="1250"/>
        <w:jc w:val="both"/>
        <w:rPr>
          <w:rFonts w:ascii="Arial MT" w:cs="Arial MT" w:eastAsia="Arial MT" w:hAnsi="Arial MT"/>
          <w:sz w:val="18"/>
          <w:szCs w:val="18"/>
        </w:rPr>
      </w:pPr>
      <w:r w:rsidDel="00000000" w:rsidR="00000000" w:rsidRPr="00000000">
        <w:rPr>
          <w:rFonts w:ascii="Arial MT" w:cs="Arial MT" w:eastAsia="Arial MT" w:hAnsi="Arial MT"/>
          <w:sz w:val="18"/>
          <w:szCs w:val="18"/>
          <w:rtl w:val="0"/>
        </w:rPr>
        <w:t xml:space="preserve">55 6211 9370</w:t>
      </w:r>
    </w:p>
    <w:p w:rsidR="00000000" w:rsidDel="00000000" w:rsidP="00000000" w:rsidRDefault="00000000" w:rsidRPr="00000000" w14:paraId="00000019">
      <w:pPr>
        <w:jc w:val="both"/>
        <w:rPr>
          <w:sz w:val="18"/>
          <w:szCs w:val="18"/>
        </w:rPr>
      </w:pPr>
      <w:r w:rsidDel="00000000" w:rsidR="00000000" w:rsidRPr="00000000">
        <w:rPr>
          <w:rtl w:val="0"/>
        </w:rPr>
      </w:r>
    </w:p>
    <w:p w:rsidR="00000000" w:rsidDel="00000000" w:rsidP="00000000" w:rsidRDefault="00000000" w:rsidRPr="00000000" w14:paraId="0000001A">
      <w:pPr>
        <w:widowControl w:val="0"/>
        <w:spacing w:before="37" w:lineRule="auto"/>
        <w:ind w:right="1250"/>
        <w:jc w:val="both"/>
        <w:rPr>
          <w:rFonts w:ascii="Arial MT" w:cs="Arial MT" w:eastAsia="Arial MT" w:hAnsi="Arial MT"/>
          <w:b w:val="1"/>
          <w:sz w:val="18"/>
          <w:szCs w:val="18"/>
        </w:rPr>
      </w:pPr>
      <w:r w:rsidDel="00000000" w:rsidR="00000000" w:rsidRPr="00000000">
        <w:rPr>
          <w:rFonts w:ascii="Arial MT" w:cs="Arial MT" w:eastAsia="Arial MT" w:hAnsi="Arial MT"/>
          <w:b w:val="1"/>
          <w:sz w:val="18"/>
          <w:szCs w:val="18"/>
          <w:rtl w:val="0"/>
        </w:rPr>
        <w:t xml:space="preserve">Andrea Balleza</w:t>
      </w:r>
    </w:p>
    <w:p w:rsidR="00000000" w:rsidDel="00000000" w:rsidP="00000000" w:rsidRDefault="00000000" w:rsidRPr="00000000" w14:paraId="0000001B">
      <w:pPr>
        <w:widowControl w:val="0"/>
        <w:spacing w:before="37" w:lineRule="auto"/>
        <w:ind w:right="1250"/>
        <w:jc w:val="both"/>
        <w:rPr>
          <w:rFonts w:ascii="Arial MT" w:cs="Arial MT" w:eastAsia="Arial MT" w:hAnsi="Arial MT"/>
          <w:b w:val="1"/>
          <w:sz w:val="18"/>
          <w:szCs w:val="18"/>
        </w:rPr>
      </w:pPr>
      <w:r w:rsidDel="00000000" w:rsidR="00000000" w:rsidRPr="00000000">
        <w:rPr>
          <w:rFonts w:ascii="Arial MT" w:cs="Arial MT" w:eastAsia="Arial MT" w:hAnsi="Arial MT"/>
          <w:b w:val="1"/>
          <w:sz w:val="18"/>
          <w:szCs w:val="18"/>
          <w:rtl w:val="0"/>
        </w:rPr>
        <w:t xml:space="preserve">Ejecutiva de Relaciones Públicas para P&amp;G</w:t>
      </w:r>
    </w:p>
    <w:p w:rsidR="00000000" w:rsidDel="00000000" w:rsidP="00000000" w:rsidRDefault="00000000" w:rsidRPr="00000000" w14:paraId="0000001C">
      <w:pPr>
        <w:widowControl w:val="0"/>
        <w:spacing w:before="37" w:lineRule="auto"/>
        <w:ind w:right="1250"/>
        <w:jc w:val="both"/>
        <w:rPr>
          <w:rFonts w:ascii="Arial MT" w:cs="Arial MT" w:eastAsia="Arial MT" w:hAnsi="Arial MT"/>
          <w:sz w:val="18"/>
          <w:szCs w:val="18"/>
        </w:rPr>
      </w:pPr>
      <w:r w:rsidDel="00000000" w:rsidR="00000000" w:rsidRPr="00000000">
        <w:rPr>
          <w:rFonts w:ascii="Arial MT" w:cs="Arial MT" w:eastAsia="Arial MT" w:hAnsi="Arial MT"/>
          <w:sz w:val="18"/>
          <w:szCs w:val="18"/>
          <w:rtl w:val="0"/>
        </w:rPr>
        <w:t xml:space="preserve">andrea</w:t>
      </w:r>
      <w:hyperlink r:id="rId10">
        <w:r w:rsidDel="00000000" w:rsidR="00000000" w:rsidRPr="00000000">
          <w:rPr>
            <w:rFonts w:ascii="Arial MT" w:cs="Arial MT" w:eastAsia="Arial MT" w:hAnsi="Arial MT"/>
            <w:color w:val="1155cc"/>
            <w:sz w:val="18"/>
            <w:szCs w:val="18"/>
            <w:u w:val="single"/>
            <w:rtl w:val="0"/>
          </w:rPr>
          <w:t xml:space="preserve">.balleza@another.co</w:t>
        </w:r>
      </w:hyperlink>
      <w:r w:rsidDel="00000000" w:rsidR="00000000" w:rsidRPr="00000000">
        <w:rPr>
          <w:rtl w:val="0"/>
        </w:rPr>
      </w:r>
    </w:p>
    <w:p w:rsidR="00000000" w:rsidDel="00000000" w:rsidP="00000000" w:rsidRDefault="00000000" w:rsidRPr="00000000" w14:paraId="0000001D">
      <w:pPr>
        <w:widowControl w:val="0"/>
        <w:spacing w:before="37" w:lineRule="auto"/>
        <w:ind w:right="1250"/>
        <w:jc w:val="both"/>
        <w:rPr>
          <w:sz w:val="18"/>
          <w:szCs w:val="18"/>
        </w:rPr>
      </w:pPr>
      <w:r w:rsidDel="00000000" w:rsidR="00000000" w:rsidRPr="00000000">
        <w:rPr>
          <w:rFonts w:ascii="Arial MT" w:cs="Arial MT" w:eastAsia="Arial MT" w:hAnsi="Arial MT"/>
          <w:sz w:val="18"/>
          <w:szCs w:val="18"/>
          <w:rtl w:val="0"/>
        </w:rPr>
        <w:t xml:space="preserve">55 3516 8155</w:t>
      </w:r>
      <w:r w:rsidDel="00000000" w:rsidR="00000000" w:rsidRPr="00000000">
        <w:rPr>
          <w:rtl w:val="0"/>
        </w:rPr>
      </w:r>
    </w:p>
    <w:p w:rsidR="00000000" w:rsidDel="00000000" w:rsidP="00000000" w:rsidRDefault="00000000" w:rsidRPr="00000000" w14:paraId="0000001E">
      <w:pPr>
        <w:spacing w:line="240" w:lineRule="auto"/>
        <w:jc w:val="both"/>
        <w:rPr>
          <w:b w:val="1"/>
        </w:rPr>
      </w:pPr>
      <w:r w:rsidDel="00000000" w:rsidR="00000000" w:rsidRPr="00000000">
        <w:rPr>
          <w:rtl w:val="0"/>
        </w:rPr>
      </w:r>
    </w:p>
    <w:sectPr>
      <w:headerReference r:id="rId11" w:type="default"/>
      <w:headerReference r:id="rId12" w:type="first"/>
      <w:headerReference r:id="rId13" w:type="even"/>
      <w:footerReference r:id="rId14"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Montserrat Medium">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Helvetica Neue">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Noto Sans Symbols">
    <w:embedRegular w:fontKey="{00000000-0000-0000-0000-000000000000}" r:id="rId9" w:subsetted="0"/>
    <w:embedBold w:fontKey="{00000000-0000-0000-0000-000000000000}" r:id="rId10" w:subsetted="0"/>
  </w:font>
  <w:font w:name="Arial M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jc w:val="right"/>
      <w:rPr>
        <w:sz w:val="20"/>
        <w:szCs w:val="20"/>
      </w:rPr>
    </w:pPr>
    <w:r w:rsidDel="00000000" w:rsidR="00000000" w:rsidRPr="00000000">
      <w:rPr>
        <w:sz w:val="20"/>
        <w:szCs w:val="2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rPr/>
    </w:pPr>
    <w:r w:rsidDel="00000000" w:rsidR="00000000" w:rsidRPr="00000000">
      <w:rPr/>
      <w:drawing>
        <wp:inline distB="0" distT="0" distL="114300" distR="114300">
          <wp:extent cx="544195" cy="544195"/>
          <wp:effectExtent b="0" l="0" r="0" t="0"/>
          <wp:docPr descr="Icon&#10;&#10;Description automatically generated" id="7" name="image1.jpg"/>
          <a:graphic>
            <a:graphicData uri="http://schemas.openxmlformats.org/drawingml/2006/picture">
              <pic:pic>
                <pic:nvPicPr>
                  <pic:cNvPr descr="Icon&#10;&#10;Description automatically generated" id="0" name="image1.jpg"/>
                  <pic:cNvPicPr preferRelativeResize="0"/>
                </pic:nvPicPr>
                <pic:blipFill>
                  <a:blip r:embed="rId1"/>
                  <a:srcRect b="0" l="0" r="0" t="0"/>
                  <a:stretch>
                    <a:fillRect/>
                  </a:stretch>
                </pic:blipFill>
                <pic:spPr>
                  <a:xfrm>
                    <a:off x="0" y="0"/>
                    <a:ext cx="544195" cy="544195"/>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mc:AlternateContent>
        <mc:Choice Requires="wpg">
          <w:drawing>
            <wp:anchor allowOverlap="1" behindDoc="0" distB="0" distT="0" distL="0" distR="0" hidden="0" layoutInCell="1" locked="0" relativeHeight="0" simplePos="0">
              <wp:simplePos x="0" y="0"/>
              <wp:positionH relativeFrom="page">
                <wp:align>right</wp:align>
              </wp:positionH>
              <wp:positionV relativeFrom="page">
                <wp:align>top</wp:align>
              </wp:positionV>
              <wp:extent cx="453390" cy="453390"/>
              <wp:effectExtent b="0" l="0" r="0" t="0"/>
              <wp:wrapNone/>
              <wp:docPr descr="Business Use" id="6" name=""/>
              <a:graphic>
                <a:graphicData uri="http://schemas.microsoft.com/office/word/2010/wordprocessingShape">
                  <wps:wsp>
                    <wps:cNvSpPr/>
                    <wps:cNvPr id="3" name="Shape 3"/>
                    <wps:spPr>
                      <a:xfrm>
                        <a:off x="5124068" y="3558068"/>
                        <a:ext cx="443865" cy="443865"/>
                      </a:xfrm>
                      <a:prstGeom prst="rect">
                        <a:avLst/>
                      </a:prstGeom>
                      <a:noFill/>
                      <a:ln>
                        <a:noFill/>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t xml:space="preserve">Business Use</w:t>
                          </w:r>
                        </w:p>
                      </w:txbxContent>
                    </wps:txbx>
                    <wps:bodyPr anchorCtr="0" anchor="t" bIns="0" lIns="0" spcFirstLastPara="1" rIns="254000" wrap="square" tIns="190500">
                      <a:noAutofit/>
                    </wps:bodyPr>
                  </wps:wsp>
                </a:graphicData>
              </a:graphic>
            </wp:anchor>
          </w:drawing>
        </mc:Choice>
        <mc:Fallback>
          <w:drawing>
            <wp:anchor allowOverlap="1" behindDoc="0" distB="0" distT="0" distL="0" distR="0" hidden="0" layoutInCell="1" locked="0" relativeHeight="0" simplePos="0">
              <wp:simplePos x="0" y="0"/>
              <wp:positionH relativeFrom="page">
                <wp:align>right</wp:align>
              </wp:positionH>
              <wp:positionV relativeFrom="page">
                <wp:align>top</wp:align>
              </wp:positionV>
              <wp:extent cx="453390" cy="453390"/>
              <wp:effectExtent b="0" l="0" r="0" t="0"/>
              <wp:wrapNone/>
              <wp:docPr descr="Business Use" id="6" name="image3.png"/>
              <a:graphic>
                <a:graphicData uri="http://schemas.openxmlformats.org/drawingml/2006/picture">
                  <pic:pic>
                    <pic:nvPicPr>
                      <pic:cNvPr descr="Business Use" id="0" name="image3.png"/>
                      <pic:cNvPicPr preferRelativeResize="0"/>
                    </pic:nvPicPr>
                    <pic:blipFill>
                      <a:blip r:embed="rId1"/>
                      <a:srcRect/>
                      <a:stretch>
                        <a:fillRect/>
                      </a:stretch>
                    </pic:blipFill>
                    <pic:spPr>
                      <a:xfrm>
                        <a:off x="0" y="0"/>
                        <a:ext cx="453390" cy="453390"/>
                      </a:xfrm>
                      <a:prstGeom prst="rect"/>
                      <a:ln/>
                    </pic:spPr>
                  </pic:pic>
                </a:graphicData>
              </a:graphic>
            </wp:anchor>
          </w:drawing>
        </mc:Fallback>
      </mc:AlternateContent>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mc:AlternateContent>
        <mc:Choice Requires="wpg">
          <w:drawing>
            <wp:anchor allowOverlap="1" behindDoc="0" distB="0" distT="0" distL="0" distR="0" hidden="0" layoutInCell="1" locked="0" relativeHeight="0" simplePos="0">
              <wp:simplePos x="0" y="0"/>
              <wp:positionH relativeFrom="page">
                <wp:align>right</wp:align>
              </wp:positionH>
              <wp:positionV relativeFrom="page">
                <wp:align>top</wp:align>
              </wp:positionV>
              <wp:extent cx="453390" cy="453390"/>
              <wp:effectExtent b="0" l="0" r="0" t="0"/>
              <wp:wrapNone/>
              <wp:docPr descr="Business Use" id="5" name=""/>
              <a:graphic>
                <a:graphicData uri="http://schemas.microsoft.com/office/word/2010/wordprocessingShape">
                  <wps:wsp>
                    <wps:cNvSpPr/>
                    <wps:cNvPr id="2" name="Shape 2"/>
                    <wps:spPr>
                      <a:xfrm>
                        <a:off x="5124068" y="3558068"/>
                        <a:ext cx="443865" cy="443865"/>
                      </a:xfrm>
                      <a:prstGeom prst="rect">
                        <a:avLst/>
                      </a:prstGeom>
                      <a:noFill/>
                      <a:ln>
                        <a:noFill/>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t xml:space="preserve">Business Use</w:t>
                          </w:r>
                        </w:p>
                      </w:txbxContent>
                    </wps:txbx>
                    <wps:bodyPr anchorCtr="0" anchor="t" bIns="0" lIns="0" spcFirstLastPara="1" rIns="254000" wrap="square" tIns="190500">
                      <a:noAutofit/>
                    </wps:bodyPr>
                  </wps:wsp>
                </a:graphicData>
              </a:graphic>
            </wp:anchor>
          </w:drawing>
        </mc:Choice>
        <mc:Fallback>
          <w:drawing>
            <wp:anchor allowOverlap="1" behindDoc="0" distB="0" distT="0" distL="0" distR="0" hidden="0" layoutInCell="1" locked="0" relativeHeight="0" simplePos="0">
              <wp:simplePos x="0" y="0"/>
              <wp:positionH relativeFrom="page">
                <wp:align>right</wp:align>
              </wp:positionH>
              <wp:positionV relativeFrom="page">
                <wp:align>top</wp:align>
              </wp:positionV>
              <wp:extent cx="453390" cy="453390"/>
              <wp:effectExtent b="0" l="0" r="0" t="0"/>
              <wp:wrapNone/>
              <wp:docPr descr="Business Use" id="5" name="image2.png"/>
              <a:graphic>
                <a:graphicData uri="http://schemas.openxmlformats.org/drawingml/2006/picture">
                  <pic:pic>
                    <pic:nvPicPr>
                      <pic:cNvPr descr="Business Use" id="0" name="image2.png"/>
                      <pic:cNvPicPr preferRelativeResize="0"/>
                    </pic:nvPicPr>
                    <pic:blipFill>
                      <a:blip r:embed="rId1"/>
                      <a:srcRect/>
                      <a:stretch>
                        <a:fillRect/>
                      </a:stretch>
                    </pic:blipFill>
                    <pic:spPr>
                      <a:xfrm>
                        <a:off x="0" y="0"/>
                        <a:ext cx="453390" cy="453390"/>
                      </a:xfrm>
                      <a:prstGeom prst="rect"/>
                      <a:ln/>
                    </pic:spPr>
                  </pic:pic>
                </a:graphicData>
              </a:graphic>
            </wp:anchor>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419"/>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paragraph" w:styleId="Header">
    <w:name w:val="header"/>
    <w:basedOn w:val="Normal"/>
    <w:link w:val="HeaderChar"/>
    <w:uiPriority w:val="99"/>
    <w:unhideWhenUsed w:val="1"/>
    <w:rsid w:val="00EB2DA6"/>
    <w:pPr>
      <w:tabs>
        <w:tab w:val="center" w:pos="4680"/>
        <w:tab w:val="right" w:pos="9360"/>
      </w:tabs>
      <w:spacing w:line="240" w:lineRule="auto"/>
    </w:pPr>
  </w:style>
  <w:style w:type="character" w:styleId="HeaderChar" w:customStyle="1">
    <w:name w:val="Header Char"/>
    <w:basedOn w:val="DefaultParagraphFont"/>
    <w:link w:val="Header"/>
    <w:uiPriority w:val="99"/>
    <w:rsid w:val="00EB2DA6"/>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yperlink" Target="mailto:tanya.belmont@another.co" TargetMode="External"/><Relationship Id="rId13" Type="http://schemas.openxmlformats.org/officeDocument/2006/relationships/header" Target="header2.xml"/><Relationship Id="rId12" Type="http://schemas.openxmlformats.org/officeDocument/2006/relationships/header" Target="head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tanya.belmont@another.co" TargetMode="Externa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pg.com/" TargetMode="External"/><Relationship Id="rId8" Type="http://schemas.openxmlformats.org/officeDocument/2006/relationships/hyperlink" Target="http://www.pg.com/new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ontserratMedium-regular.ttf"/><Relationship Id="rId2" Type="http://schemas.openxmlformats.org/officeDocument/2006/relationships/font" Target="fonts/MontserratMedium-bold.ttf"/><Relationship Id="rId3" Type="http://schemas.openxmlformats.org/officeDocument/2006/relationships/font" Target="fonts/MontserratMedium-italic.ttf"/><Relationship Id="rId4" Type="http://schemas.openxmlformats.org/officeDocument/2006/relationships/font" Target="fonts/MontserratMedium-boldItalic.ttf"/><Relationship Id="rId10" Type="http://schemas.openxmlformats.org/officeDocument/2006/relationships/font" Target="fonts/NotoSansSymbols-bold.ttf"/><Relationship Id="rId9" Type="http://schemas.openxmlformats.org/officeDocument/2006/relationships/font" Target="fonts/NotoSansSymbols-regular.ttf"/><Relationship Id="rId5" Type="http://schemas.openxmlformats.org/officeDocument/2006/relationships/font" Target="fonts/HelveticaNeue-regular.ttf"/><Relationship Id="rId6" Type="http://schemas.openxmlformats.org/officeDocument/2006/relationships/font" Target="fonts/HelveticaNeue-bold.ttf"/><Relationship Id="rId7" Type="http://schemas.openxmlformats.org/officeDocument/2006/relationships/font" Target="fonts/HelveticaNeue-italic.ttf"/><Relationship Id="rId8"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1V5Ujkh5AwbKCgnQmj50mYS33dg==">CgMxLjA4AHIhMTBTTjNnN05hbjh4OWlHcG5DVjBpazB6anJEY00wU0RP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2023-10-24T17:38:00Z</dcterms:created>
  <dc:creator>Gonzalez, Anapaula</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2,3,4</vt:lpwstr>
  </property>
  <property fmtid="{D5CDD505-2E9C-101B-9397-08002B2CF9AE}" pid="3" name="ClassificationContentMarkingHeaderFontProps">
    <vt:lpwstr>#000000,10,Calibri</vt:lpwstr>
  </property>
  <property fmtid="{D5CDD505-2E9C-101B-9397-08002B2CF9AE}" pid="4" name="ClassificationContentMarkingHeaderText">
    <vt:lpwstr>Business Use</vt:lpwstr>
  </property>
  <property fmtid="{D5CDD505-2E9C-101B-9397-08002B2CF9AE}" pid="5" name="MSIP_Label_a518e53f-798e-43aa-978d-c3fda1f3a682_Enabled">
    <vt:lpwstr>true</vt:lpwstr>
  </property>
  <property fmtid="{D5CDD505-2E9C-101B-9397-08002B2CF9AE}" pid="6" name="MSIP_Label_a518e53f-798e-43aa-978d-c3fda1f3a682_SetDate">
    <vt:lpwstr>2023-10-23T22:39:12Z</vt:lpwstr>
  </property>
  <property fmtid="{D5CDD505-2E9C-101B-9397-08002B2CF9AE}" pid="7" name="MSIP_Label_a518e53f-798e-43aa-978d-c3fda1f3a682_Method">
    <vt:lpwstr>Privileged</vt:lpwstr>
  </property>
  <property fmtid="{D5CDD505-2E9C-101B-9397-08002B2CF9AE}" pid="8" name="MSIP_Label_a518e53f-798e-43aa-978d-c3fda1f3a682_Name">
    <vt:lpwstr>PG - Internal Use</vt:lpwstr>
  </property>
  <property fmtid="{D5CDD505-2E9C-101B-9397-08002B2CF9AE}" pid="9" name="MSIP_Label_a518e53f-798e-43aa-978d-c3fda1f3a682_SiteId">
    <vt:lpwstr>3596192b-fdf5-4e2c-a6fa-acb706c963d8</vt:lpwstr>
  </property>
  <property fmtid="{D5CDD505-2E9C-101B-9397-08002B2CF9AE}" pid="10" name="MSIP_Label_a518e53f-798e-43aa-978d-c3fda1f3a682_ActionId">
    <vt:lpwstr>1ab1fe9d-61d3-4eb9-9555-a1b3aa6e54a8</vt:lpwstr>
  </property>
  <property fmtid="{D5CDD505-2E9C-101B-9397-08002B2CF9AE}" pid="11" name="MSIP_Label_a518e53f-798e-43aa-978d-c3fda1f3a682_ContentBits">
    <vt:lpwstr>1</vt:lpwstr>
  </property>
</Properties>
</file>