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¿Cómo recuperar un vehículo robado en carretera?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Protect alcanza un índice del 99% en la recuperación de vehículos robados al año, posicionándose como líder en soluciones de seguridad vehicular.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 2020 y 2023, los clientes de Total Protect han reportado una disminución significativa del 97.1% en el robo de camiones, gracias a sus innovadoras tecnologías y protocolos de seguridad.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Ciudad de México, 10 de diciembre de 2024. –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El robo de vehículos en carretera es una experiencia estresante y, en ocasiones, traumática, que afecta tanto a personas particulares como al sector del autotransporte. Esta problemática sigue siendo uno de los mayores retos para la seguridad vial en México.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muchos casos, las víctimas desconocen los pasos a seguir o cómo actuar de manera inmediata frente a las autoridades, lo que puede complicar la recuperación del vehículo. Según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María de los Ángeles Useche Serrano, directora comercial de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467886"/>
            <w:sz w:val="22"/>
            <w:szCs w:val="22"/>
            <w:u w:val="single"/>
            <w:rtl w:val="0"/>
          </w:rPr>
          <w:t xml:space="preserve">Total Protect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empresa especializada en soluciones de seguridad vehicular, el primer consejo clave es priorizar la seguridad personal y la de los acompañantes.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"Lo más importante es preservar la integridad física; entregar las llaves sin resistencia puede salvar vidas"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enfatiza.</w:t>
      </w:r>
    </w:p>
    <w:p w:rsidR="00000000" w:rsidDel="00000000" w:rsidP="00000000" w:rsidRDefault="00000000" w:rsidRPr="00000000" w14:paraId="00000006">
      <w:pPr>
        <w:spacing w:after="160" w:before="0" w:line="279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Según de la </w:t>
      </w:r>
      <w:hyperlink r:id="rId8">
        <w:r w:rsidDel="00000000" w:rsidR="00000000" w:rsidRPr="00000000">
          <w:rPr>
            <w:rFonts w:ascii="Arial" w:cs="Arial" w:eastAsia="Arial" w:hAnsi="Arial"/>
            <w:color w:val="467886"/>
            <w:sz w:val="22"/>
            <w:szCs w:val="22"/>
            <w:u w:val="single"/>
            <w:rtl w:val="0"/>
          </w:rPr>
          <w:t xml:space="preserve">Asociación Mexicana de Empresas de Seguridad Privada e Industria Satelital (AMESIS)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enero a junio del 2024 se registraron 203 robos en las carreteras del Estado de México, Puebla Jalisco, Guanajuato, San Luis Potosí, Veracruz, Querétaro e Hidalgo, mientras que un reporte de la </w:t>
      </w:r>
      <w:hyperlink r:id="rId9">
        <w:r w:rsidDel="00000000" w:rsidR="00000000" w:rsidRPr="00000000">
          <w:rPr>
            <w:rFonts w:ascii="Arial" w:cs="Arial" w:eastAsia="Arial" w:hAnsi="Arial"/>
            <w:color w:val="467886"/>
            <w:sz w:val="22"/>
            <w:szCs w:val="22"/>
            <w:u w:val="single"/>
            <w:rtl w:val="0"/>
          </w:rPr>
          <w:t xml:space="preserve">Asociación Nacional de Empresas de Rastreo y Protección Vehicular (ANERPV)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muestra un incremento en el robo a carga de 10% en el primer semestre del año, sin embargo, esta muestra solo proyecta su propio universo de agremiados. </w:t>
      </w:r>
    </w:p>
    <w:p w:rsidR="00000000" w:rsidDel="00000000" w:rsidP="00000000" w:rsidRDefault="00000000" w:rsidRPr="00000000" w14:paraId="00000007">
      <w:pPr>
        <w:spacing w:after="160" w:before="0" w:line="279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Ante estas cifras, Useche Serrano comparte cuáles son los principales pasos que todo ciudadano debe accionar para informar de manera rápida a las autoridades pertinentes y obtener la mayor tranquilidad después de uno de estos episodios en carretera.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caso de ser víctima de un robo, actuar de manera rápida y organizada es fundamental. Aquí están las recomendaciones iniciales: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Contacta a las autoridades: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Llama al número de emergencias (911) o a LOCATEL (*0311 o al 55 5658 1111 en la CDMX) para reportar el robo. Proporciona toda la información relevante del vehículo, como marca, modelo, color, placas y cualquier característica distintiva.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Denuncia digital: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estás en la Ciudad de México, utiliza la plataforma de Denuncia Digital de la Fiscalía General de Justicia capitalina (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https://denunciadigital.cdmx.gob.mx/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 Esto agiliza el proceso y permite a las autoridades actuar con mayor rapidez.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Formaliza la denuncia: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 prefieres hacerlo en persona, acude al Ministerio Público con los documentos del vehículo, como tarjeta de circulación y factura. Esto es indispensable para iniciar cualquier trámite con las autoridades y tu aseguradora.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Notifica a tu aseguradora: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Contacta inmediatamente a tu compañía de seguros, proporcionando una copia de la denuncia para iniciar el proceso de reclamación. Algunas aseguradoras ofrecen asistencia inmediata en casos de robo.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 el robo en REPUVE: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Ingresa al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Registro Público Vehicular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(REPUVE) para que el auto quede marcado como robado. Esto no solo dificulta su venta ilegal, sino que también permite monitorear su estado.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tecnología desempeña un papel fundamental en la recuperación de vehículos robados, siendo una herramienta para reducir los tiempos de localización y aumentar las probabilidades de éxito. Desde sistemas de GPS hasta cámaras de videovigilancia, estas innovaciones modernas facilitan el seguimiento en tiempo real, que integrados a un botón de pánico para emergencias pueden ser la opción para cortar el motor de manera remota, garantizando una respuesta inmediata. La experta también recomienda integra cámaras internas de alta calidad y un grabador de video digital móvil (MDVR), lo que permite una vigilancia continua y un soporte efectivo en situaciones críticas.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seguridad vehicular en México requiere un enfoque integral que combine tecnología, protocolos bien definidos y una respuesta rápida combinada entre tecnología y la colaboración con las autoridades pertinentes, agrega la especialista.</w:t>
      </w:r>
    </w:p>
    <w:p w:rsidR="00000000" w:rsidDel="00000000" w:rsidP="00000000" w:rsidRDefault="00000000" w:rsidRPr="00000000" w14:paraId="00000010">
      <w:pPr>
        <w:spacing w:after="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Sobre </w:t>
      </w:r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Total Protect.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Total Protect es una empresa de Grupo Salinas que ofrece tecnología y soluciones avanzadas de seguridad privada para la geolocalización, protección, prevención y eficiencia para personas, vehículos y mercancías en todo el país. La compañía se enfoca en proporcionar tranquilidad, confianza y ahorro a sus clientes, especialmente en el sector de flotas. Con una impresionante tasa de recuperación del 99% de vehículos robados y la gestión segura de más de 34 mil traslados de mercancía anuales, Total Protect ha atendido más de 20 mil eventos de riesgo, contribuyendo a la seguridad en las principales carreteras de México. Para más información, visita </w:t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https://totalprotect.mx/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Síguenos 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LinkedIn: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https://www.linkedin.com/company/totalprotect1/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Facebook: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https://www.facebook.com/people/Total-Protect/100091312624811/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Instagram: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https://www.instagram.com/totalprotect_/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Contacto de prensa: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Michelle De la Torre, Sr. PR Expert –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michelle.delatorre@another.co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55 4315 4847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Rodrigo Franco, Sr. PR Expert – another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467886"/>
            <w:sz w:val="16"/>
            <w:szCs w:val="16"/>
            <w:u w:val="single"/>
            <w:rtl w:val="0"/>
          </w:rPr>
          <w:t xml:space="preserve">rodrigo.franco@another.co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rtl w:val="0"/>
        </w:rPr>
        <w:t xml:space="preserve">55 7051 7579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680"/>
        <w:tab w:val="right" w:leader="none" w:pos="9360"/>
      </w:tabs>
      <w:spacing w:after="0" w:line="240" w:lineRule="auto"/>
      <w:ind w:left="-115" w:firstLine="0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1685925" cy="476250"/>
          <wp:effectExtent b="0" l="0" r="0" t="0"/>
          <wp:docPr id="20309753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59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www.gob.mx/sesnsp/acciones-y-programas/registro-publico-vehicular-repuve-168639" TargetMode="External"/><Relationship Id="rId10" Type="http://schemas.openxmlformats.org/officeDocument/2006/relationships/hyperlink" Target="https://denunciadigital.cdmx.gob.mx/" TargetMode="External"/><Relationship Id="rId13" Type="http://schemas.openxmlformats.org/officeDocument/2006/relationships/hyperlink" Target="https://totalprotect.mx/" TargetMode="External"/><Relationship Id="rId12" Type="http://schemas.openxmlformats.org/officeDocument/2006/relationships/hyperlink" Target="https://totalprotect.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erpv.mx/index.html" TargetMode="External"/><Relationship Id="rId15" Type="http://schemas.openxmlformats.org/officeDocument/2006/relationships/hyperlink" Target="https://www.facebook.com/people/Total-Protect/100091312624811/" TargetMode="External"/><Relationship Id="rId14" Type="http://schemas.openxmlformats.org/officeDocument/2006/relationships/hyperlink" Target="https://www.linkedin.com/company/totalprotect1/" TargetMode="External"/><Relationship Id="rId17" Type="http://schemas.openxmlformats.org/officeDocument/2006/relationships/hyperlink" Target="mailto:michelle.delatorre@another.co" TargetMode="External"/><Relationship Id="rId16" Type="http://schemas.openxmlformats.org/officeDocument/2006/relationships/hyperlink" Target="https://www.instagram.com/totalprotect_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rodrigo.franco@another.co" TargetMode="External"/><Relationship Id="rId7" Type="http://schemas.openxmlformats.org/officeDocument/2006/relationships/hyperlink" Target="https://totalprotect.mx/" TargetMode="External"/><Relationship Id="rId8" Type="http://schemas.openxmlformats.org/officeDocument/2006/relationships/hyperlink" Target="https://amesis.org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4//lssB+z2BUF/HcT5hU7SOGBw==">CgMxLjAyCGguZ2pkZ3hzOAByITFuMlAyWHhmWk9rUzYzRURWWFQ5NWJYcGJUemhLNFA0TQ==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2024-11-21T17:56:24.0000000Z</dcterms:created>
  <dc:creator>Gustavo Pineda Negrete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