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5040" w:rsidRDefault="00365040" w:rsidP="005F1D09">
      <w:pPr>
        <w:jc w:val="center"/>
        <w:rPr>
          <w:rFonts w:ascii="Arial" w:hAnsi="Arial"/>
          <w:b/>
          <w:sz w:val="32"/>
        </w:rPr>
      </w:pPr>
    </w:p>
    <w:p w:rsidR="005F1D09" w:rsidRPr="005F1D09" w:rsidRDefault="00902089" w:rsidP="005F1D09">
      <w:pPr>
        <w:jc w:val="center"/>
        <w:rPr>
          <w:rFonts w:ascii="Arial" w:hAnsi="Arial" w:cs="Arial"/>
          <w:b/>
          <w:sz w:val="32"/>
          <w:szCs w:val="32"/>
        </w:rPr>
      </w:pPr>
      <w:r>
        <w:rPr>
          <w:rFonts w:ascii="Arial" w:hAnsi="Arial"/>
          <w:b/>
          <w:sz w:val="32"/>
        </w:rPr>
        <w:t>Mitsubishi ASX 2017</w:t>
      </w:r>
    </w:p>
    <w:p w:rsidR="005F1D09" w:rsidRPr="005F1D09" w:rsidRDefault="00CF306D" w:rsidP="005F1D09">
      <w:pPr>
        <w:jc w:val="center"/>
        <w:rPr>
          <w:rFonts w:ascii="Arial" w:hAnsi="Arial" w:cs="Arial"/>
          <w:b/>
          <w:sz w:val="32"/>
          <w:szCs w:val="32"/>
        </w:rPr>
      </w:pPr>
      <w:r>
        <w:rPr>
          <w:rFonts w:ascii="Arial" w:hAnsi="Arial"/>
          <w:b/>
          <w:sz w:val="32"/>
        </w:rPr>
        <w:t>I</w:t>
      </w:r>
      <w:r w:rsidR="00146C24">
        <w:rPr>
          <w:rFonts w:ascii="Arial" w:hAnsi="Arial"/>
          <w:b/>
          <w:sz w:val="32"/>
        </w:rPr>
        <w:t xml:space="preserve">dentité </w:t>
      </w:r>
      <w:r>
        <w:rPr>
          <w:rFonts w:ascii="Arial" w:hAnsi="Arial"/>
          <w:b/>
          <w:sz w:val="32"/>
        </w:rPr>
        <w:t>de Marque</w:t>
      </w:r>
    </w:p>
    <w:p w:rsidR="005F1D09" w:rsidRPr="005F1D09" w:rsidRDefault="005F1D09" w:rsidP="005F1D09">
      <w:pPr>
        <w:jc w:val="center"/>
        <w:rPr>
          <w:rFonts w:ascii="Arial" w:hAnsi="Arial" w:cs="Arial"/>
          <w:sz w:val="20"/>
          <w:szCs w:val="20"/>
        </w:rPr>
      </w:pPr>
    </w:p>
    <w:p w:rsidR="005F1D09" w:rsidRDefault="00902089" w:rsidP="00DB0470">
      <w:pPr>
        <w:spacing w:after="0" w:line="360" w:lineRule="auto"/>
        <w:jc w:val="both"/>
        <w:rPr>
          <w:rFonts w:ascii="Arial" w:hAnsi="Arial" w:cs="Arial"/>
          <w:sz w:val="16"/>
          <w:szCs w:val="16"/>
        </w:rPr>
      </w:pPr>
      <w:r>
        <w:rPr>
          <w:rFonts w:ascii="Arial" w:hAnsi="Arial"/>
          <w:sz w:val="20"/>
        </w:rPr>
        <w:t xml:space="preserve">Quelques semaines seulement après sa présentation en première mondiale au salon de l'automobile de Los Angeles en novembre dernier, l'ASX </w:t>
      </w:r>
      <w:proofErr w:type="spellStart"/>
      <w:r>
        <w:rPr>
          <w:rFonts w:ascii="Arial" w:hAnsi="Arial"/>
          <w:sz w:val="20"/>
        </w:rPr>
        <w:t>restylé</w:t>
      </w:r>
      <w:proofErr w:type="spellEnd"/>
      <w:r>
        <w:rPr>
          <w:rFonts w:ascii="Arial" w:hAnsi="Arial"/>
          <w:sz w:val="20"/>
        </w:rPr>
        <w:t xml:space="preserve"> arrive en Europe, fort d'une interprétation originale de la nouvelle identité visuelle « </w:t>
      </w:r>
      <w:proofErr w:type="spellStart"/>
      <w:r>
        <w:rPr>
          <w:rFonts w:ascii="Arial" w:hAnsi="Arial"/>
          <w:sz w:val="20"/>
        </w:rPr>
        <w:t>Dynamic</w:t>
      </w:r>
      <w:proofErr w:type="spellEnd"/>
      <w:r>
        <w:rPr>
          <w:rFonts w:ascii="Arial" w:hAnsi="Arial"/>
          <w:sz w:val="20"/>
        </w:rPr>
        <w:t xml:space="preserve"> </w:t>
      </w:r>
      <w:proofErr w:type="spellStart"/>
      <w:r>
        <w:rPr>
          <w:rFonts w:ascii="Arial" w:hAnsi="Arial"/>
          <w:sz w:val="20"/>
        </w:rPr>
        <w:t>Shield</w:t>
      </w:r>
      <w:proofErr w:type="spellEnd"/>
      <w:r>
        <w:rPr>
          <w:rFonts w:ascii="Arial" w:hAnsi="Arial"/>
          <w:sz w:val="20"/>
        </w:rPr>
        <w:t xml:space="preserve"> » de MMC </w:t>
      </w:r>
      <w:r w:rsidRPr="00172B96">
        <w:rPr>
          <w:rFonts w:ascii="Arial" w:hAnsi="Arial"/>
          <w:sz w:val="16"/>
        </w:rPr>
        <w:t>(version aux spécifications américaines représentée ci-dessous).</w:t>
      </w:r>
    </w:p>
    <w:p w:rsidR="005F1D09" w:rsidRDefault="005F1D09" w:rsidP="00365040">
      <w:pPr>
        <w:spacing w:after="0"/>
        <w:jc w:val="both"/>
        <w:rPr>
          <w:rFonts w:ascii="Arial" w:hAnsi="Arial" w:cs="Arial"/>
          <w:sz w:val="20"/>
          <w:szCs w:val="20"/>
        </w:rPr>
      </w:pPr>
    </w:p>
    <w:p w:rsidR="005F1D09" w:rsidRPr="0006423E" w:rsidRDefault="0006423E" w:rsidP="005F1D09">
      <w:pPr>
        <w:jc w:val="center"/>
        <w:rPr>
          <w:rFonts w:ascii="Arial" w:hAnsi="Arial" w:cs="Arial"/>
          <w:sz w:val="20"/>
          <w:szCs w:val="20"/>
        </w:rPr>
      </w:pPr>
      <w:r>
        <w:rPr>
          <w:rFonts w:ascii="Arial" w:eastAsia="Arial" w:hAnsi="Arial" w:cs="Arial"/>
          <w:noProof/>
          <w:sz w:val="20"/>
          <w:szCs w:val="20"/>
          <w:lang w:val="nl-BE" w:eastAsia="nl-BE"/>
        </w:rPr>
        <w:drawing>
          <wp:inline distT="0" distB="0" distL="0" distR="0">
            <wp:extent cx="3705225" cy="2162175"/>
            <wp:effectExtent l="19050" t="0" r="9525" b="0"/>
            <wp:docPr id="4" name="Picture 0" descr="2016 Outlander S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2016 Outlander Sport.jpg"/>
                    <pic:cNvPicPr>
                      <a:picLocks noChangeAspect="1" noChangeArrowheads="1"/>
                    </pic:cNvPicPr>
                  </pic:nvPicPr>
                  <pic:blipFill>
                    <a:blip r:embed="rId8"/>
                    <a:srcRect t="12654"/>
                    <a:stretch>
                      <a:fillRect/>
                    </a:stretch>
                  </pic:blipFill>
                  <pic:spPr bwMode="auto">
                    <a:xfrm>
                      <a:off x="0" y="0"/>
                      <a:ext cx="3705225" cy="2162175"/>
                    </a:xfrm>
                    <a:prstGeom prst="rect">
                      <a:avLst/>
                    </a:prstGeom>
                    <a:noFill/>
                    <a:ln w="9525">
                      <a:noFill/>
                      <a:miter lim="800000"/>
                      <a:headEnd/>
                      <a:tailEnd/>
                    </a:ln>
                  </pic:spPr>
                </pic:pic>
              </a:graphicData>
            </a:graphic>
          </wp:inline>
        </w:drawing>
      </w:r>
    </w:p>
    <w:p w:rsidR="005F1D09" w:rsidRDefault="005F1D09" w:rsidP="00365040">
      <w:pPr>
        <w:spacing w:after="0"/>
        <w:jc w:val="both"/>
        <w:rPr>
          <w:rFonts w:ascii="Arial" w:hAnsi="Arial" w:cs="Arial"/>
          <w:sz w:val="20"/>
          <w:szCs w:val="20"/>
        </w:rPr>
      </w:pPr>
    </w:p>
    <w:p w:rsidR="001D3702" w:rsidRDefault="00902089" w:rsidP="00DB0470">
      <w:pPr>
        <w:autoSpaceDE w:val="0"/>
        <w:autoSpaceDN w:val="0"/>
        <w:adjustRightInd w:val="0"/>
        <w:spacing w:after="0" w:line="360" w:lineRule="auto"/>
        <w:jc w:val="both"/>
        <w:rPr>
          <w:rFonts w:ascii="Arial" w:hAnsi="Arial" w:cs="Arial"/>
          <w:color w:val="000000"/>
          <w:sz w:val="20"/>
          <w:szCs w:val="20"/>
        </w:rPr>
      </w:pPr>
      <w:r>
        <w:rPr>
          <w:rFonts w:ascii="Arial" w:hAnsi="Arial"/>
          <w:color w:val="000000"/>
          <w:sz w:val="20"/>
        </w:rPr>
        <w:t xml:space="preserve">Avec plus de </w:t>
      </w:r>
      <w:r w:rsidR="00172B96" w:rsidRPr="00172B96">
        <w:rPr>
          <w:rFonts w:ascii="Arial" w:hAnsi="Arial"/>
          <w:sz w:val="20"/>
        </w:rPr>
        <w:t>900 000</w:t>
      </w:r>
      <w:r>
        <w:rPr>
          <w:rFonts w:ascii="Arial" w:hAnsi="Arial"/>
          <w:color w:val="000000"/>
          <w:sz w:val="20"/>
        </w:rPr>
        <w:t xml:space="preserve"> unités produites depuis son lancement en 2010, l'ASX</w:t>
      </w:r>
      <w:r w:rsidR="00172B96">
        <w:rPr>
          <w:rFonts w:ascii="Arial" w:hAnsi="Arial"/>
          <w:color w:val="000000"/>
          <w:sz w:val="20"/>
        </w:rPr>
        <w:t>*</w:t>
      </w:r>
      <w:r>
        <w:rPr>
          <w:rFonts w:ascii="Arial" w:hAnsi="Arial"/>
          <w:color w:val="000000"/>
          <w:sz w:val="20"/>
        </w:rPr>
        <w:t xml:space="preserve"> </w:t>
      </w:r>
      <w:r w:rsidR="00172B96">
        <w:rPr>
          <w:rFonts w:ascii="Arial" w:hAnsi="Arial"/>
          <w:color w:val="000000"/>
          <w:sz w:val="20"/>
        </w:rPr>
        <w:t>s’est avéré être</w:t>
      </w:r>
      <w:r>
        <w:rPr>
          <w:rFonts w:ascii="Arial" w:hAnsi="Arial"/>
          <w:color w:val="000000"/>
          <w:sz w:val="20"/>
        </w:rPr>
        <w:t xml:space="preserve"> un succès pour Mitsubishi Motors Corporation (MMC)</w:t>
      </w:r>
      <w:r w:rsidR="00172B96">
        <w:rPr>
          <w:rFonts w:ascii="Arial" w:hAnsi="Arial"/>
          <w:color w:val="000000"/>
          <w:sz w:val="20"/>
        </w:rPr>
        <w:t xml:space="preserve"> au niveau mondial</w:t>
      </w:r>
      <w:r>
        <w:rPr>
          <w:rFonts w:ascii="Arial" w:hAnsi="Arial"/>
          <w:color w:val="000000"/>
          <w:sz w:val="20"/>
        </w:rPr>
        <w:t xml:space="preserve">, apparu </w:t>
      </w:r>
      <w:r w:rsidR="00172B96">
        <w:rPr>
          <w:rFonts w:ascii="Arial" w:hAnsi="Arial"/>
          <w:color w:val="000000"/>
          <w:sz w:val="20"/>
        </w:rPr>
        <w:t>au bon</w:t>
      </w:r>
      <w:r>
        <w:rPr>
          <w:rFonts w:ascii="Arial" w:hAnsi="Arial"/>
          <w:color w:val="000000"/>
          <w:sz w:val="20"/>
        </w:rPr>
        <w:t xml:space="preserve"> moment face </w:t>
      </w:r>
      <w:r w:rsidR="00172B96">
        <w:rPr>
          <w:rFonts w:ascii="Arial" w:hAnsi="Arial"/>
          <w:color w:val="000000"/>
          <w:sz w:val="20"/>
        </w:rPr>
        <w:t>au nombre toujours croissant</w:t>
      </w:r>
      <w:r>
        <w:rPr>
          <w:rFonts w:ascii="Arial" w:hAnsi="Arial"/>
          <w:color w:val="000000"/>
          <w:sz w:val="20"/>
        </w:rPr>
        <w:t xml:space="preserve"> des SUV du segment C...</w:t>
      </w:r>
    </w:p>
    <w:p w:rsidR="00DB0470" w:rsidRDefault="00FE04C5" w:rsidP="00DB0470">
      <w:pPr>
        <w:autoSpaceDE w:val="0"/>
        <w:autoSpaceDN w:val="0"/>
        <w:adjustRightInd w:val="0"/>
        <w:spacing w:after="0" w:line="360" w:lineRule="auto"/>
        <w:jc w:val="both"/>
        <w:rPr>
          <w:rFonts w:ascii="Arial" w:hAnsi="Arial" w:cs="Arial"/>
          <w:color w:val="000000"/>
          <w:sz w:val="20"/>
          <w:szCs w:val="20"/>
        </w:rPr>
      </w:pPr>
    </w:p>
    <w:p w:rsidR="001D3702" w:rsidRDefault="00902089" w:rsidP="00DB0470">
      <w:pPr>
        <w:autoSpaceDE w:val="0"/>
        <w:autoSpaceDN w:val="0"/>
        <w:adjustRightInd w:val="0"/>
        <w:spacing w:after="0" w:line="360" w:lineRule="auto"/>
        <w:jc w:val="both"/>
        <w:rPr>
          <w:rFonts w:ascii="Arial" w:hAnsi="Arial" w:cs="Arial"/>
          <w:bCs/>
          <w:color w:val="000000"/>
          <w:sz w:val="20"/>
          <w:szCs w:val="20"/>
        </w:rPr>
      </w:pPr>
      <w:r>
        <w:rPr>
          <w:rFonts w:ascii="Arial" w:hAnsi="Arial"/>
          <w:color w:val="000000"/>
          <w:sz w:val="20"/>
        </w:rPr>
        <w:t>… a fortiori en Europe*</w:t>
      </w:r>
      <w:r w:rsidR="00172B96">
        <w:rPr>
          <w:rFonts w:ascii="Arial" w:hAnsi="Arial"/>
          <w:color w:val="000000"/>
          <w:sz w:val="20"/>
        </w:rPr>
        <w:t>*</w:t>
      </w:r>
      <w:r>
        <w:rPr>
          <w:rFonts w:ascii="Arial" w:hAnsi="Arial"/>
          <w:color w:val="000000"/>
          <w:sz w:val="20"/>
        </w:rPr>
        <w:t xml:space="preserve"> – son deuxième marché mondial avec 216 485 unités vendues depuis son lancement**</w:t>
      </w:r>
      <w:r w:rsidR="00172B96">
        <w:rPr>
          <w:rFonts w:ascii="Arial" w:hAnsi="Arial"/>
          <w:color w:val="000000"/>
          <w:sz w:val="20"/>
        </w:rPr>
        <w:t>*</w:t>
      </w:r>
      <w:r>
        <w:rPr>
          <w:rFonts w:ascii="Arial" w:hAnsi="Arial"/>
          <w:color w:val="000000"/>
          <w:sz w:val="20"/>
        </w:rPr>
        <w:t xml:space="preserve"> - où il reste le deuxième modèle de la marque le plus vendu après l'Outlander (46 940 unités pour 2015, soit une hausse de 28 %).</w:t>
      </w:r>
    </w:p>
    <w:p w:rsidR="00DB0470" w:rsidRPr="001D3702" w:rsidRDefault="00FE04C5" w:rsidP="00DB0470">
      <w:pPr>
        <w:autoSpaceDE w:val="0"/>
        <w:autoSpaceDN w:val="0"/>
        <w:adjustRightInd w:val="0"/>
        <w:spacing w:after="0" w:line="360" w:lineRule="auto"/>
        <w:jc w:val="both"/>
        <w:rPr>
          <w:rFonts w:ascii="Arial" w:hAnsi="Arial" w:cs="Arial"/>
          <w:color w:val="000000"/>
          <w:sz w:val="20"/>
          <w:szCs w:val="20"/>
        </w:rPr>
      </w:pPr>
    </w:p>
    <w:p w:rsidR="001D3702" w:rsidRDefault="00902089" w:rsidP="00DB0470">
      <w:pPr>
        <w:autoSpaceDE w:val="0"/>
        <w:autoSpaceDN w:val="0"/>
        <w:adjustRightInd w:val="0"/>
        <w:spacing w:after="0" w:line="360" w:lineRule="auto"/>
        <w:jc w:val="both"/>
        <w:rPr>
          <w:rFonts w:ascii="Arial" w:hAnsi="Arial" w:cs="Arial"/>
          <w:color w:val="000000"/>
          <w:sz w:val="20"/>
          <w:szCs w:val="20"/>
        </w:rPr>
      </w:pPr>
      <w:r>
        <w:rPr>
          <w:rFonts w:ascii="Arial" w:hAnsi="Arial"/>
          <w:color w:val="000000"/>
          <w:sz w:val="20"/>
        </w:rPr>
        <w:t xml:space="preserve">Fort de ce succès, Mitsubishi Motors ne cesse de faire évoluer ce modèle en vue de répondre aux nouvelles tendances du marché et aux attentes des clients, mais aussi de l'adapter à sa propre </w:t>
      </w:r>
      <w:r w:rsidR="00AE325B">
        <w:rPr>
          <w:rFonts w:ascii="Arial" w:hAnsi="Arial"/>
          <w:color w:val="000000"/>
          <w:sz w:val="20"/>
        </w:rPr>
        <w:t>évolution</w:t>
      </w:r>
      <w:r>
        <w:rPr>
          <w:rFonts w:ascii="Arial" w:hAnsi="Arial"/>
          <w:color w:val="000000"/>
          <w:sz w:val="20"/>
        </w:rPr>
        <w:t>.</w:t>
      </w:r>
    </w:p>
    <w:p w:rsidR="00172B96" w:rsidRDefault="00172B96" w:rsidP="00AE325B">
      <w:pPr>
        <w:autoSpaceDE w:val="0"/>
        <w:autoSpaceDN w:val="0"/>
        <w:adjustRightInd w:val="0"/>
        <w:spacing w:after="0" w:line="360" w:lineRule="auto"/>
        <w:jc w:val="both"/>
        <w:rPr>
          <w:rFonts w:ascii="Arial" w:hAnsi="Arial"/>
          <w:color w:val="000000"/>
          <w:sz w:val="16"/>
        </w:rPr>
      </w:pPr>
      <w:r>
        <w:rPr>
          <w:rFonts w:ascii="Arial" w:hAnsi="Arial"/>
          <w:color w:val="000000"/>
          <w:sz w:val="16"/>
        </w:rPr>
        <w:t>* RVR ou Outlander Sport hors Europe</w:t>
      </w:r>
    </w:p>
    <w:p w:rsidR="00172B96" w:rsidRPr="00172B96" w:rsidRDefault="00902089" w:rsidP="00AE325B">
      <w:pPr>
        <w:autoSpaceDE w:val="0"/>
        <w:autoSpaceDN w:val="0"/>
        <w:adjustRightInd w:val="0"/>
        <w:spacing w:after="0" w:line="360" w:lineRule="auto"/>
        <w:jc w:val="both"/>
        <w:rPr>
          <w:rFonts w:ascii="Arial" w:hAnsi="Arial" w:cs="Arial"/>
          <w:color w:val="000000"/>
          <w:sz w:val="16"/>
          <w:szCs w:val="16"/>
        </w:rPr>
      </w:pPr>
      <w:r w:rsidRPr="00172B96">
        <w:rPr>
          <w:rFonts w:ascii="Arial" w:hAnsi="Arial"/>
          <w:color w:val="000000"/>
          <w:sz w:val="16"/>
        </w:rPr>
        <w:t>*</w:t>
      </w:r>
      <w:r w:rsidR="00172B96">
        <w:rPr>
          <w:rFonts w:ascii="Arial" w:hAnsi="Arial"/>
          <w:color w:val="000000"/>
          <w:sz w:val="16"/>
        </w:rPr>
        <w:t>*</w:t>
      </w:r>
      <w:r w:rsidR="00172B96" w:rsidRPr="00172B96">
        <w:rPr>
          <w:rFonts w:ascii="Arial" w:hAnsi="Arial"/>
          <w:color w:val="000000"/>
          <w:sz w:val="16"/>
        </w:rPr>
        <w:t xml:space="preserve"> </w:t>
      </w:r>
      <w:r w:rsidR="00172B96">
        <w:rPr>
          <w:rFonts w:ascii="Arial" w:hAnsi="Arial"/>
          <w:color w:val="000000"/>
          <w:sz w:val="16"/>
        </w:rPr>
        <w:t xml:space="preserve">Région « MME34 » : </w:t>
      </w:r>
      <w:r w:rsidRPr="00172B96">
        <w:rPr>
          <w:rFonts w:ascii="Arial" w:hAnsi="Arial"/>
          <w:color w:val="000000"/>
          <w:sz w:val="16"/>
        </w:rPr>
        <w:t xml:space="preserve">34 marchés – hors </w:t>
      </w:r>
      <w:r w:rsidR="00172B96">
        <w:rPr>
          <w:rFonts w:ascii="Arial" w:hAnsi="Arial"/>
          <w:color w:val="000000"/>
          <w:sz w:val="16"/>
        </w:rPr>
        <w:t xml:space="preserve">Russie &amp; </w:t>
      </w:r>
      <w:r w:rsidRPr="00172B96">
        <w:rPr>
          <w:rFonts w:ascii="Arial" w:hAnsi="Arial"/>
          <w:color w:val="000000"/>
          <w:sz w:val="16"/>
        </w:rPr>
        <w:t>Ukraine</w:t>
      </w:r>
    </w:p>
    <w:p w:rsidR="001343E9" w:rsidRDefault="00902089" w:rsidP="00AE325B">
      <w:pPr>
        <w:autoSpaceDE w:val="0"/>
        <w:autoSpaceDN w:val="0"/>
        <w:adjustRightInd w:val="0"/>
        <w:spacing w:after="0" w:line="360" w:lineRule="auto"/>
        <w:jc w:val="both"/>
        <w:rPr>
          <w:rFonts w:ascii="Arial" w:hAnsi="Arial" w:cs="Arial"/>
          <w:color w:val="000000"/>
          <w:sz w:val="16"/>
          <w:szCs w:val="16"/>
        </w:rPr>
      </w:pPr>
      <w:r>
        <w:rPr>
          <w:rFonts w:ascii="Arial" w:hAnsi="Arial"/>
          <w:color w:val="000000"/>
          <w:sz w:val="16"/>
        </w:rPr>
        <w:t>**</w:t>
      </w:r>
      <w:r w:rsidR="00172B96">
        <w:rPr>
          <w:rFonts w:ascii="Arial" w:hAnsi="Arial"/>
          <w:color w:val="000000"/>
          <w:sz w:val="16"/>
        </w:rPr>
        <w:t>*</w:t>
      </w:r>
      <w:r>
        <w:rPr>
          <w:rFonts w:ascii="Arial" w:hAnsi="Arial"/>
          <w:color w:val="000000"/>
          <w:sz w:val="16"/>
        </w:rPr>
        <w:t xml:space="preserve"> Au 31 décembre 2015</w:t>
      </w:r>
    </w:p>
    <w:p w:rsidR="00AE325B" w:rsidRDefault="00AE325B" w:rsidP="001343E9">
      <w:pPr>
        <w:autoSpaceDE w:val="0"/>
        <w:autoSpaceDN w:val="0"/>
        <w:adjustRightInd w:val="0"/>
        <w:spacing w:line="360" w:lineRule="auto"/>
        <w:jc w:val="both"/>
        <w:rPr>
          <w:rFonts w:ascii="Arial" w:hAnsi="Arial"/>
          <w:b/>
          <w:color w:val="000000"/>
          <w:sz w:val="24"/>
        </w:rPr>
      </w:pPr>
    </w:p>
    <w:p w:rsidR="002712BA" w:rsidRPr="001343E9" w:rsidRDefault="00902089" w:rsidP="001F35E1">
      <w:pPr>
        <w:autoSpaceDE w:val="0"/>
        <w:autoSpaceDN w:val="0"/>
        <w:adjustRightInd w:val="0"/>
        <w:spacing w:after="0" w:line="360" w:lineRule="auto"/>
        <w:jc w:val="both"/>
        <w:rPr>
          <w:rFonts w:ascii="Arial" w:hAnsi="Arial" w:cs="Arial"/>
          <w:color w:val="000000"/>
          <w:sz w:val="16"/>
          <w:szCs w:val="16"/>
        </w:rPr>
      </w:pPr>
      <w:bookmarkStart w:id="0" w:name="_GoBack"/>
      <w:bookmarkEnd w:id="0"/>
      <w:r>
        <w:rPr>
          <w:rFonts w:ascii="Arial" w:hAnsi="Arial"/>
          <w:b/>
          <w:color w:val="000000"/>
          <w:sz w:val="24"/>
        </w:rPr>
        <w:lastRenderedPageBreak/>
        <w:t>Identité visuelle</w:t>
      </w:r>
    </w:p>
    <w:p w:rsidR="00EC0E38" w:rsidRDefault="00902089" w:rsidP="001F35E1">
      <w:pPr>
        <w:autoSpaceDE w:val="0"/>
        <w:autoSpaceDN w:val="0"/>
        <w:adjustRightInd w:val="0"/>
        <w:spacing w:after="0" w:line="360" w:lineRule="auto"/>
        <w:jc w:val="both"/>
        <w:rPr>
          <w:rFonts w:ascii="Arial" w:hAnsi="Arial" w:cs="Arial"/>
          <w:color w:val="000000"/>
          <w:sz w:val="20"/>
          <w:szCs w:val="20"/>
        </w:rPr>
      </w:pPr>
      <w:r>
        <w:rPr>
          <w:rFonts w:ascii="Arial" w:hAnsi="Arial"/>
          <w:color w:val="000000"/>
          <w:sz w:val="20"/>
        </w:rPr>
        <w:t xml:space="preserve">Assurant une transition en douceur vers la nouvelle génération de modèles de Mitsubishi Motors, l'ASX 2017 arbore un design inspiré </w:t>
      </w:r>
      <w:r w:rsidR="00172B96">
        <w:rPr>
          <w:rFonts w:ascii="Arial" w:hAnsi="Arial"/>
          <w:color w:val="000000"/>
          <w:sz w:val="20"/>
        </w:rPr>
        <w:t>de</w:t>
      </w:r>
      <w:r>
        <w:rPr>
          <w:rFonts w:ascii="Arial" w:hAnsi="Arial"/>
          <w:color w:val="000000"/>
          <w:sz w:val="20"/>
        </w:rPr>
        <w:t xml:space="preserve"> « </w:t>
      </w:r>
      <w:proofErr w:type="spellStart"/>
      <w:r>
        <w:rPr>
          <w:rFonts w:ascii="Arial" w:hAnsi="Arial"/>
          <w:color w:val="000000"/>
          <w:sz w:val="20"/>
        </w:rPr>
        <w:t>Dynamic</w:t>
      </w:r>
      <w:proofErr w:type="spellEnd"/>
      <w:r>
        <w:rPr>
          <w:rFonts w:ascii="Arial" w:hAnsi="Arial"/>
          <w:color w:val="000000"/>
          <w:sz w:val="20"/>
        </w:rPr>
        <w:t xml:space="preserve"> </w:t>
      </w:r>
      <w:proofErr w:type="spellStart"/>
      <w:r>
        <w:rPr>
          <w:rFonts w:ascii="Arial" w:hAnsi="Arial"/>
          <w:color w:val="000000"/>
          <w:sz w:val="20"/>
        </w:rPr>
        <w:t>Shield</w:t>
      </w:r>
      <w:proofErr w:type="spellEnd"/>
      <w:r>
        <w:rPr>
          <w:rFonts w:ascii="Arial" w:hAnsi="Arial"/>
          <w:color w:val="000000"/>
          <w:sz w:val="20"/>
        </w:rPr>
        <w:t xml:space="preserve"> » – </w:t>
      </w:r>
      <w:r w:rsidR="00172B96">
        <w:rPr>
          <w:rFonts w:ascii="Arial" w:hAnsi="Arial"/>
          <w:color w:val="000000"/>
          <w:sz w:val="20"/>
        </w:rPr>
        <w:t xml:space="preserve">la </w:t>
      </w:r>
      <w:r>
        <w:rPr>
          <w:rFonts w:ascii="Arial" w:hAnsi="Arial"/>
          <w:color w:val="000000"/>
          <w:sz w:val="20"/>
        </w:rPr>
        <w:t>nouvelle identité visuelle de MMC.</w:t>
      </w:r>
    </w:p>
    <w:p w:rsidR="003510B7" w:rsidRDefault="00902089" w:rsidP="00365040">
      <w:pPr>
        <w:spacing w:before="120" w:after="120" w:line="360" w:lineRule="auto"/>
        <w:jc w:val="both"/>
        <w:rPr>
          <w:rFonts w:ascii="Arial" w:hAnsi="Arial" w:cs="Arial"/>
          <w:color w:val="000000"/>
          <w:sz w:val="20"/>
          <w:szCs w:val="20"/>
        </w:rPr>
      </w:pPr>
      <w:r>
        <w:rPr>
          <w:rFonts w:ascii="Arial" w:hAnsi="Arial"/>
          <w:color w:val="000000"/>
          <w:sz w:val="20"/>
        </w:rPr>
        <w:t xml:space="preserve">Découvert sur </w:t>
      </w:r>
      <w:r w:rsidR="00172B96">
        <w:rPr>
          <w:rFonts w:ascii="Arial" w:hAnsi="Arial"/>
          <w:color w:val="000000"/>
          <w:sz w:val="20"/>
        </w:rPr>
        <w:t>l’</w:t>
      </w:r>
      <w:proofErr w:type="spellStart"/>
      <w:r>
        <w:rPr>
          <w:rFonts w:ascii="Arial" w:hAnsi="Arial"/>
          <w:color w:val="000000"/>
          <w:sz w:val="20"/>
        </w:rPr>
        <w:t>Outlander</w:t>
      </w:r>
      <w:proofErr w:type="spellEnd"/>
      <w:r>
        <w:rPr>
          <w:rFonts w:ascii="Arial" w:hAnsi="Arial"/>
          <w:color w:val="000000"/>
          <w:sz w:val="20"/>
        </w:rPr>
        <w:t xml:space="preserve"> PHEV </w:t>
      </w:r>
      <w:proofErr w:type="spellStart"/>
      <w:r>
        <w:rPr>
          <w:rFonts w:ascii="Arial" w:hAnsi="Arial"/>
          <w:color w:val="000000"/>
          <w:sz w:val="20"/>
        </w:rPr>
        <w:t>Concept-S</w:t>
      </w:r>
      <w:proofErr w:type="spellEnd"/>
      <w:r>
        <w:rPr>
          <w:rFonts w:ascii="Arial" w:hAnsi="Arial"/>
          <w:color w:val="000000"/>
          <w:sz w:val="20"/>
        </w:rPr>
        <w:t xml:space="preserve"> 2014, le design « </w:t>
      </w:r>
      <w:proofErr w:type="spellStart"/>
      <w:r>
        <w:rPr>
          <w:rFonts w:ascii="Arial" w:hAnsi="Arial"/>
          <w:color w:val="000000"/>
          <w:sz w:val="20"/>
        </w:rPr>
        <w:t>Dynamic</w:t>
      </w:r>
      <w:proofErr w:type="spellEnd"/>
      <w:r>
        <w:rPr>
          <w:rFonts w:ascii="Arial" w:hAnsi="Arial"/>
          <w:color w:val="000000"/>
          <w:sz w:val="20"/>
        </w:rPr>
        <w:t xml:space="preserve"> </w:t>
      </w:r>
      <w:proofErr w:type="spellStart"/>
      <w:r>
        <w:rPr>
          <w:rFonts w:ascii="Arial" w:hAnsi="Arial"/>
          <w:color w:val="000000"/>
          <w:sz w:val="20"/>
        </w:rPr>
        <w:t>Shield</w:t>
      </w:r>
      <w:proofErr w:type="spellEnd"/>
      <w:r>
        <w:rPr>
          <w:rFonts w:ascii="Arial" w:hAnsi="Arial"/>
          <w:color w:val="000000"/>
          <w:sz w:val="20"/>
        </w:rPr>
        <w:t xml:space="preserve"> » entend symboliser la </w:t>
      </w:r>
      <w:r>
        <w:rPr>
          <w:rFonts w:ascii="Arial" w:hAnsi="Arial"/>
          <w:sz w:val="20"/>
        </w:rPr>
        <w:t xml:space="preserve">fonctionnalité et la sécurité intrinsèques des SUV de Mitsubishi Motors par le biais d'élégantes moulures chromées </w:t>
      </w:r>
      <w:r>
        <w:rPr>
          <w:rFonts w:ascii="Arial" w:hAnsi="Arial"/>
          <w:color w:val="000000"/>
          <w:sz w:val="20"/>
        </w:rPr>
        <w:t>implantées de part et d'autre de la calandre abritant le logo aux trois diamants pour créer un effet tridimensionnel renforçant l'impression de mouvement.</w:t>
      </w:r>
    </w:p>
    <w:p w:rsidR="00F41F85" w:rsidRDefault="0006423E" w:rsidP="001F35E1">
      <w:pPr>
        <w:spacing w:after="0" w:line="360" w:lineRule="auto"/>
        <w:jc w:val="center"/>
        <w:rPr>
          <w:rFonts w:ascii="Arial" w:hAnsi="Arial" w:cs="Arial"/>
          <w:color w:val="000000"/>
          <w:sz w:val="20"/>
          <w:szCs w:val="20"/>
        </w:rPr>
      </w:pPr>
      <w:r>
        <w:rPr>
          <w:rFonts w:ascii="Arial" w:eastAsia="Arial" w:hAnsi="Arial" w:cs="Arial"/>
          <w:i/>
          <w:noProof/>
          <w:color w:val="FF0000"/>
          <w:sz w:val="20"/>
          <w:szCs w:val="20"/>
          <w:lang w:val="nl-BE" w:eastAsia="nl-BE"/>
        </w:rPr>
        <w:drawing>
          <wp:inline distT="0" distB="0" distL="0" distR="0">
            <wp:extent cx="3295650" cy="2095500"/>
            <wp:effectExtent l="19050" t="0" r="0" b="0"/>
            <wp:docPr id="5" name="Picture 4" descr="p4_ske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4_sketch"/>
                    <pic:cNvPicPr>
                      <a:picLocks noChangeAspect="1" noChangeArrowheads="1"/>
                    </pic:cNvPicPr>
                  </pic:nvPicPr>
                  <pic:blipFill>
                    <a:blip r:embed="rId9"/>
                    <a:srcRect/>
                    <a:stretch>
                      <a:fillRect/>
                    </a:stretch>
                  </pic:blipFill>
                  <pic:spPr bwMode="auto">
                    <a:xfrm>
                      <a:off x="0" y="0"/>
                      <a:ext cx="3295650" cy="2095500"/>
                    </a:xfrm>
                    <a:prstGeom prst="rect">
                      <a:avLst/>
                    </a:prstGeom>
                    <a:noFill/>
                    <a:ln w="9525">
                      <a:noFill/>
                      <a:miter lim="800000"/>
                      <a:headEnd/>
                      <a:tailEnd/>
                    </a:ln>
                  </pic:spPr>
                </pic:pic>
              </a:graphicData>
            </a:graphic>
          </wp:inline>
        </w:drawing>
      </w:r>
    </w:p>
    <w:p w:rsidR="00EC0E38" w:rsidRDefault="00902089" w:rsidP="00365040">
      <w:pPr>
        <w:spacing w:before="120" w:after="0" w:line="360" w:lineRule="auto"/>
        <w:jc w:val="both"/>
        <w:rPr>
          <w:rFonts w:ascii="Arial" w:hAnsi="Arial" w:cs="Arial"/>
          <w:color w:val="000000"/>
          <w:sz w:val="20"/>
          <w:szCs w:val="20"/>
        </w:rPr>
      </w:pPr>
      <w:r>
        <w:rPr>
          <w:rFonts w:ascii="Arial" w:hAnsi="Arial"/>
          <w:color w:val="000000"/>
          <w:sz w:val="20"/>
        </w:rPr>
        <w:t xml:space="preserve">Sur l'ASX, le bouclier avant a été redessiné afin d'adopter ces moulures chromées, et doté d'une partie centrale totalement noire rappelant celles du Nouvel Outlander </w:t>
      </w:r>
      <w:r>
        <w:rPr>
          <w:rFonts w:ascii="Arial" w:hAnsi="Arial"/>
          <w:color w:val="000000"/>
          <w:sz w:val="16"/>
        </w:rPr>
        <w:t>(voir l'esquisse ci-dessus)</w:t>
      </w:r>
      <w:r>
        <w:rPr>
          <w:rFonts w:ascii="Arial" w:hAnsi="Arial"/>
          <w:color w:val="000000"/>
          <w:sz w:val="20"/>
        </w:rPr>
        <w:t xml:space="preserve"> et de l'</w:t>
      </w:r>
      <w:proofErr w:type="spellStart"/>
      <w:r>
        <w:rPr>
          <w:rFonts w:ascii="Arial" w:hAnsi="Arial"/>
          <w:color w:val="000000"/>
          <w:sz w:val="20"/>
        </w:rPr>
        <w:t>eX</w:t>
      </w:r>
      <w:proofErr w:type="spellEnd"/>
      <w:r>
        <w:rPr>
          <w:rFonts w:ascii="Arial" w:hAnsi="Arial"/>
          <w:color w:val="000000"/>
          <w:sz w:val="20"/>
        </w:rPr>
        <w:t xml:space="preserve">-Concept. Quant à la calandre supérieure, elle arbore désormais de fines barres horizontales de couleur noire, et relie les projecteurs pour </w:t>
      </w:r>
      <w:r w:rsidR="00172B96">
        <w:rPr>
          <w:rFonts w:ascii="Arial" w:hAnsi="Arial"/>
          <w:color w:val="000000"/>
          <w:sz w:val="20"/>
        </w:rPr>
        <w:t>une ligne harmonieuse</w:t>
      </w:r>
      <w:r>
        <w:rPr>
          <w:rFonts w:ascii="Arial" w:hAnsi="Arial"/>
          <w:color w:val="000000"/>
          <w:sz w:val="20"/>
        </w:rPr>
        <w:t>.</w:t>
      </w:r>
    </w:p>
    <w:p w:rsidR="00AB111D" w:rsidRPr="00AB111D" w:rsidRDefault="00172B96" w:rsidP="00365040">
      <w:pPr>
        <w:spacing w:before="120" w:after="120" w:line="360" w:lineRule="auto"/>
        <w:jc w:val="both"/>
        <w:rPr>
          <w:rFonts w:ascii="Arial" w:hAnsi="Arial" w:cs="Arial"/>
          <w:color w:val="000000"/>
          <w:sz w:val="20"/>
          <w:szCs w:val="20"/>
        </w:rPr>
      </w:pPr>
      <w:proofErr w:type="spellStart"/>
      <w:r>
        <w:rPr>
          <w:rFonts w:ascii="Arial" w:hAnsi="Arial"/>
          <w:sz w:val="20"/>
        </w:rPr>
        <w:t>Tets</w:t>
      </w:r>
      <w:r w:rsidR="00902089">
        <w:rPr>
          <w:rFonts w:ascii="Arial" w:hAnsi="Arial"/>
          <w:sz w:val="20"/>
        </w:rPr>
        <w:t>uro</w:t>
      </w:r>
      <w:proofErr w:type="spellEnd"/>
      <w:r w:rsidR="00902089">
        <w:rPr>
          <w:rFonts w:ascii="Arial" w:hAnsi="Arial"/>
          <w:sz w:val="20"/>
        </w:rPr>
        <w:t xml:space="preserve"> </w:t>
      </w:r>
      <w:proofErr w:type="spellStart"/>
      <w:r w:rsidR="00902089">
        <w:rPr>
          <w:rFonts w:ascii="Arial" w:hAnsi="Arial"/>
          <w:sz w:val="20"/>
        </w:rPr>
        <w:t>Aikawa</w:t>
      </w:r>
      <w:proofErr w:type="spellEnd"/>
      <w:r w:rsidR="00902089">
        <w:rPr>
          <w:rFonts w:ascii="Arial" w:hAnsi="Arial"/>
          <w:sz w:val="20"/>
        </w:rPr>
        <w:t xml:space="preserve"> (Président de MMC) a expliqué au salon de l'automobile de Genève 2015 : </w:t>
      </w:r>
      <w:r w:rsidR="00902089">
        <w:rPr>
          <w:rFonts w:ascii="Arial" w:hAnsi="Arial"/>
          <w:i/>
          <w:sz w:val="20"/>
        </w:rPr>
        <w:t xml:space="preserve">« …Cette nouvelle face avant rend hommage à la fois à notre passé et à notre philosophie voulant que « la fonction crée la forme ». Elle s'inspire du concept de bouclier de protection adopté depuis toujours par le modèle </w:t>
      </w:r>
      <w:proofErr w:type="spellStart"/>
      <w:r w:rsidR="00902089">
        <w:rPr>
          <w:rFonts w:ascii="Arial" w:hAnsi="Arial"/>
          <w:i/>
          <w:sz w:val="20"/>
        </w:rPr>
        <w:t>Pajero</w:t>
      </w:r>
      <w:proofErr w:type="spellEnd"/>
      <w:r w:rsidR="00902089">
        <w:rPr>
          <w:rFonts w:ascii="Arial" w:hAnsi="Arial"/>
          <w:i/>
          <w:sz w:val="20"/>
        </w:rPr>
        <w:t>/</w:t>
      </w:r>
      <w:proofErr w:type="spellStart"/>
      <w:r w:rsidR="00902089">
        <w:rPr>
          <w:rFonts w:ascii="Arial" w:hAnsi="Arial"/>
          <w:i/>
          <w:sz w:val="20"/>
        </w:rPr>
        <w:t>Montero</w:t>
      </w:r>
      <w:proofErr w:type="spellEnd"/>
      <w:r w:rsidR="00902089">
        <w:rPr>
          <w:rFonts w:ascii="Arial" w:hAnsi="Arial"/>
          <w:i/>
          <w:sz w:val="20"/>
        </w:rPr>
        <w:t xml:space="preserve">/Shogun, qui </w:t>
      </w:r>
      <w:r>
        <w:rPr>
          <w:rFonts w:ascii="Arial" w:hAnsi="Arial"/>
          <w:i/>
          <w:sz w:val="20"/>
        </w:rPr>
        <w:t>donne</w:t>
      </w:r>
      <w:r w:rsidR="00902089">
        <w:rPr>
          <w:rFonts w:ascii="Arial" w:hAnsi="Arial"/>
          <w:i/>
          <w:sz w:val="20"/>
        </w:rPr>
        <w:t xml:space="preserve"> au véhicule comme à ses occupants une </w:t>
      </w:r>
      <w:r>
        <w:rPr>
          <w:rFonts w:ascii="Arial" w:hAnsi="Arial"/>
          <w:i/>
          <w:sz w:val="20"/>
        </w:rPr>
        <w:t xml:space="preserve">impression de grande </w:t>
      </w:r>
      <w:r w:rsidR="00902089">
        <w:rPr>
          <w:rFonts w:ascii="Arial" w:hAnsi="Arial"/>
          <w:i/>
          <w:sz w:val="20"/>
        </w:rPr>
        <w:t>sécurité. En ce sens, le nouveau design de notre face avant découle directement de notre héritage stylistique tout en le faisant évoluer. C'est que nous appelons le concept « </w:t>
      </w:r>
      <w:proofErr w:type="spellStart"/>
      <w:r w:rsidR="00902089">
        <w:rPr>
          <w:rFonts w:ascii="Arial" w:hAnsi="Arial"/>
          <w:i/>
          <w:sz w:val="20"/>
        </w:rPr>
        <w:t>Dynamic</w:t>
      </w:r>
      <w:proofErr w:type="spellEnd"/>
      <w:r w:rsidR="00902089">
        <w:rPr>
          <w:rFonts w:ascii="Arial" w:hAnsi="Arial"/>
          <w:i/>
          <w:sz w:val="20"/>
        </w:rPr>
        <w:t xml:space="preserve"> </w:t>
      </w:r>
      <w:proofErr w:type="spellStart"/>
      <w:r w:rsidR="00902089">
        <w:rPr>
          <w:rFonts w:ascii="Arial" w:hAnsi="Arial"/>
          <w:i/>
          <w:sz w:val="20"/>
        </w:rPr>
        <w:t>Shield</w:t>
      </w:r>
      <w:proofErr w:type="spellEnd"/>
      <w:r w:rsidR="00902089">
        <w:rPr>
          <w:rFonts w:ascii="Arial" w:hAnsi="Arial"/>
          <w:i/>
          <w:sz w:val="20"/>
        </w:rPr>
        <w:t> » (bouclier dynamique). »</w:t>
      </w:r>
    </w:p>
    <w:p w:rsidR="00EC0E38" w:rsidRPr="002A4857" w:rsidRDefault="00902089" w:rsidP="00365040">
      <w:pPr>
        <w:autoSpaceDE w:val="0"/>
        <w:autoSpaceDN w:val="0"/>
        <w:adjustRightInd w:val="0"/>
        <w:spacing w:after="120" w:line="360" w:lineRule="auto"/>
        <w:jc w:val="both"/>
        <w:rPr>
          <w:rFonts w:ascii="Arial" w:hAnsi="Arial" w:cs="Arial"/>
          <w:sz w:val="20"/>
          <w:szCs w:val="20"/>
        </w:rPr>
      </w:pPr>
      <w:r>
        <w:rPr>
          <w:rFonts w:ascii="Arial" w:hAnsi="Arial"/>
          <w:color w:val="000000"/>
          <w:sz w:val="20"/>
        </w:rPr>
        <w:t xml:space="preserve">Outre cette nouvelle face avant, la version européenne de l'ASX 2017 </w:t>
      </w:r>
      <w:r w:rsidR="00DA7A96">
        <w:rPr>
          <w:rFonts w:ascii="Arial" w:hAnsi="Arial"/>
          <w:color w:val="000000"/>
          <w:sz w:val="20"/>
        </w:rPr>
        <w:t xml:space="preserve">proposera </w:t>
      </w:r>
      <w:r>
        <w:rPr>
          <w:rFonts w:ascii="Arial" w:hAnsi="Arial"/>
          <w:color w:val="000000"/>
          <w:sz w:val="20"/>
        </w:rPr>
        <w:t>une antenne type aileron</w:t>
      </w:r>
      <w:r w:rsidRPr="002A4857">
        <w:rPr>
          <w:rFonts w:ascii="Arial" w:hAnsi="Arial"/>
          <w:sz w:val="20"/>
        </w:rPr>
        <w:t>, un garnissage de banquette arrière plus confortable et une nouvelle sellerie.</w:t>
      </w:r>
    </w:p>
    <w:p w:rsidR="004058A9" w:rsidRDefault="00902089" w:rsidP="001F35E1">
      <w:pPr>
        <w:autoSpaceDE w:val="0"/>
        <w:autoSpaceDN w:val="0"/>
        <w:adjustRightInd w:val="0"/>
        <w:spacing w:after="0" w:line="360" w:lineRule="auto"/>
        <w:jc w:val="both"/>
        <w:rPr>
          <w:rFonts w:ascii="Arial" w:hAnsi="Arial" w:cs="Arial"/>
          <w:color w:val="000000"/>
          <w:sz w:val="20"/>
          <w:szCs w:val="20"/>
        </w:rPr>
      </w:pPr>
      <w:r>
        <w:rPr>
          <w:rFonts w:ascii="Arial" w:hAnsi="Arial"/>
          <w:color w:val="000000"/>
          <w:sz w:val="20"/>
        </w:rPr>
        <w:t>Ces évolutions stylistiques viennent s'ajouter aux très récentes améliorations apportées à l'ASX destiné à l'Europe, à savoir :</w:t>
      </w:r>
    </w:p>
    <w:p w:rsidR="003510B7" w:rsidRDefault="00902089" w:rsidP="001F35E1">
      <w:pPr>
        <w:numPr>
          <w:ilvl w:val="0"/>
          <w:numId w:val="2"/>
        </w:numPr>
        <w:autoSpaceDE w:val="0"/>
        <w:autoSpaceDN w:val="0"/>
        <w:adjustRightInd w:val="0"/>
        <w:spacing w:after="0" w:line="360" w:lineRule="auto"/>
        <w:jc w:val="both"/>
        <w:rPr>
          <w:rFonts w:ascii="Arial" w:hAnsi="Arial" w:cs="Arial"/>
          <w:color w:val="000000"/>
          <w:sz w:val="20"/>
          <w:szCs w:val="20"/>
        </w:rPr>
      </w:pPr>
      <w:r>
        <w:rPr>
          <w:rFonts w:ascii="Arial" w:hAnsi="Arial"/>
          <w:color w:val="000000"/>
          <w:sz w:val="20"/>
        </w:rPr>
        <w:t>Un nouveau moteur turbo</w:t>
      </w:r>
      <w:r w:rsidR="002A4857">
        <w:rPr>
          <w:rFonts w:ascii="Arial" w:hAnsi="Arial"/>
          <w:color w:val="000000"/>
          <w:sz w:val="20"/>
        </w:rPr>
        <w:t xml:space="preserve"> </w:t>
      </w:r>
      <w:r>
        <w:rPr>
          <w:rFonts w:ascii="Arial" w:hAnsi="Arial"/>
          <w:color w:val="000000"/>
          <w:sz w:val="20"/>
        </w:rPr>
        <w:t xml:space="preserve">diesel 1.6 114 </w:t>
      </w:r>
      <w:proofErr w:type="spellStart"/>
      <w:r>
        <w:rPr>
          <w:rFonts w:ascii="Arial" w:hAnsi="Arial"/>
          <w:color w:val="000000"/>
          <w:sz w:val="20"/>
        </w:rPr>
        <w:t>ch</w:t>
      </w:r>
      <w:proofErr w:type="spellEnd"/>
      <w:r>
        <w:rPr>
          <w:rFonts w:ascii="Arial" w:hAnsi="Arial"/>
          <w:color w:val="000000"/>
          <w:sz w:val="20"/>
        </w:rPr>
        <w:t xml:space="preserve"> (avec système Auto Stop &amp; Go,</w:t>
      </w:r>
      <w:r w:rsidR="002A4857">
        <w:rPr>
          <w:rFonts w:ascii="Arial" w:hAnsi="Arial"/>
          <w:color w:val="000000"/>
          <w:sz w:val="20"/>
        </w:rPr>
        <w:t xml:space="preserve"> BM à 6 rapports, en version 2WD ou 4WD</w:t>
      </w:r>
      <w:r>
        <w:rPr>
          <w:rFonts w:ascii="Arial" w:hAnsi="Arial"/>
          <w:color w:val="000000"/>
          <w:sz w:val="20"/>
        </w:rPr>
        <w:t>)</w:t>
      </w:r>
      <w:r w:rsidR="002A4857">
        <w:rPr>
          <w:rFonts w:ascii="Arial" w:hAnsi="Arial"/>
          <w:color w:val="000000"/>
          <w:sz w:val="20"/>
        </w:rPr>
        <w:t>.</w:t>
      </w:r>
    </w:p>
    <w:p w:rsidR="003510B7" w:rsidRDefault="00902089" w:rsidP="001F35E1">
      <w:pPr>
        <w:numPr>
          <w:ilvl w:val="0"/>
          <w:numId w:val="2"/>
        </w:numPr>
        <w:autoSpaceDE w:val="0"/>
        <w:autoSpaceDN w:val="0"/>
        <w:adjustRightInd w:val="0"/>
        <w:spacing w:after="0" w:line="360" w:lineRule="auto"/>
        <w:jc w:val="both"/>
        <w:rPr>
          <w:rFonts w:ascii="Arial" w:hAnsi="Arial" w:cs="Arial"/>
          <w:color w:val="000000"/>
          <w:sz w:val="20"/>
          <w:szCs w:val="20"/>
        </w:rPr>
      </w:pPr>
      <w:r>
        <w:rPr>
          <w:rFonts w:ascii="Arial" w:hAnsi="Arial"/>
          <w:color w:val="000000"/>
          <w:sz w:val="20"/>
        </w:rPr>
        <w:t>Des périodicités d'entretien étendues à 20 000 km</w:t>
      </w:r>
      <w:r w:rsidR="002A4857">
        <w:rPr>
          <w:rFonts w:ascii="Arial" w:hAnsi="Arial"/>
          <w:color w:val="000000"/>
          <w:sz w:val="20"/>
        </w:rPr>
        <w:t>.</w:t>
      </w:r>
    </w:p>
    <w:p w:rsidR="005F1D09" w:rsidRPr="005F1D09" w:rsidRDefault="00902089" w:rsidP="001F35E1">
      <w:pPr>
        <w:numPr>
          <w:ilvl w:val="0"/>
          <w:numId w:val="2"/>
        </w:numPr>
        <w:autoSpaceDE w:val="0"/>
        <w:autoSpaceDN w:val="0"/>
        <w:adjustRightInd w:val="0"/>
        <w:spacing w:after="0" w:line="360" w:lineRule="auto"/>
        <w:jc w:val="both"/>
        <w:rPr>
          <w:rFonts w:ascii="Arial" w:hAnsi="Arial" w:cs="Arial"/>
          <w:sz w:val="20"/>
          <w:szCs w:val="20"/>
        </w:rPr>
      </w:pPr>
      <w:r>
        <w:rPr>
          <w:rFonts w:ascii="Arial" w:hAnsi="Arial"/>
          <w:color w:val="000000"/>
          <w:sz w:val="20"/>
        </w:rPr>
        <w:t xml:space="preserve">De nouveaux équipements (jantes alliage 18” à rayons multiples, insert </w:t>
      </w:r>
      <w:r w:rsidR="002A4857">
        <w:rPr>
          <w:rFonts w:ascii="Arial" w:hAnsi="Arial"/>
          <w:color w:val="000000"/>
          <w:sz w:val="20"/>
        </w:rPr>
        <w:t xml:space="preserve">laqué </w:t>
      </w:r>
      <w:r>
        <w:rPr>
          <w:rFonts w:ascii="Arial" w:hAnsi="Arial"/>
          <w:color w:val="000000"/>
          <w:sz w:val="20"/>
        </w:rPr>
        <w:t xml:space="preserve">noir sur le volant, rétroviseur intérieur à obscurcissement automatique, </w:t>
      </w:r>
      <w:proofErr w:type="spellStart"/>
      <w:r>
        <w:rPr>
          <w:rFonts w:ascii="Arial" w:hAnsi="Arial"/>
          <w:color w:val="000000"/>
          <w:sz w:val="20"/>
        </w:rPr>
        <w:t>etc</w:t>
      </w:r>
      <w:proofErr w:type="spellEnd"/>
      <w:r w:rsidR="002A4857">
        <w:rPr>
          <w:rFonts w:ascii="Arial" w:hAnsi="Arial"/>
          <w:color w:val="000000"/>
          <w:sz w:val="20"/>
        </w:rPr>
        <w:t>…</w:t>
      </w:r>
      <w:r>
        <w:rPr>
          <w:rFonts w:ascii="Arial" w:hAnsi="Arial"/>
          <w:color w:val="000000"/>
          <w:sz w:val="20"/>
        </w:rPr>
        <w:t xml:space="preserve">) </w:t>
      </w:r>
      <w:r>
        <w:rPr>
          <w:rFonts w:ascii="Arial" w:hAnsi="Arial"/>
          <w:color w:val="000000"/>
          <w:sz w:val="16"/>
        </w:rPr>
        <w:t>–</w:t>
      </w:r>
      <w:r w:rsidR="001A2693">
        <w:rPr>
          <w:rFonts w:ascii="Arial" w:hAnsi="Arial"/>
          <w:color w:val="000000"/>
          <w:sz w:val="16"/>
        </w:rPr>
        <w:t xml:space="preserve"> </w:t>
      </w:r>
      <w:r>
        <w:rPr>
          <w:rFonts w:ascii="Arial" w:hAnsi="Arial"/>
          <w:color w:val="000000"/>
          <w:sz w:val="16"/>
        </w:rPr>
        <w:t>disponibilité selon les marchés et les modèles.</w:t>
      </w:r>
    </w:p>
    <w:sectPr w:rsidR="005F1D09" w:rsidRPr="005F1D09" w:rsidSect="00347E18">
      <w:headerReference w:type="first" r:id="rId10"/>
      <w:pgSz w:w="12240" w:h="15840"/>
      <w:pgMar w:top="851" w:right="1440" w:bottom="851"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04C5" w:rsidRDefault="00FE04C5" w:rsidP="00347E18">
      <w:pPr>
        <w:spacing w:after="0" w:line="240" w:lineRule="auto"/>
      </w:pPr>
      <w:r>
        <w:separator/>
      </w:r>
    </w:p>
  </w:endnote>
  <w:endnote w:type="continuationSeparator" w:id="0">
    <w:p w:rsidR="00FE04C5" w:rsidRDefault="00FE04C5" w:rsidP="00347E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04C5" w:rsidRDefault="00FE04C5" w:rsidP="00347E18">
      <w:pPr>
        <w:spacing w:after="0" w:line="240" w:lineRule="auto"/>
      </w:pPr>
      <w:r>
        <w:separator/>
      </w:r>
    </w:p>
  </w:footnote>
  <w:footnote w:type="continuationSeparator" w:id="0">
    <w:p w:rsidR="00FE04C5" w:rsidRDefault="00FE04C5" w:rsidP="00347E1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E18" w:rsidRDefault="00347E18">
    <w:pPr>
      <w:pStyle w:val="Header"/>
    </w:pPr>
    <w:r>
      <w:rPr>
        <w:noProof/>
        <w:lang w:val="nl-BE" w:eastAsia="nl-BE"/>
      </w:rPr>
      <w:drawing>
        <wp:inline distT="0" distB="0" distL="0" distR="0">
          <wp:extent cx="5930900" cy="1117600"/>
          <wp:effectExtent l="0" t="0" r="0" b="0"/>
          <wp:docPr id="3" name="Afbeelding 1" descr="MME_header_EV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E_header_EV50"/>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930900" cy="1117600"/>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544F48"/>
    <w:multiLevelType w:val="hybridMultilevel"/>
    <w:tmpl w:val="94E23D1A"/>
    <w:lvl w:ilvl="0" w:tplc="9D08B9B2">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6C984608"/>
    <w:multiLevelType w:val="hybridMultilevel"/>
    <w:tmpl w:val="FBBCDEFC"/>
    <w:lvl w:ilvl="0" w:tplc="B9E65F74">
      <w:numFmt w:val="bullet"/>
      <w:lvlText w:val="-"/>
      <w:lvlJc w:val="left"/>
      <w:pPr>
        <w:ind w:left="720" w:hanging="360"/>
      </w:pPr>
      <w:rPr>
        <w:rFonts w:ascii="Arial" w:eastAsia="Calibri" w:hAnsi="Arial" w:cs="Arial" w:hint="default"/>
      </w:rPr>
    </w:lvl>
    <w:lvl w:ilvl="1" w:tplc="72D002CC" w:tentative="1">
      <w:start w:val="1"/>
      <w:numFmt w:val="bullet"/>
      <w:lvlText w:val="o"/>
      <w:lvlJc w:val="left"/>
      <w:pPr>
        <w:ind w:left="1440" w:hanging="360"/>
      </w:pPr>
      <w:rPr>
        <w:rFonts w:ascii="Courier New" w:hAnsi="Courier New" w:cs="Courier New" w:hint="default"/>
      </w:rPr>
    </w:lvl>
    <w:lvl w:ilvl="2" w:tplc="CA665560" w:tentative="1">
      <w:start w:val="1"/>
      <w:numFmt w:val="bullet"/>
      <w:lvlText w:val=""/>
      <w:lvlJc w:val="left"/>
      <w:pPr>
        <w:ind w:left="2160" w:hanging="360"/>
      </w:pPr>
      <w:rPr>
        <w:rFonts w:ascii="Wingdings" w:hAnsi="Wingdings" w:hint="default"/>
      </w:rPr>
    </w:lvl>
    <w:lvl w:ilvl="3" w:tplc="B77A4596" w:tentative="1">
      <w:start w:val="1"/>
      <w:numFmt w:val="bullet"/>
      <w:lvlText w:val=""/>
      <w:lvlJc w:val="left"/>
      <w:pPr>
        <w:ind w:left="2880" w:hanging="360"/>
      </w:pPr>
      <w:rPr>
        <w:rFonts w:ascii="Symbol" w:hAnsi="Symbol" w:hint="default"/>
      </w:rPr>
    </w:lvl>
    <w:lvl w:ilvl="4" w:tplc="E720760E" w:tentative="1">
      <w:start w:val="1"/>
      <w:numFmt w:val="bullet"/>
      <w:lvlText w:val="o"/>
      <w:lvlJc w:val="left"/>
      <w:pPr>
        <w:ind w:left="3600" w:hanging="360"/>
      </w:pPr>
      <w:rPr>
        <w:rFonts w:ascii="Courier New" w:hAnsi="Courier New" w:cs="Courier New" w:hint="default"/>
      </w:rPr>
    </w:lvl>
    <w:lvl w:ilvl="5" w:tplc="8A8CC384" w:tentative="1">
      <w:start w:val="1"/>
      <w:numFmt w:val="bullet"/>
      <w:lvlText w:val=""/>
      <w:lvlJc w:val="left"/>
      <w:pPr>
        <w:ind w:left="4320" w:hanging="360"/>
      </w:pPr>
      <w:rPr>
        <w:rFonts w:ascii="Wingdings" w:hAnsi="Wingdings" w:hint="default"/>
      </w:rPr>
    </w:lvl>
    <w:lvl w:ilvl="6" w:tplc="434871A0" w:tentative="1">
      <w:start w:val="1"/>
      <w:numFmt w:val="bullet"/>
      <w:lvlText w:val=""/>
      <w:lvlJc w:val="left"/>
      <w:pPr>
        <w:ind w:left="5040" w:hanging="360"/>
      </w:pPr>
      <w:rPr>
        <w:rFonts w:ascii="Symbol" w:hAnsi="Symbol" w:hint="default"/>
      </w:rPr>
    </w:lvl>
    <w:lvl w:ilvl="7" w:tplc="73108C88" w:tentative="1">
      <w:start w:val="1"/>
      <w:numFmt w:val="bullet"/>
      <w:lvlText w:val="o"/>
      <w:lvlJc w:val="left"/>
      <w:pPr>
        <w:ind w:left="5760" w:hanging="360"/>
      </w:pPr>
      <w:rPr>
        <w:rFonts w:ascii="Courier New" w:hAnsi="Courier New" w:cs="Courier New" w:hint="default"/>
      </w:rPr>
    </w:lvl>
    <w:lvl w:ilvl="8" w:tplc="DA86CCD2" w:tentative="1">
      <w:start w:val="1"/>
      <w:numFmt w:val="bullet"/>
      <w:lvlText w:val=""/>
      <w:lvlJc w:val="left"/>
      <w:pPr>
        <w:ind w:left="6480" w:hanging="360"/>
      </w:pPr>
      <w:rPr>
        <w:rFonts w:ascii="Wingdings" w:hAnsi="Wingdings" w:hint="default"/>
      </w:rPr>
    </w:lvl>
  </w:abstractNum>
  <w:abstractNum w:abstractNumId="2">
    <w:nsid w:val="77443ECD"/>
    <w:multiLevelType w:val="hybridMultilevel"/>
    <w:tmpl w:val="2BD88B22"/>
    <w:lvl w:ilvl="0" w:tplc="494AF9D8">
      <w:numFmt w:val="bullet"/>
      <w:lvlText w:val="-"/>
      <w:lvlJc w:val="left"/>
      <w:pPr>
        <w:ind w:left="720" w:hanging="360"/>
      </w:pPr>
      <w:rPr>
        <w:rFonts w:ascii="Arial" w:eastAsia="Calibri" w:hAnsi="Arial" w:cs="Arial" w:hint="default"/>
      </w:rPr>
    </w:lvl>
    <w:lvl w:ilvl="1" w:tplc="7450C520" w:tentative="1">
      <w:start w:val="1"/>
      <w:numFmt w:val="bullet"/>
      <w:lvlText w:val="o"/>
      <w:lvlJc w:val="left"/>
      <w:pPr>
        <w:ind w:left="1440" w:hanging="360"/>
      </w:pPr>
      <w:rPr>
        <w:rFonts w:ascii="Courier New" w:hAnsi="Courier New" w:cs="Courier New" w:hint="default"/>
      </w:rPr>
    </w:lvl>
    <w:lvl w:ilvl="2" w:tplc="183AB07A" w:tentative="1">
      <w:start w:val="1"/>
      <w:numFmt w:val="bullet"/>
      <w:lvlText w:val=""/>
      <w:lvlJc w:val="left"/>
      <w:pPr>
        <w:ind w:left="2160" w:hanging="360"/>
      </w:pPr>
      <w:rPr>
        <w:rFonts w:ascii="Wingdings" w:hAnsi="Wingdings" w:hint="default"/>
      </w:rPr>
    </w:lvl>
    <w:lvl w:ilvl="3" w:tplc="BE3EF8BC" w:tentative="1">
      <w:start w:val="1"/>
      <w:numFmt w:val="bullet"/>
      <w:lvlText w:val=""/>
      <w:lvlJc w:val="left"/>
      <w:pPr>
        <w:ind w:left="2880" w:hanging="360"/>
      </w:pPr>
      <w:rPr>
        <w:rFonts w:ascii="Symbol" w:hAnsi="Symbol" w:hint="default"/>
      </w:rPr>
    </w:lvl>
    <w:lvl w:ilvl="4" w:tplc="0E345C0E" w:tentative="1">
      <w:start w:val="1"/>
      <w:numFmt w:val="bullet"/>
      <w:lvlText w:val="o"/>
      <w:lvlJc w:val="left"/>
      <w:pPr>
        <w:ind w:left="3600" w:hanging="360"/>
      </w:pPr>
      <w:rPr>
        <w:rFonts w:ascii="Courier New" w:hAnsi="Courier New" w:cs="Courier New" w:hint="default"/>
      </w:rPr>
    </w:lvl>
    <w:lvl w:ilvl="5" w:tplc="0DFE485E" w:tentative="1">
      <w:start w:val="1"/>
      <w:numFmt w:val="bullet"/>
      <w:lvlText w:val=""/>
      <w:lvlJc w:val="left"/>
      <w:pPr>
        <w:ind w:left="4320" w:hanging="360"/>
      </w:pPr>
      <w:rPr>
        <w:rFonts w:ascii="Wingdings" w:hAnsi="Wingdings" w:hint="default"/>
      </w:rPr>
    </w:lvl>
    <w:lvl w:ilvl="6" w:tplc="AF6E962C" w:tentative="1">
      <w:start w:val="1"/>
      <w:numFmt w:val="bullet"/>
      <w:lvlText w:val=""/>
      <w:lvlJc w:val="left"/>
      <w:pPr>
        <w:ind w:left="5040" w:hanging="360"/>
      </w:pPr>
      <w:rPr>
        <w:rFonts w:ascii="Symbol" w:hAnsi="Symbol" w:hint="default"/>
      </w:rPr>
    </w:lvl>
    <w:lvl w:ilvl="7" w:tplc="8586C500" w:tentative="1">
      <w:start w:val="1"/>
      <w:numFmt w:val="bullet"/>
      <w:lvlText w:val="o"/>
      <w:lvlJc w:val="left"/>
      <w:pPr>
        <w:ind w:left="5760" w:hanging="360"/>
      </w:pPr>
      <w:rPr>
        <w:rFonts w:ascii="Courier New" w:hAnsi="Courier New" w:cs="Courier New" w:hint="default"/>
      </w:rPr>
    </w:lvl>
    <w:lvl w:ilvl="8" w:tplc="2A4CF132"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characterSpacingControl w:val="doNotCompress"/>
  <w:footnotePr>
    <w:footnote w:id="-1"/>
    <w:footnote w:id="0"/>
  </w:footnotePr>
  <w:endnotePr>
    <w:endnote w:id="-1"/>
    <w:endnote w:id="0"/>
  </w:endnotePr>
  <w:compat/>
  <w:rsids>
    <w:rsidRoot w:val="005F1D09"/>
    <w:rsid w:val="0006423E"/>
    <w:rsid w:val="00146C24"/>
    <w:rsid w:val="00154859"/>
    <w:rsid w:val="00172B96"/>
    <w:rsid w:val="001A2693"/>
    <w:rsid w:val="001F35E1"/>
    <w:rsid w:val="002A4857"/>
    <w:rsid w:val="00347E18"/>
    <w:rsid w:val="00365040"/>
    <w:rsid w:val="005F1D09"/>
    <w:rsid w:val="00680B67"/>
    <w:rsid w:val="007D29BB"/>
    <w:rsid w:val="00902089"/>
    <w:rsid w:val="0099638E"/>
    <w:rsid w:val="00AE325B"/>
    <w:rsid w:val="00C05982"/>
    <w:rsid w:val="00CF306D"/>
    <w:rsid w:val="00CF315B"/>
    <w:rsid w:val="00DA7A96"/>
    <w:rsid w:val="00FE04C5"/>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24B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F1D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1D09"/>
    <w:rPr>
      <w:rFonts w:ascii="Tahoma" w:hAnsi="Tahoma" w:cs="Tahoma"/>
      <w:sz w:val="16"/>
      <w:szCs w:val="16"/>
      <w:lang w:val="fr-FR" w:eastAsia="fr-FR"/>
    </w:rPr>
  </w:style>
  <w:style w:type="paragraph" w:styleId="ListParagraph">
    <w:name w:val="List Paragraph"/>
    <w:basedOn w:val="Normal"/>
    <w:uiPriority w:val="34"/>
    <w:qFormat/>
    <w:rsid w:val="00172B96"/>
    <w:pPr>
      <w:ind w:left="720"/>
      <w:contextualSpacing/>
    </w:pPr>
  </w:style>
  <w:style w:type="paragraph" w:styleId="Header">
    <w:name w:val="header"/>
    <w:basedOn w:val="Normal"/>
    <w:link w:val="HeaderChar"/>
    <w:uiPriority w:val="99"/>
    <w:unhideWhenUsed/>
    <w:rsid w:val="00347E18"/>
    <w:pPr>
      <w:tabs>
        <w:tab w:val="center" w:pos="4536"/>
        <w:tab w:val="right" w:pos="9072"/>
      </w:tabs>
      <w:spacing w:after="0" w:line="240" w:lineRule="auto"/>
    </w:pPr>
  </w:style>
  <w:style w:type="character" w:customStyle="1" w:styleId="HeaderChar">
    <w:name w:val="Header Char"/>
    <w:basedOn w:val="DefaultParagraphFont"/>
    <w:link w:val="Header"/>
    <w:uiPriority w:val="99"/>
    <w:rsid w:val="00347E18"/>
    <w:rPr>
      <w:sz w:val="22"/>
      <w:szCs w:val="22"/>
    </w:rPr>
  </w:style>
  <w:style w:type="paragraph" w:styleId="Footer">
    <w:name w:val="footer"/>
    <w:basedOn w:val="Normal"/>
    <w:link w:val="FooterChar"/>
    <w:uiPriority w:val="99"/>
    <w:unhideWhenUsed/>
    <w:rsid w:val="00347E18"/>
    <w:pPr>
      <w:tabs>
        <w:tab w:val="center" w:pos="4536"/>
        <w:tab w:val="right" w:pos="9072"/>
      </w:tabs>
      <w:spacing w:after="0" w:line="240" w:lineRule="auto"/>
    </w:pPr>
  </w:style>
  <w:style w:type="character" w:customStyle="1" w:styleId="FooterChar">
    <w:name w:val="Footer Char"/>
    <w:basedOn w:val="DefaultParagraphFont"/>
    <w:link w:val="Footer"/>
    <w:uiPriority w:val="99"/>
    <w:rsid w:val="00347E18"/>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3E00F75-2929-4BDD-B4A6-12075DBED1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Pages>
  <Words>525</Words>
  <Characters>2892</Characters>
  <Application>Microsoft Office Word</Application>
  <DocSecurity>0</DocSecurity>
  <Lines>24</Lines>
  <Paragraphs>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Mitsubishi Motors Europe B.V.</Company>
  <LinksUpToDate>false</LinksUpToDate>
  <CharactersWithSpaces>3411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xdn3718</dc:creator>
  <cp:lastModifiedBy>awittemans</cp:lastModifiedBy>
  <cp:revision>16</cp:revision>
  <cp:lastPrinted>2016-01-29T16:34:00Z</cp:lastPrinted>
  <dcterms:created xsi:type="dcterms:W3CDTF">2016-01-25T13:12:00Z</dcterms:created>
  <dcterms:modified xsi:type="dcterms:W3CDTF">2016-02-29T10:03:00Z</dcterms:modified>
</cp:coreProperties>
</file>