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8853" w14:textId="77777777" w:rsidR="00523E6E" w:rsidRDefault="00BD6759" w:rsidP="00DF6ACF">
      <w:pPr>
        <w:shd w:val="clear" w:color="auto" w:fill="FFFFFF"/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Goal #15</w:t>
      </w:r>
      <w:r w:rsidR="00523E6E" w:rsidRPr="00DF6ACF">
        <w:rPr>
          <w:b/>
          <w:sz w:val="28"/>
        </w:rPr>
        <w:t xml:space="preserve">: </w:t>
      </w:r>
      <w:r w:rsidRPr="00BD6759">
        <w:rPr>
          <w:b/>
          <w:sz w:val="28"/>
        </w:rPr>
        <w:t>Proteggere, ripristinare e favorire un uso sostenibile dell’ecosistema terrestre</w:t>
      </w:r>
    </w:p>
    <w:p w14:paraId="7575AB78" w14:textId="77777777" w:rsidR="00994CF0" w:rsidRDefault="00994CF0" w:rsidP="00FA6AB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</w:rPr>
      </w:pPr>
      <w:bookmarkStart w:id="0" w:name="_GoBack"/>
      <w:r w:rsidRPr="00DF6ACF">
        <w:rPr>
          <w:rFonts w:asciiTheme="minorHAnsi" w:hAnsiTheme="minorHAnsi" w:cstheme="minorHAnsi"/>
          <w:b/>
          <w:color w:val="FF0000"/>
        </w:rPr>
        <w:t xml:space="preserve">La sfida: </w:t>
      </w:r>
      <w:r w:rsidR="00050419">
        <w:rPr>
          <w:rFonts w:asciiTheme="minorHAnsi" w:hAnsiTheme="minorHAnsi" w:cstheme="minorHAnsi"/>
          <w:b/>
          <w:color w:val="FF0000"/>
        </w:rPr>
        <w:t>Con il 50% del suolo agricolo mondiale degradato, necessarie soluzioni a lungo termine per garantire cibo e acqua alla popolazione mondiale</w:t>
      </w:r>
    </w:p>
    <w:p w14:paraId="3E401A32" w14:textId="776304A5" w:rsidR="00BD6759" w:rsidRPr="00491A0C" w:rsidRDefault="00BD6759" w:rsidP="00FA6AB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91A0C">
        <w:rPr>
          <w:rFonts w:asciiTheme="minorHAnsi" w:hAnsiTheme="minorHAnsi"/>
          <w:sz w:val="22"/>
          <w:szCs w:val="22"/>
        </w:rPr>
        <w:t>Gli ecosistemi terrestri, come boschi e montagne, sono le fonti principali per l’alimentazione</w:t>
      </w:r>
      <w:r w:rsidR="00DF3048">
        <w:rPr>
          <w:rFonts w:asciiTheme="minorHAnsi" w:hAnsiTheme="minorHAnsi"/>
          <w:sz w:val="22"/>
          <w:szCs w:val="22"/>
        </w:rPr>
        <w:t>.</w:t>
      </w:r>
      <w:r w:rsidRPr="00491A0C">
        <w:rPr>
          <w:rFonts w:asciiTheme="minorHAnsi" w:hAnsiTheme="minorHAnsi"/>
          <w:sz w:val="22"/>
          <w:szCs w:val="22"/>
        </w:rPr>
        <w:t xml:space="preserve"> </w:t>
      </w:r>
      <w:r w:rsidR="00DF3048">
        <w:rPr>
          <w:rFonts w:asciiTheme="minorHAnsi" w:hAnsiTheme="minorHAnsi"/>
          <w:sz w:val="22"/>
          <w:szCs w:val="22"/>
        </w:rPr>
        <w:t>F</w:t>
      </w:r>
      <w:r w:rsidRPr="00491A0C">
        <w:rPr>
          <w:rFonts w:asciiTheme="minorHAnsi" w:hAnsiTheme="minorHAnsi"/>
          <w:sz w:val="22"/>
          <w:szCs w:val="22"/>
        </w:rPr>
        <w:t xml:space="preserve">orniscono aria e acqua pulite e costituiscono l’habitat di milioni di specie, minacciate dalle conseguenze delle attività umane e dal cambiamento climatico. Ogni anno spariscono 13 milioni di ettari boschivi e il 22% delle specie animali è in pericolo di estinzione. </w:t>
      </w:r>
      <w:r w:rsidR="00E819B6">
        <w:rPr>
          <w:rFonts w:asciiTheme="minorHAnsi" w:hAnsiTheme="minorHAnsi"/>
          <w:sz w:val="22"/>
          <w:szCs w:val="22"/>
        </w:rPr>
        <w:t>Il degrado</w:t>
      </w:r>
      <w:r w:rsidRPr="00491A0C">
        <w:rPr>
          <w:rFonts w:asciiTheme="minorHAnsi" w:hAnsiTheme="minorHAnsi"/>
          <w:sz w:val="22"/>
          <w:szCs w:val="22"/>
        </w:rPr>
        <w:t xml:space="preserve"> del suolo è in continua crescita, ostacolando le attività agricole necessarie per produrre beni e servizi sufficienti per tutta la popolazione, soprattutto nelle regioni più povere. Il 50% del suolo agricolo a livello mondiale è degradato ed ogni anno 12 milioni di ettari risultano essere non più coltivabili. Se si vogliono garantire acqua e cibo alla popolazione mondiale sono necessarie soluzioni a lungo termine per combattere la desertificazione e la deforestazione e per preservare gli habitat terrestri. L’</w:t>
      </w:r>
      <w:r w:rsidRPr="00491A0C">
        <w:rPr>
          <w:rFonts w:asciiTheme="minorHAnsi" w:hAnsiTheme="minorHAnsi"/>
          <w:i/>
          <w:iCs/>
          <w:sz w:val="22"/>
          <w:szCs w:val="22"/>
        </w:rPr>
        <w:t>SDG 15</w:t>
      </w:r>
      <w:r w:rsidR="00611421">
        <w:rPr>
          <w:rFonts w:asciiTheme="minorHAnsi" w:hAnsiTheme="minorHAnsi"/>
          <w:sz w:val="22"/>
          <w:szCs w:val="22"/>
        </w:rPr>
        <w:t xml:space="preserve"> </w:t>
      </w:r>
      <w:r w:rsidRPr="00491A0C">
        <w:rPr>
          <w:rFonts w:asciiTheme="minorHAnsi" w:hAnsiTheme="minorHAnsi"/>
          <w:sz w:val="22"/>
          <w:szCs w:val="22"/>
        </w:rPr>
        <w:t>intende dare impulso all’utilizzo sostenibile degli ecosistemi terrestri, soprattutto attraverso la lotta alla deforestazione e alla degradazione del suolo. Questo obiettivo vuole anche adottare misure adatte a conservare la diversità biologica, proteggendo le specie animali e vegetali minacciate, e combattere il bracconaggio e il traffico delle specie protette.</w:t>
      </w:r>
    </w:p>
    <w:p w14:paraId="3C39D6E4" w14:textId="77777777" w:rsidR="00994CF0" w:rsidRPr="00DF6ACF" w:rsidRDefault="00994CF0" w:rsidP="00FA6AB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>Italia:</w:t>
      </w:r>
      <w:r w:rsidR="007E16DA" w:rsidRPr="00DF6ACF">
        <w:rPr>
          <w:rFonts w:asciiTheme="minorHAnsi" w:hAnsiTheme="minorHAnsi" w:cstheme="minorHAnsi"/>
          <w:b/>
          <w:color w:val="FF0000"/>
        </w:rPr>
        <w:t xml:space="preserve"> </w:t>
      </w:r>
      <w:r w:rsidR="00050419">
        <w:rPr>
          <w:rFonts w:asciiTheme="minorHAnsi" w:hAnsiTheme="minorHAnsi" w:cstheme="minorHAnsi"/>
          <w:b/>
          <w:color w:val="FF0000"/>
        </w:rPr>
        <w:t xml:space="preserve">Stato di conservazione sfavorevole per </w:t>
      </w:r>
      <w:r w:rsidR="00DF3048">
        <w:rPr>
          <w:rFonts w:asciiTheme="minorHAnsi" w:hAnsiTheme="minorHAnsi" w:cstheme="minorHAnsi"/>
          <w:b/>
          <w:color w:val="FF0000"/>
        </w:rPr>
        <w:t>quasi</w:t>
      </w:r>
      <w:r w:rsidR="00050419">
        <w:rPr>
          <w:rFonts w:asciiTheme="minorHAnsi" w:hAnsiTheme="minorHAnsi" w:cstheme="minorHAnsi"/>
          <w:b/>
          <w:color w:val="FF0000"/>
        </w:rPr>
        <w:t xml:space="preserve"> 50% di flora e fauna e per 68% degli habitat</w:t>
      </w:r>
    </w:p>
    <w:p w14:paraId="11F5C3CB" w14:textId="77777777" w:rsidR="008C1D33" w:rsidRPr="00491A0C" w:rsidRDefault="00BD6759" w:rsidP="00FA6AB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 w:rsidRPr="00491A0C">
        <w:rPr>
          <w:rFonts w:asciiTheme="minorHAnsi" w:hAnsiTheme="minorHAnsi"/>
          <w:sz w:val="22"/>
          <w:szCs w:val="22"/>
        </w:rPr>
        <w:t>Il secondo Rapporto sulla Strategia Naturale per la Biodiversità 2011-2020 del Ministero dell’ambiente sintetizza efficacemente lo stato d’avanzamento degli obiettivi nazionali in materia di biodiversità già in coerenza con il livello di ambizione del Goal 15. Nell’ambito della “</w:t>
      </w:r>
      <w:r w:rsidRPr="00DF3048">
        <w:rPr>
          <w:rFonts w:asciiTheme="minorHAnsi" w:hAnsiTheme="minorHAnsi"/>
          <w:i/>
          <w:sz w:val="22"/>
          <w:szCs w:val="22"/>
        </w:rPr>
        <w:t>Valutazione e prospettive future dello stato di conservazione di specie e habitat comunitario</w:t>
      </w:r>
      <w:r w:rsidRPr="00491A0C">
        <w:rPr>
          <w:rFonts w:asciiTheme="minorHAnsi" w:hAnsiTheme="minorHAnsi"/>
          <w:sz w:val="22"/>
          <w:szCs w:val="22"/>
        </w:rPr>
        <w:t>”, operata dal Ministero dell’Ambiente, appare chiaro che con l’attuale trend di sviluppo la SNB non raggiungerà gli obiettivi programmati al 2020 e così di conseguenza i diversi ta</w:t>
      </w:r>
      <w:r w:rsidR="00050419" w:rsidRPr="00491A0C">
        <w:rPr>
          <w:rFonts w:asciiTheme="minorHAnsi" w:hAnsiTheme="minorHAnsi"/>
          <w:sz w:val="22"/>
          <w:szCs w:val="22"/>
        </w:rPr>
        <w:t>rget del Goal 15. Inoltre, il terzo</w:t>
      </w:r>
      <w:r w:rsidRPr="00491A0C">
        <w:rPr>
          <w:rFonts w:asciiTheme="minorHAnsi" w:hAnsiTheme="minorHAnsi"/>
          <w:sz w:val="22"/>
          <w:szCs w:val="22"/>
        </w:rPr>
        <w:t xml:space="preserve"> Rapporto ISPRA sulla Direttiva Habitat e il Rapporto sulla SNB mostrano come sussista uno stato di conservazione sfavorevole (inadeguato o cattivo) per circa la metà delle specie di interesse comunitario (50% per la flora, 51% per la fauna) e per oltre la metà degli habitat (68%). Queste percentuali sono sostanzialmente rispecchiate nelle prospettive future, con un peggioramento tendenziale per la flora, evidenziando che le politiche attua</w:t>
      </w:r>
      <w:r w:rsidR="00050419" w:rsidRPr="00491A0C">
        <w:rPr>
          <w:rFonts w:asciiTheme="minorHAnsi" w:hAnsiTheme="minorHAnsi"/>
          <w:sz w:val="22"/>
          <w:szCs w:val="22"/>
        </w:rPr>
        <w:t>li non garantiscono il raggiungi</w:t>
      </w:r>
      <w:r w:rsidRPr="00491A0C">
        <w:rPr>
          <w:rFonts w:asciiTheme="minorHAnsi" w:hAnsiTheme="minorHAnsi"/>
          <w:sz w:val="22"/>
          <w:szCs w:val="22"/>
        </w:rPr>
        <w:t>mento degli obiettivi fissati nelle varie convenzioni firmate dall’Italia, nelle strategie europea e italiana per la biodiversità, e nell’Agenda 2030.</w:t>
      </w:r>
    </w:p>
    <w:bookmarkEnd w:id="0"/>
    <w:p w14:paraId="1C6509DB" w14:textId="77777777" w:rsidR="00050419" w:rsidRPr="00491A0C" w:rsidRDefault="00050419" w:rsidP="00FA6ABF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6B37D87E" w14:textId="77777777" w:rsidR="00050419" w:rsidRPr="00491A0C" w:rsidRDefault="00050419" w:rsidP="00491A0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87953FB" w14:textId="77777777" w:rsidR="00050419" w:rsidRPr="00491A0C" w:rsidRDefault="00050419" w:rsidP="00491A0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197A7EA" w14:textId="77777777" w:rsidR="00050419" w:rsidRPr="00491A0C" w:rsidRDefault="00050419" w:rsidP="00491A0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72118CC7" w14:textId="77777777" w:rsidR="00050419" w:rsidRPr="00491A0C" w:rsidRDefault="00050419" w:rsidP="00491A0C">
      <w:pPr>
        <w:pStyle w:val="Normale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652A727" w14:textId="77777777" w:rsidR="00050419" w:rsidRDefault="00050419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4BE35C8F" w14:textId="77777777" w:rsidR="00050419" w:rsidRDefault="00050419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6C62A82C" w14:textId="77777777" w:rsidR="00491A0C" w:rsidRDefault="00491A0C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1FDA921A" w14:textId="77777777" w:rsidR="00491A0C" w:rsidRDefault="00491A0C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1F23BB80" w14:textId="77777777" w:rsidR="00491A0C" w:rsidRDefault="00491A0C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38DCDEFD" w14:textId="77777777" w:rsidR="00491A0C" w:rsidRDefault="00491A0C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0C636050" w14:textId="77777777" w:rsidR="00491A0C" w:rsidRDefault="00491A0C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5B728CB7" w14:textId="77777777" w:rsidR="00491A0C" w:rsidRDefault="00491A0C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548D3666" w14:textId="77777777" w:rsidR="00050419" w:rsidRDefault="00050419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</w:p>
    <w:p w14:paraId="486CD2CD" w14:textId="77777777" w:rsidR="007E16DA" w:rsidRPr="00DF6ACF" w:rsidRDefault="007E16DA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color w:val="FF0000"/>
        </w:rPr>
      </w:pPr>
      <w:r w:rsidRPr="00DF6ACF">
        <w:rPr>
          <w:rFonts w:asciiTheme="minorHAnsi" w:hAnsiTheme="minorHAnsi" w:cstheme="minorHAnsi"/>
          <w:b/>
          <w:color w:val="FF0000"/>
        </w:rPr>
        <w:t xml:space="preserve">I target:  </w:t>
      </w:r>
    </w:p>
    <w:p w14:paraId="11DFE3F5" w14:textId="77777777" w:rsidR="00F63706" w:rsidRDefault="00050419" w:rsidP="007E16DA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1FD12BA6" wp14:editId="36845386">
            <wp:extent cx="5114925" cy="4964253"/>
            <wp:effectExtent l="1905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135" cy="496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38ED8B" w14:textId="77777777" w:rsidR="007E16DA" w:rsidRDefault="007E16DA" w:rsidP="000A26C5">
      <w:pPr>
        <w:pStyle w:val="Normale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FF0000"/>
        </w:rPr>
      </w:pPr>
    </w:p>
    <w:p w14:paraId="03FDC88A" w14:textId="77777777" w:rsidR="007E16DA" w:rsidRPr="007E16DA" w:rsidRDefault="007E16DA" w:rsidP="004A78F5">
      <w:pPr>
        <w:shd w:val="clear" w:color="auto" w:fill="FFFFFF"/>
        <w:spacing w:after="0" w:line="360" w:lineRule="auto"/>
        <w:rPr>
          <w:rFonts w:eastAsia="Times New Roman" w:cs="Times New Roman"/>
          <w:sz w:val="20"/>
          <w:lang w:eastAsia="it-IT"/>
        </w:rPr>
      </w:pPr>
    </w:p>
    <w:p w14:paraId="3A02FDD8" w14:textId="77777777" w:rsidR="000B7DBF" w:rsidRPr="004A78F5" w:rsidRDefault="006F3575" w:rsidP="00714DB2">
      <w:pPr>
        <w:pStyle w:val="NormaleWeb"/>
        <w:shd w:val="clear" w:color="auto" w:fill="FFFFFF"/>
        <w:spacing w:before="0" w:beforeAutospacing="0" w:after="0" w:afterAutospacing="0" w:line="360" w:lineRule="auto"/>
      </w:pPr>
    </w:p>
    <w:sectPr w:rsidR="000B7DBF" w:rsidRPr="004A78F5" w:rsidSect="00CF3B4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27A2" w14:textId="77777777" w:rsidR="006F3575" w:rsidRDefault="006F3575" w:rsidP="008C1D33">
      <w:pPr>
        <w:spacing w:after="0" w:line="240" w:lineRule="auto"/>
      </w:pPr>
      <w:r>
        <w:separator/>
      </w:r>
    </w:p>
  </w:endnote>
  <w:endnote w:type="continuationSeparator" w:id="0">
    <w:p w14:paraId="79AD9B4C" w14:textId="77777777" w:rsidR="006F3575" w:rsidRDefault="006F3575" w:rsidP="008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6340" w14:textId="77777777" w:rsidR="006F3575" w:rsidRDefault="006F3575" w:rsidP="008C1D33">
      <w:pPr>
        <w:spacing w:after="0" w:line="240" w:lineRule="auto"/>
      </w:pPr>
      <w:r>
        <w:separator/>
      </w:r>
    </w:p>
  </w:footnote>
  <w:footnote w:type="continuationSeparator" w:id="0">
    <w:p w14:paraId="13B76234" w14:textId="77777777" w:rsidR="006F3575" w:rsidRDefault="006F3575" w:rsidP="008C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EC16" w14:textId="77777777" w:rsidR="00BD6759" w:rsidRDefault="00BD675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0252D39" wp14:editId="5D44C988">
          <wp:simplePos x="0" y="0"/>
          <wp:positionH relativeFrom="margin">
            <wp:posOffset>-72390</wp:posOffset>
          </wp:positionH>
          <wp:positionV relativeFrom="margin">
            <wp:posOffset>-966470</wp:posOffset>
          </wp:positionV>
          <wp:extent cx="962025" cy="933450"/>
          <wp:effectExtent l="19050" t="0" r="9525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A6374"/>
    <w:multiLevelType w:val="hybridMultilevel"/>
    <w:tmpl w:val="45B6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9A"/>
    <w:rsid w:val="000245B0"/>
    <w:rsid w:val="00050419"/>
    <w:rsid w:val="000A26C5"/>
    <w:rsid w:val="000B2183"/>
    <w:rsid w:val="000B5427"/>
    <w:rsid w:val="002615F3"/>
    <w:rsid w:val="002E7763"/>
    <w:rsid w:val="00323B02"/>
    <w:rsid w:val="004111B8"/>
    <w:rsid w:val="0048223A"/>
    <w:rsid w:val="00491A0C"/>
    <w:rsid w:val="004A78F5"/>
    <w:rsid w:val="00523E6E"/>
    <w:rsid w:val="00552908"/>
    <w:rsid w:val="00566B2B"/>
    <w:rsid w:val="00591E5C"/>
    <w:rsid w:val="00611421"/>
    <w:rsid w:val="00666710"/>
    <w:rsid w:val="0068552E"/>
    <w:rsid w:val="006E0982"/>
    <w:rsid w:val="006F3575"/>
    <w:rsid w:val="00714DB2"/>
    <w:rsid w:val="007E16DA"/>
    <w:rsid w:val="008C1D33"/>
    <w:rsid w:val="008D525D"/>
    <w:rsid w:val="00994CF0"/>
    <w:rsid w:val="00BD6759"/>
    <w:rsid w:val="00CB184F"/>
    <w:rsid w:val="00CC1F9A"/>
    <w:rsid w:val="00CF3B4A"/>
    <w:rsid w:val="00DA4DBE"/>
    <w:rsid w:val="00DF3048"/>
    <w:rsid w:val="00DF6ACF"/>
    <w:rsid w:val="00E819B6"/>
    <w:rsid w:val="00F63706"/>
    <w:rsid w:val="00F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36CA2C"/>
  <w15:docId w15:val="{D9E64D38-8EBC-4CEC-9A17-1B9D28ED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A78F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994C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D33"/>
  </w:style>
  <w:style w:type="paragraph" w:styleId="Pidipagina">
    <w:name w:val="footer"/>
    <w:basedOn w:val="Normale"/>
    <w:link w:val="PidipaginaCarattere"/>
    <w:uiPriority w:val="99"/>
    <w:semiHidden/>
    <w:unhideWhenUsed/>
    <w:rsid w:val="008C1D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1D33"/>
  </w:style>
  <w:style w:type="character" w:styleId="Enfasicorsivo">
    <w:name w:val="Emphasis"/>
    <w:basedOn w:val="Carpredefinitoparagrafo"/>
    <w:uiPriority w:val="20"/>
    <w:qFormat/>
    <w:rsid w:val="00BD67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0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2A130-055F-48D8-9CF8-5E17A09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Romano</dc:creator>
  <cp:lastModifiedBy>Mariagrazia Martorana</cp:lastModifiedBy>
  <cp:revision>4</cp:revision>
  <dcterms:created xsi:type="dcterms:W3CDTF">2017-05-09T20:22:00Z</dcterms:created>
  <dcterms:modified xsi:type="dcterms:W3CDTF">2017-05-10T14:42:00Z</dcterms:modified>
</cp:coreProperties>
</file>