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A5" w:rsidRDefault="00F218A5" w:rsidP="004278B1">
      <w:pPr>
        <w:pStyle w:val="Geenafstand"/>
        <w:ind w:left="993"/>
      </w:pPr>
      <w:bookmarkStart w:id="0" w:name="_GoBack"/>
      <w:bookmarkEnd w:id="0"/>
    </w:p>
    <w:p w:rsidR="00F218A5" w:rsidRDefault="00857B5A" w:rsidP="006917E1">
      <w:pPr>
        <w:pStyle w:val="Geenafstand"/>
        <w:ind w:left="993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66040</wp:posOffset>
                </wp:positionV>
                <wp:extent cx="4709795" cy="6756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22C" w:rsidRPr="00286C63" w:rsidRDefault="0025522C" w:rsidP="00673D3E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00AEEF"/>
                                <w:sz w:val="56"/>
                                <w:szCs w:val="56"/>
                              </w:rPr>
                            </w:pPr>
                            <w:r w:rsidRPr="00286C63">
                              <w:rPr>
                                <w:rFonts w:ascii="Rockwell" w:hAnsi="Rockwell"/>
                                <w:color w:val="00AEEF"/>
                                <w:sz w:val="56"/>
                                <w:szCs w:val="56"/>
                              </w:rPr>
                              <w:t>Press Release</w:t>
                            </w:r>
                          </w:p>
                          <w:p w:rsidR="0025522C" w:rsidRPr="00BA3BF7" w:rsidRDefault="0025522C" w:rsidP="00673D3E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5522C" w:rsidRPr="00673D3E" w:rsidRDefault="0025522C" w:rsidP="00673D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5.2pt;width:370.8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PMtwIAALk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" filled="f" stroked="f">
                <v:textbox>
                  <w:txbxContent>
                    <w:p w:rsidR="0025522C" w:rsidRPr="00286C63" w:rsidRDefault="0025522C" w:rsidP="00673D3E">
                      <w:pPr>
                        <w:spacing w:after="0" w:line="240" w:lineRule="auto"/>
                        <w:rPr>
                          <w:rFonts w:ascii="Rockwell" w:hAnsi="Rockwell"/>
                          <w:color w:val="00AEEF"/>
                          <w:sz w:val="56"/>
                          <w:szCs w:val="56"/>
                        </w:rPr>
                      </w:pPr>
                      <w:r w:rsidRPr="00286C63">
                        <w:rPr>
                          <w:rFonts w:ascii="Rockwell" w:hAnsi="Rockwell"/>
                          <w:color w:val="00AEEF"/>
                          <w:sz w:val="56"/>
                          <w:szCs w:val="56"/>
                        </w:rPr>
                        <w:t>Press Release</w:t>
                      </w:r>
                    </w:p>
                    <w:p w:rsidR="0025522C" w:rsidRPr="00BA3BF7" w:rsidRDefault="0025522C" w:rsidP="00673D3E">
                      <w:pPr>
                        <w:spacing w:after="0" w:line="240" w:lineRule="auto"/>
                        <w:rPr>
                          <w:rFonts w:ascii="Rockwell" w:hAnsi="Rockwell"/>
                          <w:color w:val="002060"/>
                          <w:sz w:val="20"/>
                          <w:szCs w:val="20"/>
                        </w:rPr>
                      </w:pPr>
                    </w:p>
                    <w:p w:rsidR="0025522C" w:rsidRPr="00673D3E" w:rsidRDefault="0025522C" w:rsidP="00673D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>
            <wp:extent cx="807720" cy="617220"/>
            <wp:effectExtent l="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A5" w:rsidRDefault="00F218A5" w:rsidP="00673D3E">
      <w:pPr>
        <w:pStyle w:val="Geenafstand"/>
        <w:ind w:left="1440"/>
        <w:rPr>
          <w:sz w:val="8"/>
          <w:szCs w:val="8"/>
        </w:rPr>
      </w:pPr>
    </w:p>
    <w:p w:rsidR="00F218A5" w:rsidRPr="004278B1" w:rsidRDefault="00F218A5" w:rsidP="00673D3E">
      <w:pPr>
        <w:pStyle w:val="Geenafstand"/>
        <w:ind w:left="1440"/>
        <w:rPr>
          <w:sz w:val="8"/>
          <w:szCs w:val="8"/>
        </w:rPr>
      </w:pPr>
    </w:p>
    <w:p w:rsidR="00F218A5" w:rsidRDefault="00857B5A" w:rsidP="00FC36C2">
      <w:pPr>
        <w:pStyle w:val="Geenafstand"/>
        <w:ind w:left="284"/>
      </w:pPr>
      <w:r>
        <w:rPr>
          <w:noProof/>
          <w:lang w:val="nl-BE" w:eastAsia="nl-BE"/>
        </w:rPr>
        <w:drawing>
          <wp:inline distT="0" distB="0" distL="0" distR="0">
            <wp:extent cx="6733540" cy="160020"/>
            <wp:effectExtent l="0" t="0" r="0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A5" w:rsidRDefault="00F218A5" w:rsidP="005F4E91">
      <w:pPr>
        <w:pStyle w:val="Geenafstand"/>
        <w:ind w:left="993"/>
      </w:pPr>
    </w:p>
    <w:p w:rsidR="00F218A5" w:rsidRPr="0038517C" w:rsidRDefault="00F218A5" w:rsidP="005F4E91">
      <w:pPr>
        <w:ind w:left="993"/>
        <w:rPr>
          <w:color w:val="003768"/>
        </w:rPr>
      </w:pPr>
      <w:r>
        <w:rPr>
          <w:color w:val="003768"/>
        </w:rPr>
        <w:t>Brussel</w:t>
      </w:r>
      <w:r w:rsidRPr="00CC7316">
        <w:rPr>
          <w:color w:val="003768"/>
        </w:rPr>
        <w:t>s, 12 Novem</w:t>
      </w:r>
      <w:r>
        <w:rPr>
          <w:color w:val="003768"/>
        </w:rPr>
        <w:t>ber</w:t>
      </w:r>
      <w:r w:rsidRPr="0038517C">
        <w:rPr>
          <w:color w:val="003768"/>
        </w:rPr>
        <w:t xml:space="preserve"> 201</w:t>
      </w:r>
      <w:r w:rsidR="00F3450C">
        <w:rPr>
          <w:color w:val="003768"/>
        </w:rPr>
        <w:t>4</w:t>
      </w:r>
      <w:r w:rsidRPr="0038517C">
        <w:rPr>
          <w:color w:val="003768"/>
        </w:rPr>
        <w:t xml:space="preserve"> </w:t>
      </w:r>
    </w:p>
    <w:p w:rsidR="00F218A5" w:rsidRPr="006125D4" w:rsidRDefault="00AB7DC5" w:rsidP="006125D4">
      <w:pPr>
        <w:ind w:left="993" w:right="-31"/>
        <w:rPr>
          <w:rFonts w:ascii="Rockwell" w:hAnsi="Rockwell" w:cs="Rockwell,Bold"/>
          <w:b/>
          <w:bCs/>
          <w:color w:val="00AEEF"/>
          <w:sz w:val="44"/>
          <w:szCs w:val="44"/>
        </w:rPr>
      </w:pPr>
      <w:r>
        <w:rPr>
          <w:rFonts w:ascii="Rockwell" w:hAnsi="Rockwell" w:cs="Rockwell,Bold"/>
          <w:b/>
          <w:bCs/>
          <w:color w:val="00AEEF"/>
          <w:sz w:val="44"/>
          <w:szCs w:val="44"/>
        </w:rPr>
        <w:t>Benelux</w:t>
      </w:r>
      <w:r w:rsidR="00F218A5" w:rsidRPr="006125D4">
        <w:rPr>
          <w:rFonts w:ascii="Rockwell" w:hAnsi="Rockwell" w:cs="Rockwell,Bold"/>
          <w:b/>
          <w:bCs/>
          <w:color w:val="00AEEF"/>
          <w:sz w:val="44"/>
          <w:szCs w:val="44"/>
        </w:rPr>
        <w:t xml:space="preserve"> biotech sector </w:t>
      </w:r>
      <w:r w:rsidR="00110465">
        <w:rPr>
          <w:rFonts w:ascii="Rockwell" w:hAnsi="Rockwell" w:cs="Rockwell,Bold"/>
          <w:b/>
          <w:bCs/>
          <w:color w:val="00AEEF"/>
          <w:sz w:val="44"/>
          <w:szCs w:val="44"/>
        </w:rPr>
        <w:t>attracts strong</w:t>
      </w:r>
      <w:r w:rsidR="006E3305">
        <w:rPr>
          <w:rFonts w:ascii="Rockwell" w:hAnsi="Rockwell" w:cs="Rockwell,Bold"/>
          <w:b/>
          <w:bCs/>
          <w:color w:val="00AEEF"/>
          <w:sz w:val="44"/>
          <w:szCs w:val="44"/>
        </w:rPr>
        <w:t xml:space="preserve"> interest from</w:t>
      </w:r>
      <w:r w:rsidR="00F218A5" w:rsidRPr="006125D4">
        <w:rPr>
          <w:rFonts w:ascii="Rockwell" w:hAnsi="Rockwell" w:cs="Rockwell,Bold"/>
          <w:b/>
          <w:bCs/>
          <w:color w:val="00AEEF"/>
          <w:sz w:val="44"/>
          <w:szCs w:val="44"/>
        </w:rPr>
        <w:t xml:space="preserve"> </w:t>
      </w:r>
      <w:r w:rsidR="006E3305">
        <w:rPr>
          <w:rFonts w:ascii="Rockwell" w:hAnsi="Rockwell" w:cs="Rockwell,Bold"/>
          <w:b/>
          <w:bCs/>
          <w:color w:val="00AEEF"/>
          <w:sz w:val="44"/>
          <w:szCs w:val="44"/>
        </w:rPr>
        <w:t>top segment of</w:t>
      </w:r>
      <w:r w:rsidR="00F218A5" w:rsidRPr="006125D4">
        <w:rPr>
          <w:rFonts w:ascii="Rockwell" w:hAnsi="Rockwell" w:cs="Rockwell,Bold"/>
          <w:b/>
          <w:bCs/>
          <w:color w:val="00AEEF"/>
          <w:sz w:val="44"/>
          <w:szCs w:val="44"/>
        </w:rPr>
        <w:t xml:space="preserve"> US </w:t>
      </w:r>
      <w:r w:rsidR="006E3305">
        <w:rPr>
          <w:rFonts w:ascii="Rockwell" w:hAnsi="Rockwell" w:cs="Rockwell,Bold"/>
          <w:b/>
          <w:bCs/>
          <w:color w:val="00AEEF"/>
          <w:sz w:val="44"/>
          <w:szCs w:val="44"/>
        </w:rPr>
        <w:t>investors</w:t>
      </w:r>
    </w:p>
    <w:p w:rsidR="00F218A5" w:rsidRPr="006125D4" w:rsidRDefault="00F218A5" w:rsidP="006125D4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i/>
          <w:color w:val="003768"/>
          <w:sz w:val="28"/>
          <w:szCs w:val="28"/>
        </w:rPr>
      </w:pPr>
      <w:r>
        <w:rPr>
          <w:rFonts w:cs="Arial"/>
          <w:b/>
          <w:bCs/>
          <w:i/>
          <w:color w:val="003768"/>
          <w:sz w:val="28"/>
          <w:szCs w:val="28"/>
        </w:rPr>
        <w:t xml:space="preserve">On </w:t>
      </w:r>
      <w:r w:rsidRPr="006125D4">
        <w:rPr>
          <w:rFonts w:cs="Arial"/>
          <w:b/>
          <w:bCs/>
          <w:i/>
          <w:color w:val="003768"/>
          <w:sz w:val="28"/>
          <w:szCs w:val="28"/>
        </w:rPr>
        <w:t xml:space="preserve">November </w:t>
      </w:r>
      <w:r w:rsidR="00875034">
        <w:rPr>
          <w:rFonts w:cs="Arial"/>
          <w:b/>
          <w:bCs/>
          <w:i/>
          <w:color w:val="003768"/>
          <w:sz w:val="28"/>
          <w:szCs w:val="28"/>
        </w:rPr>
        <w:t xml:space="preserve">13, </w:t>
      </w:r>
      <w:r w:rsidRPr="006125D4">
        <w:rPr>
          <w:rFonts w:cs="Arial"/>
          <w:b/>
          <w:bCs/>
          <w:i/>
          <w:color w:val="003768"/>
          <w:sz w:val="28"/>
          <w:szCs w:val="28"/>
        </w:rPr>
        <w:t>201</w:t>
      </w:r>
      <w:r w:rsidR="00F61BBA">
        <w:rPr>
          <w:rFonts w:cs="Arial"/>
          <w:b/>
          <w:bCs/>
          <w:i/>
          <w:color w:val="003768"/>
          <w:sz w:val="28"/>
          <w:szCs w:val="28"/>
        </w:rPr>
        <w:t>4</w:t>
      </w:r>
      <w:r>
        <w:rPr>
          <w:rFonts w:cs="Arial"/>
          <w:b/>
          <w:bCs/>
          <w:i/>
          <w:color w:val="003768"/>
          <w:sz w:val="28"/>
          <w:szCs w:val="28"/>
        </w:rPr>
        <w:t xml:space="preserve">, </w:t>
      </w:r>
      <w:r w:rsidRPr="006125D4">
        <w:rPr>
          <w:rFonts w:cs="Arial"/>
          <w:b/>
          <w:bCs/>
          <w:i/>
          <w:color w:val="003768"/>
          <w:sz w:val="28"/>
          <w:szCs w:val="28"/>
        </w:rPr>
        <w:t xml:space="preserve">KBC Securities, supported by </w:t>
      </w:r>
      <w:proofErr w:type="spellStart"/>
      <w:r w:rsidRPr="006125D4">
        <w:rPr>
          <w:rFonts w:cs="Arial"/>
          <w:b/>
          <w:bCs/>
          <w:i/>
          <w:color w:val="003768"/>
          <w:sz w:val="28"/>
          <w:szCs w:val="28"/>
        </w:rPr>
        <w:t>FlandersBio</w:t>
      </w:r>
      <w:proofErr w:type="spellEnd"/>
      <w:r w:rsidRPr="006125D4">
        <w:rPr>
          <w:rFonts w:cs="Arial"/>
          <w:b/>
          <w:bCs/>
          <w:i/>
          <w:color w:val="003768"/>
          <w:sz w:val="28"/>
          <w:szCs w:val="28"/>
        </w:rPr>
        <w:t xml:space="preserve"> and Flanders Investment &amp; Trade, </w:t>
      </w:r>
      <w:r w:rsidR="00F61BBA">
        <w:rPr>
          <w:rFonts w:cs="Arial"/>
          <w:b/>
          <w:bCs/>
          <w:i/>
          <w:color w:val="003768"/>
          <w:sz w:val="28"/>
          <w:szCs w:val="28"/>
        </w:rPr>
        <w:t xml:space="preserve">will host the third edition of </w:t>
      </w:r>
      <w:r w:rsidR="00875034">
        <w:rPr>
          <w:rFonts w:cs="Arial"/>
          <w:b/>
          <w:bCs/>
          <w:i/>
          <w:color w:val="003768"/>
          <w:sz w:val="28"/>
          <w:szCs w:val="28"/>
        </w:rPr>
        <w:t xml:space="preserve">its </w:t>
      </w:r>
      <w:r w:rsidR="00F61BBA">
        <w:rPr>
          <w:rFonts w:cs="Arial"/>
          <w:b/>
          <w:bCs/>
          <w:i/>
          <w:color w:val="003768"/>
          <w:sz w:val="28"/>
          <w:szCs w:val="28"/>
        </w:rPr>
        <w:t>Annual Benelux Biotech &amp; Healthcare Conference</w:t>
      </w:r>
      <w:r w:rsidR="00875034">
        <w:rPr>
          <w:rFonts w:cs="Arial"/>
          <w:b/>
          <w:bCs/>
          <w:i/>
          <w:color w:val="003768"/>
          <w:sz w:val="28"/>
          <w:szCs w:val="28"/>
        </w:rPr>
        <w:t xml:space="preserve"> in</w:t>
      </w:r>
      <w:r w:rsidR="00F3450C">
        <w:rPr>
          <w:rFonts w:cs="Arial"/>
          <w:b/>
          <w:bCs/>
          <w:i/>
          <w:color w:val="003768"/>
          <w:sz w:val="28"/>
          <w:szCs w:val="28"/>
        </w:rPr>
        <w:t xml:space="preserve"> New York</w:t>
      </w:r>
      <w:r w:rsidRPr="006125D4">
        <w:rPr>
          <w:rFonts w:cs="Arial"/>
          <w:b/>
          <w:bCs/>
          <w:i/>
          <w:color w:val="003768"/>
          <w:sz w:val="28"/>
          <w:szCs w:val="28"/>
        </w:rPr>
        <w:t xml:space="preserve">. The conference offers a unique opportunity to meet with top executives of </w:t>
      </w:r>
      <w:r w:rsidR="00F61BBA">
        <w:rPr>
          <w:rFonts w:cs="Arial"/>
          <w:b/>
          <w:bCs/>
          <w:i/>
          <w:color w:val="003768"/>
          <w:sz w:val="28"/>
          <w:szCs w:val="28"/>
        </w:rPr>
        <w:t xml:space="preserve">14 </w:t>
      </w:r>
      <w:r w:rsidRPr="006125D4">
        <w:rPr>
          <w:rFonts w:cs="Arial"/>
          <w:b/>
          <w:bCs/>
          <w:i/>
          <w:color w:val="003768"/>
          <w:sz w:val="28"/>
          <w:szCs w:val="28"/>
        </w:rPr>
        <w:t xml:space="preserve">listed </w:t>
      </w:r>
      <w:r w:rsidR="00AB7DC5">
        <w:rPr>
          <w:rFonts w:cs="Arial"/>
          <w:b/>
          <w:bCs/>
          <w:i/>
          <w:color w:val="003768"/>
          <w:sz w:val="28"/>
          <w:szCs w:val="28"/>
        </w:rPr>
        <w:t xml:space="preserve">companies </w:t>
      </w:r>
      <w:r w:rsidR="00F61BBA">
        <w:rPr>
          <w:rFonts w:cs="Arial"/>
          <w:b/>
          <w:bCs/>
          <w:i/>
          <w:color w:val="003768"/>
          <w:sz w:val="28"/>
          <w:szCs w:val="28"/>
        </w:rPr>
        <w:t xml:space="preserve">and 1 </w:t>
      </w:r>
      <w:r w:rsidR="00875034">
        <w:rPr>
          <w:rFonts w:cs="Arial"/>
          <w:b/>
          <w:bCs/>
          <w:i/>
          <w:color w:val="003768"/>
          <w:sz w:val="28"/>
          <w:szCs w:val="28"/>
        </w:rPr>
        <w:t xml:space="preserve">pre-IPO </w:t>
      </w:r>
      <w:r w:rsidR="00F61BBA">
        <w:rPr>
          <w:rFonts w:cs="Arial"/>
          <w:b/>
          <w:bCs/>
          <w:i/>
          <w:color w:val="003768"/>
          <w:sz w:val="28"/>
          <w:szCs w:val="28"/>
        </w:rPr>
        <w:t>company</w:t>
      </w:r>
      <w:r w:rsidRPr="006125D4">
        <w:rPr>
          <w:rFonts w:cs="Arial"/>
          <w:b/>
          <w:bCs/>
          <w:i/>
          <w:color w:val="003768"/>
          <w:sz w:val="28"/>
          <w:szCs w:val="28"/>
        </w:rPr>
        <w:t xml:space="preserve">, </w:t>
      </w:r>
      <w:r w:rsidR="00F3450C">
        <w:rPr>
          <w:rFonts w:cs="Arial"/>
          <w:b/>
          <w:bCs/>
          <w:i/>
          <w:color w:val="003768"/>
          <w:sz w:val="28"/>
          <w:szCs w:val="28"/>
        </w:rPr>
        <w:t>providing</w:t>
      </w:r>
      <w:r w:rsidRPr="006125D4">
        <w:rPr>
          <w:rFonts w:cs="Arial"/>
          <w:b/>
          <w:bCs/>
          <w:i/>
          <w:color w:val="003768"/>
          <w:sz w:val="28"/>
          <w:szCs w:val="28"/>
        </w:rPr>
        <w:t xml:space="preserve"> an excellent overview of the vibrant Benelux </w:t>
      </w:r>
      <w:r w:rsidR="00875034">
        <w:rPr>
          <w:rFonts w:cs="Arial"/>
          <w:b/>
          <w:bCs/>
          <w:i/>
          <w:color w:val="003768"/>
          <w:sz w:val="28"/>
          <w:szCs w:val="28"/>
        </w:rPr>
        <w:t>Life Sciences</w:t>
      </w:r>
      <w:r w:rsidR="00875034" w:rsidRPr="006125D4">
        <w:rPr>
          <w:rFonts w:cs="Arial"/>
          <w:b/>
          <w:bCs/>
          <w:i/>
          <w:color w:val="003768"/>
          <w:sz w:val="28"/>
          <w:szCs w:val="28"/>
        </w:rPr>
        <w:t xml:space="preserve"> </w:t>
      </w:r>
      <w:r>
        <w:rPr>
          <w:rFonts w:cs="Arial"/>
          <w:b/>
          <w:bCs/>
          <w:i/>
          <w:color w:val="003768"/>
          <w:sz w:val="28"/>
          <w:szCs w:val="28"/>
        </w:rPr>
        <w:t>l</w:t>
      </w:r>
      <w:r w:rsidRPr="006125D4">
        <w:rPr>
          <w:rFonts w:cs="Arial"/>
          <w:b/>
          <w:bCs/>
          <w:i/>
          <w:color w:val="003768"/>
          <w:sz w:val="28"/>
          <w:szCs w:val="28"/>
        </w:rPr>
        <w:t>andscape. This conference is one of several initiatives of KBC Securities</w:t>
      </w:r>
      <w:r w:rsidR="00AB7DC5">
        <w:rPr>
          <w:rFonts w:cs="Arial"/>
          <w:b/>
          <w:bCs/>
          <w:i/>
          <w:color w:val="003768"/>
          <w:sz w:val="28"/>
          <w:szCs w:val="28"/>
        </w:rPr>
        <w:t xml:space="preserve"> and underlines the firm’s continued support for the </w:t>
      </w:r>
      <w:r w:rsidRPr="006125D4">
        <w:rPr>
          <w:rFonts w:cs="Arial"/>
          <w:b/>
          <w:bCs/>
          <w:i/>
          <w:color w:val="003768"/>
          <w:sz w:val="28"/>
          <w:szCs w:val="28"/>
        </w:rPr>
        <w:t>sector.</w:t>
      </w:r>
    </w:p>
    <w:p w:rsidR="00F218A5" w:rsidRDefault="00F218A5" w:rsidP="006125D4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i/>
          <w:color w:val="003768"/>
          <w:sz w:val="28"/>
          <w:szCs w:val="28"/>
        </w:rPr>
      </w:pPr>
    </w:p>
    <w:p w:rsidR="009D4081" w:rsidRDefault="0056169F" w:rsidP="00377D7F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</w:rPr>
      </w:pPr>
      <w:r w:rsidRPr="006125D4">
        <w:rPr>
          <w:color w:val="1F497D"/>
        </w:rPr>
        <w:t>Following successful edition</w:t>
      </w:r>
      <w:r>
        <w:rPr>
          <w:color w:val="1F497D"/>
        </w:rPr>
        <w:t>s in 2012 and 2013</w:t>
      </w:r>
      <w:r w:rsidRPr="006125D4">
        <w:rPr>
          <w:color w:val="1F497D"/>
        </w:rPr>
        <w:t xml:space="preserve">, KBC Securities hosts the </w:t>
      </w:r>
      <w:r>
        <w:rPr>
          <w:color w:val="1F497D"/>
        </w:rPr>
        <w:t>third</w:t>
      </w:r>
      <w:r w:rsidRPr="006125D4">
        <w:rPr>
          <w:color w:val="1F497D"/>
        </w:rPr>
        <w:t xml:space="preserve"> edition of its Benelux Biotech &amp; Healthcare </w:t>
      </w:r>
      <w:r w:rsidR="009D4081">
        <w:rPr>
          <w:color w:val="1F497D"/>
        </w:rPr>
        <w:t xml:space="preserve">conference </w:t>
      </w:r>
      <w:r w:rsidR="009D4081" w:rsidRPr="006125D4">
        <w:rPr>
          <w:color w:val="1F497D"/>
        </w:rPr>
        <w:t>on</w:t>
      </w:r>
      <w:r w:rsidRPr="006125D4">
        <w:rPr>
          <w:color w:val="1F497D"/>
        </w:rPr>
        <w:t xml:space="preserve"> November </w:t>
      </w:r>
      <w:r w:rsidR="00875034">
        <w:rPr>
          <w:color w:val="1F497D"/>
        </w:rPr>
        <w:t>1</w:t>
      </w:r>
      <w:r w:rsidR="007D6C52">
        <w:rPr>
          <w:color w:val="1F497D"/>
        </w:rPr>
        <w:t>3</w:t>
      </w:r>
      <w:r w:rsidR="00875034">
        <w:rPr>
          <w:color w:val="1F497D"/>
        </w:rPr>
        <w:t xml:space="preserve">, </w:t>
      </w:r>
      <w:r w:rsidRPr="006125D4">
        <w:rPr>
          <w:color w:val="1F497D"/>
        </w:rPr>
        <w:t>201</w:t>
      </w:r>
      <w:r>
        <w:rPr>
          <w:color w:val="1F497D"/>
        </w:rPr>
        <w:t xml:space="preserve">4 </w:t>
      </w:r>
      <w:r w:rsidR="00875034">
        <w:rPr>
          <w:color w:val="1F497D"/>
        </w:rPr>
        <w:t xml:space="preserve">in </w:t>
      </w:r>
      <w:r w:rsidR="00F3450C">
        <w:rPr>
          <w:bCs/>
          <w:color w:val="1F497D"/>
        </w:rPr>
        <w:t>New York</w:t>
      </w:r>
      <w:r w:rsidR="00875034">
        <w:rPr>
          <w:bCs/>
          <w:color w:val="1F497D"/>
        </w:rPr>
        <w:t xml:space="preserve"> City</w:t>
      </w:r>
      <w:r>
        <w:rPr>
          <w:bCs/>
          <w:color w:val="1F497D"/>
        </w:rPr>
        <w:t>.</w:t>
      </w:r>
      <w:r>
        <w:rPr>
          <w:color w:val="1F497D"/>
        </w:rPr>
        <w:t xml:space="preserve"> </w:t>
      </w:r>
      <w:r w:rsidR="00875034">
        <w:rPr>
          <w:color w:val="1F497D"/>
        </w:rPr>
        <w:t>In a matter of years</w:t>
      </w:r>
      <w:r w:rsidR="009D4081">
        <w:rPr>
          <w:color w:val="1F497D"/>
        </w:rPr>
        <w:t xml:space="preserve">, the event has </w:t>
      </w:r>
      <w:r w:rsidR="00875034">
        <w:rPr>
          <w:color w:val="1F497D"/>
        </w:rPr>
        <w:t>evolved to</w:t>
      </w:r>
      <w:r w:rsidR="009D4081">
        <w:rPr>
          <w:color w:val="1F497D"/>
        </w:rPr>
        <w:t xml:space="preserve"> a must-attend gathering for the leadership of healthcare companies in the Benelux. </w:t>
      </w:r>
      <w:r w:rsidR="00110465">
        <w:rPr>
          <w:color w:val="1F497D"/>
        </w:rPr>
        <w:t>The 37% increase of the Benelux Biotech index in 2014, outperforming the Nasdaq Biotech index, is a testimony of the success of this innovation driven sector.</w:t>
      </w:r>
    </w:p>
    <w:p w:rsidR="009D4081" w:rsidRDefault="009D4081" w:rsidP="00377D7F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</w:rPr>
      </w:pPr>
    </w:p>
    <w:p w:rsidR="0056169F" w:rsidRDefault="00420384" w:rsidP="00377D7F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</w:rPr>
      </w:pPr>
      <w:r>
        <w:rPr>
          <w:color w:val="1F497D"/>
        </w:rPr>
        <w:t xml:space="preserve">At </w:t>
      </w:r>
      <w:r w:rsidR="0056169F">
        <w:rPr>
          <w:color w:val="1F497D"/>
        </w:rPr>
        <w:t xml:space="preserve">the first </w:t>
      </w:r>
      <w:r>
        <w:rPr>
          <w:color w:val="1F497D"/>
        </w:rPr>
        <w:t>edition</w:t>
      </w:r>
      <w:r w:rsidR="00CC7316">
        <w:rPr>
          <w:color w:val="1F497D"/>
        </w:rPr>
        <w:t xml:space="preserve"> in 2012</w:t>
      </w:r>
      <w:r>
        <w:rPr>
          <w:color w:val="1F497D"/>
        </w:rPr>
        <w:t xml:space="preserve">, the attending companies </w:t>
      </w:r>
      <w:r w:rsidR="00377D7F">
        <w:rPr>
          <w:color w:val="1F497D"/>
        </w:rPr>
        <w:t>represented €</w:t>
      </w:r>
      <w:r>
        <w:rPr>
          <w:color w:val="1F497D"/>
        </w:rPr>
        <w:t xml:space="preserve"> 9.6bn in market </w:t>
      </w:r>
      <w:r w:rsidR="003D329C">
        <w:rPr>
          <w:color w:val="1F497D"/>
        </w:rPr>
        <w:t>capitalization</w:t>
      </w:r>
      <w:r>
        <w:rPr>
          <w:color w:val="1F497D"/>
        </w:rPr>
        <w:t xml:space="preserve">, of which € 2.1bn </w:t>
      </w:r>
      <w:r w:rsidR="006E3305">
        <w:rPr>
          <w:color w:val="1F497D"/>
        </w:rPr>
        <w:t xml:space="preserve">by </w:t>
      </w:r>
      <w:r w:rsidR="00CC7316">
        <w:rPr>
          <w:color w:val="1F497D"/>
        </w:rPr>
        <w:t>SMEs</w:t>
      </w:r>
      <w:r w:rsidR="00377D7F">
        <w:rPr>
          <w:color w:val="1F497D"/>
        </w:rPr>
        <w:t xml:space="preserve">. </w:t>
      </w:r>
      <w:r w:rsidR="00CC7316">
        <w:rPr>
          <w:color w:val="1F497D"/>
        </w:rPr>
        <w:t>Today, i</w:t>
      </w:r>
      <w:r>
        <w:rPr>
          <w:color w:val="1F497D"/>
        </w:rPr>
        <w:t xml:space="preserve">n </w:t>
      </w:r>
      <w:r w:rsidR="00875034">
        <w:rPr>
          <w:color w:val="1F497D"/>
        </w:rPr>
        <w:t xml:space="preserve">this </w:t>
      </w:r>
      <w:r>
        <w:rPr>
          <w:color w:val="1F497D"/>
        </w:rPr>
        <w:t>3</w:t>
      </w:r>
      <w:r w:rsidRPr="00420384">
        <w:rPr>
          <w:color w:val="1F497D"/>
          <w:vertAlign w:val="superscript"/>
        </w:rPr>
        <w:t>rd</w:t>
      </w:r>
      <w:r>
        <w:rPr>
          <w:color w:val="1F497D"/>
        </w:rPr>
        <w:t xml:space="preserve"> edition, the </w:t>
      </w:r>
      <w:r w:rsidR="00377D7F">
        <w:rPr>
          <w:color w:val="1F497D"/>
        </w:rPr>
        <w:t xml:space="preserve">represented </w:t>
      </w:r>
      <w:r>
        <w:rPr>
          <w:color w:val="1F497D"/>
        </w:rPr>
        <w:t xml:space="preserve">value has increased by </w:t>
      </w:r>
      <w:r w:rsidR="00377D7F">
        <w:rPr>
          <w:color w:val="1F497D"/>
        </w:rPr>
        <w:t xml:space="preserve">over </w:t>
      </w:r>
      <w:r>
        <w:rPr>
          <w:color w:val="1F497D"/>
        </w:rPr>
        <w:t xml:space="preserve">70% to </w:t>
      </w:r>
      <w:r w:rsidR="00377D7F">
        <w:rPr>
          <w:color w:val="1F497D"/>
        </w:rPr>
        <w:t xml:space="preserve">€ 16.3bn, of </w:t>
      </w:r>
      <w:r w:rsidR="006E3305">
        <w:rPr>
          <w:color w:val="1F497D"/>
        </w:rPr>
        <w:t>which €</w:t>
      </w:r>
      <w:r>
        <w:rPr>
          <w:color w:val="1F497D"/>
        </w:rPr>
        <w:t xml:space="preserve"> 3.8bn </w:t>
      </w:r>
      <w:r w:rsidR="006E3305">
        <w:rPr>
          <w:color w:val="1F497D"/>
        </w:rPr>
        <w:t xml:space="preserve">by </w:t>
      </w:r>
      <w:r w:rsidR="00CC7316">
        <w:rPr>
          <w:color w:val="1F497D"/>
        </w:rPr>
        <w:t>SMEs</w:t>
      </w:r>
      <w:r>
        <w:rPr>
          <w:color w:val="1F497D"/>
        </w:rPr>
        <w:t>. This</w:t>
      </w:r>
      <w:r w:rsidR="004E5D6C">
        <w:rPr>
          <w:color w:val="1F497D"/>
        </w:rPr>
        <w:t xml:space="preserve"> value increase was driven by a</w:t>
      </w:r>
      <w:r>
        <w:rPr>
          <w:color w:val="1F497D"/>
        </w:rPr>
        <w:t xml:space="preserve"> </w:t>
      </w:r>
      <w:r w:rsidR="006E3305">
        <w:rPr>
          <w:color w:val="1F497D"/>
        </w:rPr>
        <w:t>growth</w:t>
      </w:r>
      <w:r w:rsidR="004E5D6C">
        <w:rPr>
          <w:color w:val="1F497D"/>
        </w:rPr>
        <w:t xml:space="preserve"> </w:t>
      </w:r>
      <w:r w:rsidR="006E3305">
        <w:rPr>
          <w:color w:val="1F497D"/>
        </w:rPr>
        <w:t xml:space="preserve">in market value </w:t>
      </w:r>
      <w:r>
        <w:rPr>
          <w:color w:val="1F497D"/>
        </w:rPr>
        <w:t xml:space="preserve">of existing companies </w:t>
      </w:r>
      <w:r w:rsidR="00377D7F">
        <w:rPr>
          <w:color w:val="1F497D"/>
        </w:rPr>
        <w:t>(+30%</w:t>
      </w:r>
      <w:r w:rsidR="004E5D6C">
        <w:rPr>
          <w:color w:val="1F497D"/>
        </w:rPr>
        <w:t xml:space="preserve"> since 2012</w:t>
      </w:r>
      <w:r w:rsidR="00377D7F">
        <w:rPr>
          <w:color w:val="1F497D"/>
        </w:rPr>
        <w:t xml:space="preserve">) </w:t>
      </w:r>
      <w:r w:rsidR="00875034">
        <w:rPr>
          <w:color w:val="1F497D"/>
        </w:rPr>
        <w:t xml:space="preserve">as well as </w:t>
      </w:r>
      <w:r>
        <w:rPr>
          <w:color w:val="1F497D"/>
        </w:rPr>
        <w:t xml:space="preserve">the addition of as </w:t>
      </w:r>
      <w:r w:rsidR="00875034">
        <w:rPr>
          <w:color w:val="1F497D"/>
        </w:rPr>
        <w:t xml:space="preserve">many </w:t>
      </w:r>
      <w:r>
        <w:rPr>
          <w:color w:val="1F497D"/>
        </w:rPr>
        <w:t xml:space="preserve">as 5 new biotech companies </w:t>
      </w:r>
      <w:r w:rsidR="004E5D6C">
        <w:rPr>
          <w:color w:val="1F497D"/>
        </w:rPr>
        <w:t xml:space="preserve">that </w:t>
      </w:r>
      <w:r w:rsidR="00875034">
        <w:rPr>
          <w:color w:val="1F497D"/>
        </w:rPr>
        <w:t>went public in the last 18 months</w:t>
      </w:r>
      <w:r w:rsidR="00096AFF">
        <w:rPr>
          <w:color w:val="1F497D"/>
        </w:rPr>
        <w:t xml:space="preserve">. Three of the companies listed </w:t>
      </w:r>
      <w:r w:rsidR="004E5D6C">
        <w:rPr>
          <w:color w:val="1F497D"/>
        </w:rPr>
        <w:t xml:space="preserve">on Euronext Brussels and two on </w:t>
      </w:r>
      <w:r w:rsidR="00A457E2">
        <w:rPr>
          <w:color w:val="1F497D"/>
        </w:rPr>
        <w:t xml:space="preserve">the </w:t>
      </w:r>
      <w:r w:rsidR="004E5D6C">
        <w:rPr>
          <w:color w:val="1F497D"/>
        </w:rPr>
        <w:t xml:space="preserve">NASDAQ. </w:t>
      </w:r>
    </w:p>
    <w:p w:rsidR="0056169F" w:rsidRDefault="0056169F" w:rsidP="00377D7F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</w:rPr>
      </w:pPr>
    </w:p>
    <w:p w:rsidR="00CC7316" w:rsidRDefault="0025522C" w:rsidP="00CC7316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</w:rPr>
      </w:pPr>
      <w:r w:rsidRPr="00CC7316">
        <w:rPr>
          <w:color w:val="1F497D"/>
        </w:rPr>
        <w:t>The</w:t>
      </w:r>
      <w:r w:rsidR="00F3450C" w:rsidRPr="00CC7316">
        <w:rPr>
          <w:color w:val="1F497D"/>
        </w:rPr>
        <w:t xml:space="preserve"> Event is </w:t>
      </w:r>
      <w:r w:rsidRPr="00CC7316">
        <w:rPr>
          <w:color w:val="1F497D"/>
        </w:rPr>
        <w:t xml:space="preserve">now </w:t>
      </w:r>
      <w:r w:rsidR="00F3450C" w:rsidRPr="00CC7316">
        <w:rPr>
          <w:color w:val="1F497D"/>
        </w:rPr>
        <w:t>firmly on the map of specialized Healthcare investors in Ne</w:t>
      </w:r>
      <w:r w:rsidR="00F3450C" w:rsidRPr="00F3450C">
        <w:rPr>
          <w:color w:val="1F497D"/>
        </w:rPr>
        <w:t>w York and beyond</w:t>
      </w:r>
      <w:r w:rsidR="00F3450C">
        <w:rPr>
          <w:color w:val="1F497D"/>
        </w:rPr>
        <w:t xml:space="preserve">. </w:t>
      </w:r>
      <w:r w:rsidR="0056169F">
        <w:rPr>
          <w:color w:val="1F497D"/>
        </w:rPr>
        <w:t>T</w:t>
      </w:r>
      <w:r w:rsidR="006C65FE">
        <w:rPr>
          <w:color w:val="1F497D"/>
        </w:rPr>
        <w:t>he</w:t>
      </w:r>
      <w:r w:rsidR="005E72C3">
        <w:rPr>
          <w:color w:val="1F497D"/>
        </w:rPr>
        <w:t xml:space="preserve"> number of </w:t>
      </w:r>
      <w:r w:rsidR="00875034">
        <w:rPr>
          <w:color w:val="1F497D"/>
        </w:rPr>
        <w:t>one on one meetings</w:t>
      </w:r>
      <w:r w:rsidR="005E72C3">
        <w:rPr>
          <w:color w:val="1F497D"/>
        </w:rPr>
        <w:t xml:space="preserve"> </w:t>
      </w:r>
      <w:r w:rsidR="006C65FE">
        <w:rPr>
          <w:color w:val="1F497D"/>
        </w:rPr>
        <w:t>in this third edition increase</w:t>
      </w:r>
      <w:r w:rsidR="00A457E2">
        <w:rPr>
          <w:color w:val="1F497D"/>
        </w:rPr>
        <w:t>d</w:t>
      </w:r>
      <w:r w:rsidR="005E72C3">
        <w:rPr>
          <w:color w:val="1F497D"/>
        </w:rPr>
        <w:t xml:space="preserve"> </w:t>
      </w:r>
      <w:r w:rsidR="00854396">
        <w:rPr>
          <w:color w:val="1F497D"/>
        </w:rPr>
        <w:t xml:space="preserve">by </w:t>
      </w:r>
      <w:r w:rsidR="005E72C3">
        <w:rPr>
          <w:color w:val="1F497D"/>
        </w:rPr>
        <w:t>60%</w:t>
      </w:r>
      <w:r w:rsidR="00854396">
        <w:rPr>
          <w:color w:val="1F497D"/>
        </w:rPr>
        <w:t xml:space="preserve"> versus the 2012 edition</w:t>
      </w:r>
      <w:r w:rsidR="005E72C3">
        <w:rPr>
          <w:color w:val="1F497D"/>
        </w:rPr>
        <w:t xml:space="preserve">, </w:t>
      </w:r>
      <w:r w:rsidR="00875034">
        <w:rPr>
          <w:color w:val="1F497D"/>
        </w:rPr>
        <w:t xml:space="preserve">and moreover, investors are on average </w:t>
      </w:r>
      <w:r w:rsidR="00DC4884">
        <w:rPr>
          <w:color w:val="1F497D"/>
        </w:rPr>
        <w:t>more meetings</w:t>
      </w:r>
      <w:r w:rsidR="00875034">
        <w:rPr>
          <w:color w:val="1F497D"/>
        </w:rPr>
        <w:t>.</w:t>
      </w:r>
      <w:r w:rsidR="006C65FE">
        <w:rPr>
          <w:color w:val="1F497D"/>
        </w:rPr>
        <w:t xml:space="preserve"> This </w:t>
      </w:r>
      <w:r w:rsidR="00875034">
        <w:rPr>
          <w:color w:val="1F497D"/>
        </w:rPr>
        <w:t>underlines the</w:t>
      </w:r>
      <w:r w:rsidR="00DC4884">
        <w:rPr>
          <w:color w:val="1F497D"/>
        </w:rPr>
        <w:t xml:space="preserve"> growing interest in as well as the</w:t>
      </w:r>
      <w:r w:rsidR="00875034">
        <w:rPr>
          <w:color w:val="1F497D"/>
        </w:rPr>
        <w:t xml:space="preserve"> </w:t>
      </w:r>
      <w:r w:rsidR="006C65FE">
        <w:rPr>
          <w:color w:val="1F497D"/>
        </w:rPr>
        <w:t xml:space="preserve">increasing quality of the investment opportunities offered to </w:t>
      </w:r>
      <w:r w:rsidR="009D4081">
        <w:rPr>
          <w:color w:val="1F497D"/>
        </w:rPr>
        <w:t xml:space="preserve">the US </w:t>
      </w:r>
      <w:r w:rsidR="0056169F">
        <w:rPr>
          <w:color w:val="1F497D"/>
        </w:rPr>
        <w:t xml:space="preserve">specialist </w:t>
      </w:r>
      <w:r w:rsidR="006C65FE">
        <w:rPr>
          <w:color w:val="1F497D"/>
        </w:rPr>
        <w:t>investor</w:t>
      </w:r>
      <w:r w:rsidR="00CC7316">
        <w:rPr>
          <w:color w:val="1F497D"/>
        </w:rPr>
        <w:t>.</w:t>
      </w:r>
    </w:p>
    <w:p w:rsidR="00CC7316" w:rsidRDefault="00CC7316" w:rsidP="00CC7316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</w:rPr>
      </w:pPr>
    </w:p>
    <w:p w:rsidR="00F218A5" w:rsidRDefault="00CC7316" w:rsidP="00CC7316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</w:rPr>
      </w:pPr>
      <w:r>
        <w:rPr>
          <w:color w:val="1F497D"/>
        </w:rPr>
        <w:t xml:space="preserve">While </w:t>
      </w:r>
      <w:r w:rsidRPr="00CC7316">
        <w:rPr>
          <w:color w:val="1F497D"/>
        </w:rPr>
        <w:t>2014 has been a good year from sector, corporate</w:t>
      </w:r>
      <w:r w:rsidR="00EE79B1">
        <w:rPr>
          <w:color w:val="1F497D"/>
        </w:rPr>
        <w:t xml:space="preserve"> </w:t>
      </w:r>
      <w:r w:rsidRPr="00CC7316">
        <w:rPr>
          <w:color w:val="1F497D"/>
        </w:rPr>
        <w:t>development and financing viewpoints, share price evaluations have been mixed.</w:t>
      </w:r>
      <w:r>
        <w:rPr>
          <w:color w:val="1F497D"/>
        </w:rPr>
        <w:t xml:space="preserve"> </w:t>
      </w:r>
      <w:r w:rsidR="00EE79B1">
        <w:rPr>
          <w:color w:val="1F497D"/>
        </w:rPr>
        <w:t>However, t</w:t>
      </w:r>
      <w:r>
        <w:rPr>
          <w:color w:val="1F497D"/>
        </w:rPr>
        <w:t>he</w:t>
      </w:r>
      <w:r w:rsidRPr="00CC7316">
        <w:rPr>
          <w:color w:val="1F497D"/>
        </w:rPr>
        <w:t xml:space="preserve"> </w:t>
      </w:r>
      <w:r w:rsidR="00DC4884" w:rsidRPr="00CC7316">
        <w:rPr>
          <w:color w:val="1F497D"/>
        </w:rPr>
        <w:t xml:space="preserve">substantial interest from top tier biotech &amp; healthcare </w:t>
      </w:r>
      <w:r>
        <w:rPr>
          <w:color w:val="1F497D"/>
        </w:rPr>
        <w:t xml:space="preserve">US </w:t>
      </w:r>
      <w:r w:rsidR="00DC4884" w:rsidRPr="00CC7316">
        <w:rPr>
          <w:color w:val="1F497D"/>
        </w:rPr>
        <w:t>investors underline</w:t>
      </w:r>
      <w:r>
        <w:rPr>
          <w:color w:val="1F497D"/>
        </w:rPr>
        <w:t>s that the sector has grown up and</w:t>
      </w:r>
      <w:r w:rsidR="00DC4884" w:rsidRPr="00CC7316">
        <w:rPr>
          <w:color w:val="1F497D"/>
        </w:rPr>
        <w:t xml:space="preserve"> is here to stay</w:t>
      </w:r>
      <w:r>
        <w:rPr>
          <w:color w:val="1F497D"/>
        </w:rPr>
        <w:t>.</w:t>
      </w:r>
    </w:p>
    <w:p w:rsidR="00CC7316" w:rsidRPr="006125D4" w:rsidRDefault="00CC7316" w:rsidP="00CC7316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</w:rPr>
      </w:pPr>
    </w:p>
    <w:p w:rsidR="00CC7316" w:rsidRDefault="00F218A5" w:rsidP="006125D4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  <w:lang w:eastAsia="nl-BE"/>
        </w:rPr>
      </w:pPr>
      <w:r w:rsidRPr="006125D4">
        <w:rPr>
          <w:color w:val="1F497D"/>
          <w:lang w:eastAsia="nl-BE"/>
        </w:rPr>
        <w:t>Companies</w:t>
      </w:r>
      <w:r w:rsidR="00F3450C">
        <w:rPr>
          <w:color w:val="1F497D"/>
          <w:lang w:eastAsia="nl-BE"/>
        </w:rPr>
        <w:t xml:space="preserve"> joining the </w:t>
      </w:r>
      <w:r w:rsidR="00CC7316">
        <w:rPr>
          <w:color w:val="1F497D"/>
          <w:lang w:eastAsia="nl-BE"/>
        </w:rPr>
        <w:t xml:space="preserve">2014 </w:t>
      </w:r>
      <w:r w:rsidR="00F3450C">
        <w:rPr>
          <w:color w:val="1F497D"/>
          <w:lang w:eastAsia="nl-BE"/>
        </w:rPr>
        <w:t xml:space="preserve">event are </w:t>
      </w:r>
      <w:proofErr w:type="spellStart"/>
      <w:r w:rsidR="00F3450C">
        <w:rPr>
          <w:color w:val="1F497D"/>
          <w:lang w:eastAsia="nl-BE"/>
        </w:rPr>
        <w:t>Ablynx</w:t>
      </w:r>
      <w:proofErr w:type="spellEnd"/>
      <w:r w:rsidR="00F3450C">
        <w:rPr>
          <w:color w:val="1F497D"/>
          <w:lang w:eastAsia="nl-BE"/>
        </w:rPr>
        <w:t xml:space="preserve">, </w:t>
      </w:r>
      <w:proofErr w:type="spellStart"/>
      <w:r w:rsidR="00854396">
        <w:rPr>
          <w:color w:val="1F497D"/>
          <w:lang w:eastAsia="nl-BE"/>
        </w:rPr>
        <w:t>arGEN</w:t>
      </w:r>
      <w:proofErr w:type="spellEnd"/>
      <w:r w:rsidR="00854396">
        <w:rPr>
          <w:color w:val="1F497D"/>
          <w:lang w:eastAsia="nl-BE"/>
        </w:rPr>
        <w:t>-X</w:t>
      </w:r>
      <w:r w:rsidRPr="006125D4">
        <w:rPr>
          <w:color w:val="1F497D"/>
          <w:lang w:eastAsia="nl-BE"/>
        </w:rPr>
        <w:t xml:space="preserve">, </w:t>
      </w:r>
      <w:proofErr w:type="spellStart"/>
      <w:r>
        <w:rPr>
          <w:color w:val="1F497D"/>
          <w:lang w:eastAsia="nl-BE"/>
        </w:rPr>
        <w:t>A</w:t>
      </w:r>
      <w:r w:rsidRPr="006125D4">
        <w:rPr>
          <w:color w:val="1F497D"/>
          <w:lang w:eastAsia="nl-BE"/>
        </w:rPr>
        <w:t>rseus</w:t>
      </w:r>
      <w:proofErr w:type="spellEnd"/>
      <w:r w:rsidRPr="006125D4">
        <w:rPr>
          <w:color w:val="1F497D"/>
          <w:lang w:eastAsia="nl-BE"/>
        </w:rPr>
        <w:t xml:space="preserve">, Cardio3 Biosciences, Galapagos, </w:t>
      </w:r>
      <w:proofErr w:type="spellStart"/>
      <w:r w:rsidR="00F3450C">
        <w:rPr>
          <w:color w:val="1F497D"/>
          <w:lang w:eastAsia="nl-BE"/>
        </w:rPr>
        <w:t>Genticel</w:t>
      </w:r>
      <w:proofErr w:type="spellEnd"/>
      <w:r w:rsidR="00F3450C">
        <w:rPr>
          <w:color w:val="1F497D"/>
          <w:lang w:eastAsia="nl-BE"/>
        </w:rPr>
        <w:t xml:space="preserve">, IBA, </w:t>
      </w:r>
      <w:proofErr w:type="spellStart"/>
      <w:r w:rsidRPr="006125D4">
        <w:rPr>
          <w:color w:val="1F497D"/>
          <w:lang w:eastAsia="nl-BE"/>
        </w:rPr>
        <w:t>MDxHealth</w:t>
      </w:r>
      <w:proofErr w:type="spellEnd"/>
      <w:r>
        <w:rPr>
          <w:color w:val="1F497D"/>
          <w:lang w:eastAsia="nl-BE"/>
        </w:rPr>
        <w:t xml:space="preserve">, </w:t>
      </w:r>
      <w:r w:rsidRPr="006125D4">
        <w:rPr>
          <w:color w:val="1F497D"/>
          <w:lang w:eastAsia="nl-BE"/>
        </w:rPr>
        <w:t xml:space="preserve">Pharming, </w:t>
      </w:r>
      <w:proofErr w:type="spellStart"/>
      <w:r w:rsidRPr="006125D4">
        <w:rPr>
          <w:color w:val="1F497D"/>
          <w:lang w:eastAsia="nl-BE"/>
        </w:rPr>
        <w:t>Promethera</w:t>
      </w:r>
      <w:proofErr w:type="spellEnd"/>
      <w:r w:rsidRPr="006125D4">
        <w:rPr>
          <w:color w:val="1F497D"/>
          <w:lang w:eastAsia="nl-BE"/>
        </w:rPr>
        <w:t xml:space="preserve">, </w:t>
      </w:r>
      <w:proofErr w:type="spellStart"/>
      <w:r w:rsidRPr="006125D4">
        <w:rPr>
          <w:color w:val="1F497D"/>
          <w:lang w:eastAsia="nl-BE"/>
        </w:rPr>
        <w:t>Prosensa</w:t>
      </w:r>
      <w:proofErr w:type="spellEnd"/>
      <w:r w:rsidRPr="006125D4">
        <w:rPr>
          <w:color w:val="1F497D"/>
          <w:lang w:eastAsia="nl-BE"/>
        </w:rPr>
        <w:t xml:space="preserve">, </w:t>
      </w:r>
      <w:proofErr w:type="spellStart"/>
      <w:r w:rsidRPr="006125D4">
        <w:rPr>
          <w:color w:val="1F497D"/>
          <w:lang w:eastAsia="nl-BE"/>
        </w:rPr>
        <w:t>ThromboGenics</w:t>
      </w:r>
      <w:proofErr w:type="spellEnd"/>
      <w:r w:rsidRPr="006125D4">
        <w:rPr>
          <w:color w:val="1F497D"/>
          <w:lang w:eastAsia="nl-BE"/>
        </w:rPr>
        <w:t xml:space="preserve">, </w:t>
      </w:r>
      <w:proofErr w:type="spellStart"/>
      <w:r w:rsidRPr="006125D4">
        <w:rPr>
          <w:color w:val="1F497D"/>
          <w:lang w:eastAsia="nl-BE"/>
        </w:rPr>
        <w:t>Tigenix</w:t>
      </w:r>
      <w:proofErr w:type="spellEnd"/>
      <w:r w:rsidR="00F3450C">
        <w:rPr>
          <w:color w:val="1F497D"/>
          <w:lang w:eastAsia="nl-BE"/>
        </w:rPr>
        <w:t xml:space="preserve">, UCB and </w:t>
      </w:r>
      <w:proofErr w:type="spellStart"/>
      <w:r w:rsidR="00F3450C">
        <w:rPr>
          <w:color w:val="1F497D"/>
          <w:lang w:eastAsia="nl-BE"/>
        </w:rPr>
        <w:t>Uniqure</w:t>
      </w:r>
      <w:proofErr w:type="spellEnd"/>
      <w:r w:rsidRPr="006125D4">
        <w:rPr>
          <w:color w:val="1F497D"/>
          <w:lang w:eastAsia="nl-BE"/>
        </w:rPr>
        <w:t>.</w:t>
      </w:r>
      <w:r w:rsidR="00CC7316">
        <w:rPr>
          <w:color w:val="1F497D"/>
          <w:lang w:eastAsia="nl-BE"/>
        </w:rPr>
        <w:t xml:space="preserve"> </w:t>
      </w:r>
    </w:p>
    <w:p w:rsidR="00B46C56" w:rsidRDefault="00B46C56" w:rsidP="006125D4">
      <w:pPr>
        <w:autoSpaceDE w:val="0"/>
        <w:autoSpaceDN w:val="0"/>
        <w:adjustRightInd w:val="0"/>
        <w:spacing w:after="0" w:line="240" w:lineRule="auto"/>
        <w:ind w:left="993" w:right="4"/>
        <w:rPr>
          <w:color w:val="1F497D"/>
          <w:lang w:eastAsia="nl-BE"/>
        </w:rPr>
      </w:pPr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0"/>
        <w:gridCol w:w="3400"/>
        <w:gridCol w:w="2980"/>
      </w:tblGrid>
      <w:tr w:rsidR="00F218A5" w:rsidRPr="003E4E24" w:rsidTr="00020337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18A5" w:rsidRPr="003E4E24" w:rsidRDefault="00F218A5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F218A5" w:rsidRPr="003A10F4" w:rsidTr="00020337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8A5" w:rsidRPr="003E4E24" w:rsidRDefault="00F218A5" w:rsidP="0064576A">
            <w:pPr>
              <w:pStyle w:val="Voettekst"/>
              <w:tabs>
                <w:tab w:val="bar" w:pos="-2709"/>
              </w:tabs>
              <w:rPr>
                <w:bCs/>
                <w:color w:val="00B0F0"/>
                <w:sz w:val="4"/>
                <w:szCs w:val="4"/>
              </w:rPr>
            </w:pPr>
          </w:p>
          <w:p w:rsidR="00F218A5" w:rsidRPr="00D768E5" w:rsidRDefault="00F218A5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</w:rPr>
            </w:pPr>
            <w:r w:rsidRPr="00D768E5">
              <w:rPr>
                <w:rFonts w:ascii="Rockwell" w:hAnsi="Rockwell"/>
                <w:b/>
                <w:bCs/>
                <w:color w:val="00B0F0"/>
                <w:sz w:val="18"/>
                <w:szCs w:val="18"/>
              </w:rPr>
              <w:t>KBC Group NV</w:t>
            </w:r>
          </w:p>
          <w:p w:rsidR="00F218A5" w:rsidRPr="00D768E5" w:rsidRDefault="00F218A5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</w:rPr>
            </w:pPr>
            <w:proofErr w:type="spellStart"/>
            <w:r w:rsidRPr="00D768E5">
              <w:rPr>
                <w:b/>
                <w:bCs/>
                <w:color w:val="002060"/>
                <w:sz w:val="14"/>
                <w:szCs w:val="14"/>
              </w:rPr>
              <w:t>Havenlaan</w:t>
            </w:r>
            <w:proofErr w:type="spellEnd"/>
            <w:r w:rsidRPr="00D768E5">
              <w:rPr>
                <w:b/>
                <w:bCs/>
                <w:color w:val="002060"/>
                <w:sz w:val="14"/>
                <w:szCs w:val="14"/>
              </w:rPr>
              <w:t xml:space="preserve"> 2 – 1080 Brussels</w:t>
            </w:r>
          </w:p>
          <w:p w:rsidR="00F218A5" w:rsidRPr="00D768E5" w:rsidRDefault="00F218A5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</w:rPr>
            </w:pPr>
            <w:r w:rsidRPr="00D768E5">
              <w:rPr>
                <w:b/>
                <w:bCs/>
                <w:color w:val="002060"/>
                <w:sz w:val="14"/>
                <w:szCs w:val="14"/>
              </w:rPr>
              <w:t>Viviane Huybrecht</w:t>
            </w:r>
          </w:p>
          <w:p w:rsidR="00F218A5" w:rsidRDefault="00F218A5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General Manager</w:t>
            </w:r>
          </w:p>
          <w:p w:rsidR="00F218A5" w:rsidRPr="003A10F4" w:rsidRDefault="00F218A5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Corporate</w:t>
            </w:r>
            <w:r>
              <w:rPr>
                <w:color w:val="002060"/>
                <w:sz w:val="14"/>
                <w:szCs w:val="14"/>
              </w:rPr>
              <w:t xml:space="preserve"> </w:t>
            </w:r>
            <w:r w:rsidRPr="003A10F4">
              <w:rPr>
                <w:b/>
                <w:bCs/>
                <w:color w:val="002060"/>
                <w:sz w:val="14"/>
                <w:szCs w:val="14"/>
              </w:rPr>
              <w:t>Communication /Spokesperson</w:t>
            </w:r>
          </w:p>
          <w:p w:rsidR="00F218A5" w:rsidRPr="003A10F4" w:rsidRDefault="00F218A5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 w:rsidRPr="003A10F4">
              <w:rPr>
                <w:b/>
                <w:bCs/>
                <w:color w:val="002060"/>
                <w:sz w:val="14"/>
                <w:szCs w:val="14"/>
              </w:rPr>
              <w:t>Tel. +32 2 429 85 45</w:t>
            </w:r>
          </w:p>
          <w:p w:rsidR="00F218A5" w:rsidRPr="003A10F4" w:rsidRDefault="00F218A5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8A5" w:rsidRPr="003A10F4" w:rsidRDefault="00F218A5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  <w:p w:rsidR="00F218A5" w:rsidRPr="003A10F4" w:rsidRDefault="00F218A5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</w:rPr>
            </w:pPr>
          </w:p>
          <w:p w:rsidR="00F218A5" w:rsidRPr="003A10F4" w:rsidRDefault="00F218A5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</w:rPr>
            </w:pPr>
            <w:r w:rsidRPr="003A10F4">
              <w:rPr>
                <w:b/>
                <w:bCs/>
                <w:color w:val="002060"/>
                <w:sz w:val="14"/>
                <w:szCs w:val="14"/>
              </w:rPr>
              <w:t>Press Office</w:t>
            </w:r>
          </w:p>
          <w:p w:rsidR="00F218A5" w:rsidRPr="003A10F4" w:rsidRDefault="00F218A5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</w:rPr>
            </w:pPr>
            <w:r w:rsidRPr="003A10F4">
              <w:rPr>
                <w:b/>
                <w:bCs/>
                <w:color w:val="002060"/>
                <w:sz w:val="14"/>
                <w:szCs w:val="14"/>
              </w:rPr>
              <w:t>Tel. +32 2 429 65 01</w:t>
            </w:r>
          </w:p>
          <w:p w:rsidR="00F218A5" w:rsidRDefault="00F218A5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Tel. +</w:t>
            </w:r>
            <w:r w:rsidRPr="00076661">
              <w:rPr>
                <w:b/>
                <w:bCs/>
                <w:color w:val="002060"/>
                <w:sz w:val="14"/>
                <w:szCs w:val="14"/>
              </w:rPr>
              <w:t>32 2 429 29 15</w:t>
            </w:r>
          </w:p>
          <w:p w:rsidR="00F218A5" w:rsidRPr="00076661" w:rsidRDefault="00F218A5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</w:rPr>
            </w:pPr>
            <w:r w:rsidRPr="003A10F4">
              <w:rPr>
                <w:b/>
                <w:bCs/>
                <w:color w:val="002060"/>
                <w:sz w:val="14"/>
                <w:szCs w:val="14"/>
              </w:rPr>
              <w:t>Fax +32 2 429 81 60</w:t>
            </w:r>
          </w:p>
          <w:p w:rsidR="00F218A5" w:rsidRPr="009F2FF0" w:rsidRDefault="00F218A5" w:rsidP="0064576A">
            <w:pPr>
              <w:pStyle w:val="Voettekst"/>
              <w:tabs>
                <w:tab w:val="bar" w:pos="-2709"/>
              </w:tabs>
              <w:rPr>
                <w:lang w:val="de-DE"/>
              </w:rPr>
            </w:pPr>
            <w:r w:rsidRPr="009F2FF0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E-mail: </w:t>
            </w:r>
            <w:hyperlink r:id="rId9" w:history="1">
              <w:r w:rsidRPr="009F2FF0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8A5" w:rsidRPr="009F2FF0" w:rsidRDefault="00F218A5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de-DE"/>
              </w:rPr>
            </w:pPr>
          </w:p>
          <w:p w:rsidR="00F218A5" w:rsidRPr="009F2FF0" w:rsidRDefault="00F218A5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de-DE"/>
              </w:rPr>
            </w:pPr>
          </w:p>
          <w:p w:rsidR="00F218A5" w:rsidRPr="003A10F4" w:rsidRDefault="00F218A5" w:rsidP="0064576A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  <w:sz w:val="14"/>
                <w:szCs w:val="14"/>
              </w:rPr>
            </w:pPr>
            <w:r w:rsidRPr="003A10F4">
              <w:rPr>
                <w:b/>
                <w:bCs/>
                <w:color w:val="002060"/>
                <w:sz w:val="14"/>
                <w:szCs w:val="14"/>
              </w:rPr>
              <w:t xml:space="preserve">KBC press releases are available at </w:t>
            </w:r>
            <w:hyperlink r:id="rId10" w:history="1">
              <w:r w:rsidRPr="003A10F4">
                <w:rPr>
                  <w:rStyle w:val="Hyperlink"/>
                  <w:b/>
                  <w:bCs/>
                  <w:color w:val="00B0F0"/>
                  <w:sz w:val="14"/>
                  <w:szCs w:val="14"/>
                </w:rPr>
                <w:t>www.kbc.com</w:t>
              </w:r>
            </w:hyperlink>
            <w:r w:rsidRPr="003A10F4">
              <w:rPr>
                <w:b/>
                <w:bCs/>
                <w:color w:val="002060"/>
                <w:sz w:val="14"/>
                <w:szCs w:val="14"/>
              </w:rPr>
              <w:t xml:space="preserve"> or can be obtained by sending an e-mail to </w:t>
            </w:r>
            <w:hyperlink r:id="rId11" w:history="1">
              <w:r w:rsidRPr="003A10F4">
                <w:rPr>
                  <w:rStyle w:val="Hyperlink"/>
                  <w:b/>
                  <w:bCs/>
                  <w:color w:val="00B0F0"/>
                  <w:sz w:val="14"/>
                  <w:szCs w:val="14"/>
                </w:rPr>
                <w:t>pressofficekbc@kbc.be</w:t>
              </w:r>
            </w:hyperlink>
          </w:p>
          <w:p w:rsidR="00F218A5" w:rsidRPr="003A10F4" w:rsidRDefault="00F218A5" w:rsidP="0064576A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</w:rPr>
            </w:pPr>
            <w:r w:rsidRPr="003A10F4">
              <w:rPr>
                <w:b/>
                <w:bCs/>
                <w:color w:val="002060"/>
                <w:sz w:val="14"/>
                <w:szCs w:val="14"/>
              </w:rPr>
              <w:t xml:space="preserve">Follow us on </w:t>
            </w:r>
            <w:hyperlink r:id="rId12" w:history="1">
              <w:r w:rsidRPr="003A10F4">
                <w:rPr>
                  <w:rStyle w:val="Hyperlink"/>
                  <w:b/>
                  <w:bCs/>
                  <w:color w:val="00B0F0"/>
                  <w:sz w:val="14"/>
                  <w:szCs w:val="14"/>
                </w:rPr>
                <w:t>www.twitter.com/kbc_group</w:t>
              </w:r>
            </w:hyperlink>
          </w:p>
        </w:tc>
      </w:tr>
    </w:tbl>
    <w:p w:rsidR="00F218A5" w:rsidRDefault="00857B5A" w:rsidP="00F3450C">
      <w:pPr>
        <w:pStyle w:val="Geenafstand"/>
        <w:ind w:right="664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0" r="1333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22C" w:rsidRDefault="002552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Xr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" filled="f" stroked="f">
                <v:textbox inset="0,0,0,0">
                  <w:txbxContent>
                    <w:p w:rsidR="0025522C" w:rsidRDefault="0025522C"/>
                  </w:txbxContent>
                </v:textbox>
              </v:shape>
            </w:pict>
          </mc:Fallback>
        </mc:AlternateContent>
      </w:r>
    </w:p>
    <w:sectPr w:rsidR="00F218A5" w:rsidSect="00020337">
      <w:footerReference w:type="default" r:id="rId13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CA" w:rsidRDefault="007A25CA" w:rsidP="000A2BE1">
      <w:pPr>
        <w:spacing w:after="0" w:line="240" w:lineRule="auto"/>
      </w:pPr>
      <w:r>
        <w:separator/>
      </w:r>
    </w:p>
  </w:endnote>
  <w:endnote w:type="continuationSeparator" w:id="0">
    <w:p w:rsidR="007A25CA" w:rsidRDefault="007A25CA" w:rsidP="000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2C" w:rsidRDefault="0025522C">
    <w:pPr>
      <w:pStyle w:val="Voettekst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A47A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A47AA">
      <w:rPr>
        <w:b/>
        <w:noProof/>
      </w:rPr>
      <w:t>1</w:t>
    </w:r>
    <w:r>
      <w:rPr>
        <w:b/>
      </w:rPr>
      <w:fldChar w:fldCharType="end"/>
    </w:r>
  </w:p>
  <w:p w:rsidR="0025522C" w:rsidRDefault="002552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CA" w:rsidRDefault="007A25CA" w:rsidP="000A2BE1">
      <w:pPr>
        <w:spacing w:after="0" w:line="240" w:lineRule="auto"/>
      </w:pPr>
      <w:r>
        <w:separator/>
      </w:r>
    </w:p>
  </w:footnote>
  <w:footnote w:type="continuationSeparator" w:id="0">
    <w:p w:rsidR="007A25CA" w:rsidRDefault="007A25CA" w:rsidP="000A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C4"/>
    <w:rsid w:val="00015607"/>
    <w:rsid w:val="00020337"/>
    <w:rsid w:val="00046B14"/>
    <w:rsid w:val="00067351"/>
    <w:rsid w:val="00076661"/>
    <w:rsid w:val="0007720A"/>
    <w:rsid w:val="00096AFF"/>
    <w:rsid w:val="000A2BE1"/>
    <w:rsid w:val="001044FC"/>
    <w:rsid w:val="00110465"/>
    <w:rsid w:val="00145E8E"/>
    <w:rsid w:val="001572F2"/>
    <w:rsid w:val="00170499"/>
    <w:rsid w:val="00171A4C"/>
    <w:rsid w:val="00192BAD"/>
    <w:rsid w:val="001E6BB7"/>
    <w:rsid w:val="00210E5C"/>
    <w:rsid w:val="002461AC"/>
    <w:rsid w:val="002506DC"/>
    <w:rsid w:val="00254932"/>
    <w:rsid w:val="0025522C"/>
    <w:rsid w:val="00262D1E"/>
    <w:rsid w:val="00286C63"/>
    <w:rsid w:val="002A47AA"/>
    <w:rsid w:val="002A7F14"/>
    <w:rsid w:val="00326CB0"/>
    <w:rsid w:val="003279D7"/>
    <w:rsid w:val="00377D7F"/>
    <w:rsid w:val="0038316D"/>
    <w:rsid w:val="0038517C"/>
    <w:rsid w:val="003915CA"/>
    <w:rsid w:val="003A10F4"/>
    <w:rsid w:val="003C3F4A"/>
    <w:rsid w:val="003D329C"/>
    <w:rsid w:val="003E4E24"/>
    <w:rsid w:val="00420384"/>
    <w:rsid w:val="004278B1"/>
    <w:rsid w:val="0047091F"/>
    <w:rsid w:val="004B6539"/>
    <w:rsid w:val="004E5D6C"/>
    <w:rsid w:val="004F7511"/>
    <w:rsid w:val="0052230C"/>
    <w:rsid w:val="005235E3"/>
    <w:rsid w:val="00537B72"/>
    <w:rsid w:val="0056169F"/>
    <w:rsid w:val="00574F3C"/>
    <w:rsid w:val="005B005E"/>
    <w:rsid w:val="005E72C3"/>
    <w:rsid w:val="005F4E91"/>
    <w:rsid w:val="006125D4"/>
    <w:rsid w:val="006321BD"/>
    <w:rsid w:val="0064576A"/>
    <w:rsid w:val="00673D3E"/>
    <w:rsid w:val="00677E3C"/>
    <w:rsid w:val="006917E1"/>
    <w:rsid w:val="006A6C5E"/>
    <w:rsid w:val="006A73EA"/>
    <w:rsid w:val="006C428B"/>
    <w:rsid w:val="006C65FE"/>
    <w:rsid w:val="006D4FD2"/>
    <w:rsid w:val="006E0F77"/>
    <w:rsid w:val="006E3305"/>
    <w:rsid w:val="00701646"/>
    <w:rsid w:val="007571D2"/>
    <w:rsid w:val="00775C2F"/>
    <w:rsid w:val="00777C89"/>
    <w:rsid w:val="007A25CA"/>
    <w:rsid w:val="007B1EE6"/>
    <w:rsid w:val="007B4546"/>
    <w:rsid w:val="007C461D"/>
    <w:rsid w:val="007D6C52"/>
    <w:rsid w:val="00804043"/>
    <w:rsid w:val="00854396"/>
    <w:rsid w:val="00856602"/>
    <w:rsid w:val="00857B5A"/>
    <w:rsid w:val="00867321"/>
    <w:rsid w:val="008673F1"/>
    <w:rsid w:val="00875034"/>
    <w:rsid w:val="008D0A5F"/>
    <w:rsid w:val="009164A5"/>
    <w:rsid w:val="00930FEE"/>
    <w:rsid w:val="009412C4"/>
    <w:rsid w:val="009C4391"/>
    <w:rsid w:val="009D4081"/>
    <w:rsid w:val="009F2FF0"/>
    <w:rsid w:val="00A20B2F"/>
    <w:rsid w:val="00A30713"/>
    <w:rsid w:val="00A457E2"/>
    <w:rsid w:val="00A6172F"/>
    <w:rsid w:val="00A67767"/>
    <w:rsid w:val="00A73521"/>
    <w:rsid w:val="00AB7DC5"/>
    <w:rsid w:val="00AC7A25"/>
    <w:rsid w:val="00AD535E"/>
    <w:rsid w:val="00B15143"/>
    <w:rsid w:val="00B40015"/>
    <w:rsid w:val="00B416AE"/>
    <w:rsid w:val="00B46C56"/>
    <w:rsid w:val="00B7736D"/>
    <w:rsid w:val="00B97593"/>
    <w:rsid w:val="00BA3BF7"/>
    <w:rsid w:val="00BE26D1"/>
    <w:rsid w:val="00BE46FD"/>
    <w:rsid w:val="00C25DC8"/>
    <w:rsid w:val="00C42323"/>
    <w:rsid w:val="00C42846"/>
    <w:rsid w:val="00C70B5F"/>
    <w:rsid w:val="00CB7AD7"/>
    <w:rsid w:val="00CC7316"/>
    <w:rsid w:val="00CE168D"/>
    <w:rsid w:val="00CF4D6A"/>
    <w:rsid w:val="00D3164A"/>
    <w:rsid w:val="00D3215C"/>
    <w:rsid w:val="00D61FE6"/>
    <w:rsid w:val="00D651BD"/>
    <w:rsid w:val="00D768E5"/>
    <w:rsid w:val="00DA6E2D"/>
    <w:rsid w:val="00DC4884"/>
    <w:rsid w:val="00E65043"/>
    <w:rsid w:val="00E82316"/>
    <w:rsid w:val="00EA7CCC"/>
    <w:rsid w:val="00EA7DF4"/>
    <w:rsid w:val="00EE79B1"/>
    <w:rsid w:val="00EF39B9"/>
    <w:rsid w:val="00F218A5"/>
    <w:rsid w:val="00F3450C"/>
    <w:rsid w:val="00F51124"/>
    <w:rsid w:val="00F5543C"/>
    <w:rsid w:val="00F56CC4"/>
    <w:rsid w:val="00F61BBA"/>
    <w:rsid w:val="00F83524"/>
    <w:rsid w:val="00F8611A"/>
    <w:rsid w:val="00FA6994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F56CC4"/>
    <w:rPr>
      <w:sz w:val="22"/>
      <w:szCs w:val="22"/>
    </w:rPr>
  </w:style>
  <w:style w:type="character" w:styleId="Hyperlink">
    <w:name w:val="Hyperlink"/>
    <w:uiPriority w:val="99"/>
    <w:rsid w:val="00A20B2F"/>
    <w:rPr>
      <w:rFonts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AC7A25"/>
    <w:rPr>
      <w:rFonts w:cs="Times New Roman"/>
    </w:rPr>
  </w:style>
  <w:style w:type="paragraph" w:styleId="Koptekst">
    <w:name w:val="header"/>
    <w:basedOn w:val="Standaard"/>
    <w:link w:val="KoptekstChar"/>
    <w:uiPriority w:val="99"/>
    <w:semiHidden/>
    <w:rsid w:val="000A2B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0A2BE1"/>
    <w:rPr>
      <w:rFonts w:cs="Times New Roman"/>
      <w:sz w:val="22"/>
      <w:szCs w:val="22"/>
      <w:lang w:val="en-US" w:eastAsia="en-US"/>
    </w:rPr>
  </w:style>
  <w:style w:type="character" w:styleId="GevolgdeHyperlink">
    <w:name w:val="FollowedHyperlink"/>
    <w:uiPriority w:val="99"/>
    <w:semiHidden/>
    <w:rsid w:val="003E4E24"/>
    <w:rPr>
      <w:rFonts w:cs="Times New Roman"/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87503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5034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875034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5034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750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F56CC4"/>
    <w:rPr>
      <w:sz w:val="22"/>
      <w:szCs w:val="22"/>
    </w:rPr>
  </w:style>
  <w:style w:type="character" w:styleId="Hyperlink">
    <w:name w:val="Hyperlink"/>
    <w:uiPriority w:val="99"/>
    <w:rsid w:val="00A20B2F"/>
    <w:rPr>
      <w:rFonts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AC7A25"/>
    <w:rPr>
      <w:rFonts w:cs="Times New Roman"/>
    </w:rPr>
  </w:style>
  <w:style w:type="paragraph" w:styleId="Koptekst">
    <w:name w:val="header"/>
    <w:basedOn w:val="Standaard"/>
    <w:link w:val="KoptekstChar"/>
    <w:uiPriority w:val="99"/>
    <w:semiHidden/>
    <w:rsid w:val="000A2B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0A2BE1"/>
    <w:rPr>
      <w:rFonts w:cs="Times New Roman"/>
      <w:sz w:val="22"/>
      <w:szCs w:val="22"/>
      <w:lang w:val="en-US" w:eastAsia="en-US"/>
    </w:rPr>
  </w:style>
  <w:style w:type="character" w:styleId="GevolgdeHyperlink">
    <w:name w:val="FollowedHyperlink"/>
    <w:uiPriority w:val="99"/>
    <w:semiHidden/>
    <w:rsid w:val="003E4E24"/>
    <w:rPr>
      <w:rFonts w:cs="Times New Roman"/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87503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5034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875034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5034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75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kbc_gro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essofficekbc@kbc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b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officekbc@kbc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2595</Characters>
  <Application>Microsoft Office Word</Application>
  <DocSecurity>0</DocSecurity>
  <Lines>70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3029</CharactersWithSpaces>
  <SharedDoc>false</SharedDoc>
  <HLinks>
    <vt:vector size="24" baseType="variant">
      <vt:variant>
        <vt:i4>5111906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3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JD30767</dc:creator>
  <cp:lastModifiedBy>Libbrecht Annemie</cp:lastModifiedBy>
  <cp:revision>5</cp:revision>
  <cp:lastPrinted>2014-11-12T08:53:00Z</cp:lastPrinted>
  <dcterms:created xsi:type="dcterms:W3CDTF">2014-11-10T16:40:00Z</dcterms:created>
  <dcterms:modified xsi:type="dcterms:W3CDTF">2014-11-12T08:54:00Z</dcterms:modified>
</cp:coreProperties>
</file>