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E2" w:rsidRPr="00C02945" w:rsidRDefault="00B064E1" w:rsidP="005F33EF">
      <w:pPr>
        <w:spacing w:line="360" w:lineRule="auto"/>
        <w:rPr>
          <w:sz w:val="20"/>
          <w:szCs w:val="20"/>
        </w:rPr>
      </w:pPr>
      <w:r w:rsidRPr="008F35B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4512310</wp:posOffset>
            </wp:positionH>
            <wp:positionV relativeFrom="margin">
              <wp:posOffset>234445</wp:posOffset>
            </wp:positionV>
            <wp:extent cx="1516800" cy="469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1-11 om 15.07.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69" w:rsidRPr="008F35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4340860</wp:posOffset>
            </wp:positionH>
            <wp:positionV relativeFrom="margin">
              <wp:posOffset>-298450</wp:posOffset>
            </wp:positionV>
            <wp:extent cx="1939925" cy="532765"/>
            <wp:effectExtent l="0" t="0" r="317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9-01-10 om 23.00.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E2" w:rsidRPr="008F35B2">
        <w:rPr>
          <w:sz w:val="20"/>
          <w:szCs w:val="20"/>
        </w:rPr>
        <w:t>PERSBERICHT</w:t>
      </w:r>
      <w:r w:rsidR="008F571E" w:rsidRPr="008F35B2">
        <w:rPr>
          <w:sz w:val="20"/>
          <w:szCs w:val="20"/>
        </w:rPr>
        <w:t xml:space="preserve"> </w:t>
      </w:r>
    </w:p>
    <w:p w:rsidR="00922022" w:rsidRDefault="00922022" w:rsidP="005F33EF">
      <w:pPr>
        <w:spacing w:line="360" w:lineRule="auto"/>
      </w:pPr>
    </w:p>
    <w:p w:rsidR="00E60D6A" w:rsidRDefault="00E60D6A" w:rsidP="005F33EF">
      <w:pPr>
        <w:spacing w:line="36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4D4946" w:rsidRPr="00E60D6A" w:rsidRDefault="00E60D6A" w:rsidP="005F33EF">
      <w:pPr>
        <w:spacing w:line="360" w:lineRule="auto"/>
        <w:jc w:val="center"/>
        <w:rPr>
          <w:b/>
          <w:i/>
          <w:sz w:val="32"/>
          <w:szCs w:val="32"/>
        </w:rPr>
      </w:pPr>
      <w:r w:rsidRPr="00E60D6A">
        <w:rPr>
          <w:b/>
          <w:i/>
          <w:sz w:val="32"/>
          <w:szCs w:val="32"/>
        </w:rPr>
        <w:t>D</w:t>
      </w:r>
      <w:r w:rsidR="004D4946" w:rsidRPr="00E60D6A">
        <w:rPr>
          <w:b/>
          <w:i/>
          <w:sz w:val="32"/>
          <w:szCs w:val="32"/>
        </w:rPr>
        <w:t>ieselwagens blij</w:t>
      </w:r>
      <w:r w:rsidRPr="00E60D6A">
        <w:rPr>
          <w:b/>
          <w:i/>
          <w:sz w:val="32"/>
          <w:szCs w:val="32"/>
        </w:rPr>
        <w:t>ven</w:t>
      </w:r>
      <w:r w:rsidR="004D4946" w:rsidRPr="00E60D6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gemiddeld </w:t>
      </w:r>
      <w:r w:rsidRPr="00E60D6A">
        <w:rPr>
          <w:b/>
          <w:i/>
          <w:sz w:val="32"/>
          <w:szCs w:val="32"/>
        </w:rPr>
        <w:t>10%</w:t>
      </w:r>
      <w:r w:rsidR="004D4946" w:rsidRPr="00E60D6A">
        <w:rPr>
          <w:b/>
          <w:i/>
          <w:sz w:val="32"/>
          <w:szCs w:val="32"/>
        </w:rPr>
        <w:t xml:space="preserve"> </w:t>
      </w:r>
      <w:r w:rsidRPr="00E60D6A">
        <w:rPr>
          <w:b/>
          <w:i/>
          <w:sz w:val="32"/>
          <w:szCs w:val="32"/>
        </w:rPr>
        <w:t>langer</w:t>
      </w:r>
      <w:r w:rsidR="004D4946" w:rsidRPr="00E60D6A">
        <w:rPr>
          <w:b/>
          <w:i/>
          <w:sz w:val="32"/>
          <w:szCs w:val="32"/>
        </w:rPr>
        <w:t xml:space="preserve"> op stock staan</w:t>
      </w:r>
      <w:r w:rsidRPr="00E60D6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br/>
      </w:r>
      <w:r w:rsidRPr="00E60D6A">
        <w:rPr>
          <w:b/>
          <w:i/>
          <w:sz w:val="32"/>
          <w:szCs w:val="32"/>
        </w:rPr>
        <w:t>dan</w:t>
      </w:r>
      <w:r w:rsidR="00744F7F" w:rsidRPr="00E60D6A">
        <w:rPr>
          <w:b/>
          <w:i/>
          <w:sz w:val="32"/>
          <w:szCs w:val="32"/>
        </w:rPr>
        <w:t xml:space="preserve"> benzinewagens</w:t>
      </w:r>
    </w:p>
    <w:p w:rsidR="00E60D6A" w:rsidRPr="00E60D6A" w:rsidRDefault="00E60D6A" w:rsidP="005F33EF">
      <w:pPr>
        <w:spacing w:line="360" w:lineRule="auto"/>
        <w:jc w:val="center"/>
        <w:rPr>
          <w:i/>
          <w:color w:val="000000" w:themeColor="text1"/>
        </w:rPr>
      </w:pPr>
      <w:r w:rsidRPr="00E60D6A">
        <w:rPr>
          <w:i/>
          <w:color w:val="000000" w:themeColor="text1"/>
        </w:rPr>
        <w:t>Handelaars spelen onvoldoende in op marktdata</w:t>
      </w:r>
      <w:r w:rsidR="00D21A3E">
        <w:rPr>
          <w:i/>
          <w:color w:val="000000" w:themeColor="text1"/>
        </w:rPr>
        <w:t xml:space="preserve"> om voertuigen efficiënt te beheren</w:t>
      </w:r>
    </w:p>
    <w:p w:rsidR="005F33EF" w:rsidRDefault="005F33EF" w:rsidP="005F33EF">
      <w:pPr>
        <w:spacing w:line="360" w:lineRule="auto"/>
        <w:rPr>
          <w:sz w:val="20"/>
          <w:szCs w:val="20"/>
        </w:rPr>
      </w:pPr>
    </w:p>
    <w:p w:rsidR="004D4946" w:rsidRDefault="006432E2" w:rsidP="005F33EF">
      <w:pPr>
        <w:spacing w:line="360" w:lineRule="auto"/>
        <w:rPr>
          <w:b/>
          <w:sz w:val="20"/>
          <w:szCs w:val="20"/>
        </w:rPr>
      </w:pPr>
      <w:r w:rsidRPr="006432E2">
        <w:rPr>
          <w:sz w:val="20"/>
          <w:szCs w:val="20"/>
        </w:rPr>
        <w:t xml:space="preserve">Brussel, </w:t>
      </w:r>
      <w:r w:rsidR="000F02BE">
        <w:rPr>
          <w:sz w:val="20"/>
          <w:szCs w:val="20"/>
        </w:rPr>
        <w:t>20</w:t>
      </w:r>
      <w:r w:rsidRPr="006432E2">
        <w:rPr>
          <w:sz w:val="20"/>
          <w:szCs w:val="20"/>
        </w:rPr>
        <w:t xml:space="preserve"> </w:t>
      </w:r>
      <w:r w:rsidR="00971AB3">
        <w:rPr>
          <w:sz w:val="20"/>
          <w:szCs w:val="20"/>
        </w:rPr>
        <w:t>maart</w:t>
      </w:r>
      <w:r w:rsidRPr="006432E2">
        <w:rPr>
          <w:sz w:val="20"/>
          <w:szCs w:val="20"/>
        </w:rPr>
        <w:t xml:space="preserve"> 2019 – </w:t>
      </w:r>
      <w:r w:rsidR="008A18C0" w:rsidRPr="008A18C0">
        <w:rPr>
          <w:b/>
          <w:sz w:val="20"/>
          <w:szCs w:val="20"/>
        </w:rPr>
        <w:t xml:space="preserve">INDICATA, </w:t>
      </w:r>
      <w:r w:rsidR="00E16293" w:rsidRPr="008A18C0">
        <w:rPr>
          <w:b/>
          <w:sz w:val="20"/>
          <w:szCs w:val="20"/>
        </w:rPr>
        <w:t>onderdeel van de Autorola Groep</w:t>
      </w:r>
      <w:r w:rsidR="00216CFE" w:rsidRPr="008A18C0">
        <w:rPr>
          <w:b/>
          <w:sz w:val="20"/>
          <w:szCs w:val="20"/>
        </w:rPr>
        <w:t xml:space="preserve"> en </w:t>
      </w:r>
      <w:r w:rsidR="002D070D" w:rsidRPr="008D1E8F">
        <w:rPr>
          <w:b/>
          <w:color w:val="000000" w:themeColor="text1"/>
          <w:sz w:val="20"/>
          <w:szCs w:val="20"/>
        </w:rPr>
        <w:t xml:space="preserve">wereldspeler </w:t>
      </w:r>
      <w:r w:rsidR="00E16293" w:rsidRPr="008A18C0">
        <w:rPr>
          <w:b/>
          <w:sz w:val="20"/>
          <w:szCs w:val="20"/>
        </w:rPr>
        <w:t xml:space="preserve">in online remarketing en ICT-oplossingen voor de automobielsector, </w:t>
      </w:r>
      <w:r w:rsidR="008A18C0" w:rsidRPr="008A18C0">
        <w:rPr>
          <w:b/>
          <w:sz w:val="20"/>
          <w:szCs w:val="20"/>
        </w:rPr>
        <w:t xml:space="preserve">publiceert vandaag </w:t>
      </w:r>
      <w:r w:rsidR="0059535A">
        <w:rPr>
          <w:b/>
          <w:sz w:val="20"/>
          <w:szCs w:val="20"/>
        </w:rPr>
        <w:t xml:space="preserve">een </w:t>
      </w:r>
      <w:r w:rsidR="004D4946">
        <w:rPr>
          <w:b/>
          <w:sz w:val="20"/>
          <w:szCs w:val="20"/>
        </w:rPr>
        <w:t>nieuw</w:t>
      </w:r>
      <w:r w:rsidR="00744F7F">
        <w:rPr>
          <w:b/>
          <w:sz w:val="20"/>
          <w:szCs w:val="20"/>
        </w:rPr>
        <w:t xml:space="preserve"> onderzoek</w:t>
      </w:r>
      <w:r w:rsidR="00907E23">
        <w:rPr>
          <w:b/>
          <w:sz w:val="20"/>
          <w:szCs w:val="20"/>
        </w:rPr>
        <w:t xml:space="preserve"> </w:t>
      </w:r>
      <w:r w:rsidR="00744F7F">
        <w:rPr>
          <w:b/>
          <w:sz w:val="20"/>
          <w:szCs w:val="20"/>
        </w:rPr>
        <w:t xml:space="preserve">en </w:t>
      </w:r>
      <w:r w:rsidR="00971AB3">
        <w:rPr>
          <w:b/>
          <w:sz w:val="20"/>
          <w:szCs w:val="20"/>
        </w:rPr>
        <w:t>bevestigt</w:t>
      </w:r>
      <w:r w:rsidR="00744F7F">
        <w:rPr>
          <w:b/>
          <w:sz w:val="20"/>
          <w:szCs w:val="20"/>
        </w:rPr>
        <w:t xml:space="preserve"> opvallende verschillen </w:t>
      </w:r>
      <w:r w:rsidR="0059535A">
        <w:rPr>
          <w:b/>
          <w:sz w:val="20"/>
          <w:szCs w:val="20"/>
        </w:rPr>
        <w:t xml:space="preserve">in de verkoop </w:t>
      </w:r>
      <w:r w:rsidR="00744F7F">
        <w:rPr>
          <w:b/>
          <w:sz w:val="20"/>
          <w:szCs w:val="20"/>
        </w:rPr>
        <w:t xml:space="preserve">tussen </w:t>
      </w:r>
      <w:r w:rsidR="00D745BC" w:rsidRPr="00E60D6A">
        <w:rPr>
          <w:b/>
          <w:color w:val="000000" w:themeColor="text1"/>
          <w:sz w:val="20"/>
          <w:szCs w:val="20"/>
        </w:rPr>
        <w:t xml:space="preserve">tweedehands </w:t>
      </w:r>
      <w:r w:rsidR="00744F7F">
        <w:rPr>
          <w:b/>
          <w:sz w:val="20"/>
          <w:szCs w:val="20"/>
        </w:rPr>
        <w:t>benzine- en dieselwagens.</w:t>
      </w:r>
      <w:r w:rsidR="004D4946">
        <w:rPr>
          <w:b/>
          <w:sz w:val="20"/>
          <w:szCs w:val="20"/>
        </w:rPr>
        <w:t xml:space="preserve"> </w:t>
      </w:r>
      <w:r w:rsidR="00907E23">
        <w:rPr>
          <w:b/>
          <w:sz w:val="20"/>
          <w:szCs w:val="20"/>
        </w:rPr>
        <w:t>Onderzoek</w:t>
      </w:r>
      <w:r w:rsidR="00E60D6A">
        <w:rPr>
          <w:rStyle w:val="Voetnootmarkering"/>
          <w:b/>
          <w:sz w:val="20"/>
          <w:szCs w:val="20"/>
        </w:rPr>
        <w:footnoteReference w:id="1"/>
      </w:r>
      <w:r w:rsidR="00907E23">
        <w:rPr>
          <w:b/>
          <w:sz w:val="20"/>
          <w:szCs w:val="20"/>
        </w:rPr>
        <w:t xml:space="preserve"> op basis van recente en accurate cijfers</w:t>
      </w:r>
      <w:r w:rsidR="00907E23" w:rsidRPr="008A18C0">
        <w:rPr>
          <w:b/>
          <w:sz w:val="20"/>
          <w:szCs w:val="20"/>
        </w:rPr>
        <w:t xml:space="preserve"> over de </w:t>
      </w:r>
      <w:r w:rsidR="00907E23">
        <w:rPr>
          <w:b/>
          <w:sz w:val="20"/>
          <w:szCs w:val="20"/>
        </w:rPr>
        <w:t>verkoop</w:t>
      </w:r>
      <w:r w:rsidR="00907E23" w:rsidRPr="008A18C0">
        <w:rPr>
          <w:b/>
          <w:sz w:val="20"/>
          <w:szCs w:val="20"/>
        </w:rPr>
        <w:t xml:space="preserve"> van tweedehandsvoertuigen in België</w:t>
      </w:r>
      <w:r w:rsidR="00907E23">
        <w:rPr>
          <w:b/>
          <w:sz w:val="20"/>
          <w:szCs w:val="20"/>
        </w:rPr>
        <w:t>.</w:t>
      </w:r>
    </w:p>
    <w:p w:rsidR="005F33EF" w:rsidRDefault="005F33EF" w:rsidP="005F33EF">
      <w:pPr>
        <w:spacing w:line="360" w:lineRule="auto"/>
        <w:rPr>
          <w:b/>
          <w:sz w:val="20"/>
          <w:szCs w:val="20"/>
        </w:rPr>
      </w:pPr>
    </w:p>
    <w:p w:rsidR="00E60D6A" w:rsidRDefault="00744F7F" w:rsidP="005F33E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48,19% van de dieselwagens op stock, staat er langer dan 3 maanden</w:t>
      </w:r>
      <w:r w:rsidR="002A4B53">
        <w:rPr>
          <w:b/>
          <w:sz w:val="20"/>
          <w:szCs w:val="20"/>
        </w:rPr>
        <w:t xml:space="preserve"> (91+ stockdays)</w:t>
      </w:r>
      <w:r>
        <w:rPr>
          <w:b/>
          <w:sz w:val="20"/>
          <w:szCs w:val="20"/>
        </w:rPr>
        <w:br/>
      </w:r>
      <w:r w:rsidR="008A18C0">
        <w:rPr>
          <w:sz w:val="20"/>
          <w:szCs w:val="20"/>
        </w:rPr>
        <w:t>Op basis van</w:t>
      </w:r>
      <w:r>
        <w:rPr>
          <w:sz w:val="20"/>
          <w:szCs w:val="20"/>
        </w:rPr>
        <w:t xml:space="preserve"> recente</w:t>
      </w:r>
      <w:r w:rsidR="008A18C0">
        <w:rPr>
          <w:sz w:val="20"/>
          <w:szCs w:val="20"/>
        </w:rPr>
        <w:t xml:space="preserve"> </w:t>
      </w:r>
      <w:r w:rsidR="002374F1">
        <w:rPr>
          <w:sz w:val="20"/>
          <w:szCs w:val="20"/>
        </w:rPr>
        <w:t>INDICATA data</w:t>
      </w:r>
      <w:r w:rsidR="00E60D6A">
        <w:rPr>
          <w:sz w:val="20"/>
          <w:szCs w:val="20"/>
        </w:rPr>
        <w:t xml:space="preserve"> (zie voetnoot)</w:t>
      </w:r>
      <w:r w:rsidR="00317988">
        <w:rPr>
          <w:sz w:val="20"/>
          <w:szCs w:val="20"/>
        </w:rPr>
        <w:t xml:space="preserve"> </w:t>
      </w:r>
      <w:r w:rsidR="002374F1">
        <w:rPr>
          <w:sz w:val="20"/>
          <w:szCs w:val="20"/>
        </w:rPr>
        <w:t xml:space="preserve">blijkt dat </w:t>
      </w:r>
      <w:r w:rsidR="0097371A">
        <w:rPr>
          <w:sz w:val="20"/>
          <w:szCs w:val="20"/>
        </w:rPr>
        <w:t xml:space="preserve">bijna de helft van alle dieselwagens langer dan 3 maanden </w:t>
      </w:r>
      <w:r w:rsidR="0059535A">
        <w:rPr>
          <w:sz w:val="20"/>
          <w:szCs w:val="20"/>
        </w:rPr>
        <w:t>op</w:t>
      </w:r>
      <w:r w:rsidR="0097371A">
        <w:rPr>
          <w:sz w:val="20"/>
          <w:szCs w:val="20"/>
        </w:rPr>
        <w:t xml:space="preserve"> stock </w:t>
      </w:r>
      <w:r w:rsidR="0059535A">
        <w:rPr>
          <w:sz w:val="20"/>
          <w:szCs w:val="20"/>
        </w:rPr>
        <w:t>blijft</w:t>
      </w:r>
      <w:r w:rsidR="0097371A">
        <w:rPr>
          <w:sz w:val="20"/>
          <w:szCs w:val="20"/>
        </w:rPr>
        <w:t xml:space="preserve"> </w:t>
      </w:r>
      <w:r w:rsidR="00317988">
        <w:rPr>
          <w:sz w:val="20"/>
          <w:szCs w:val="20"/>
        </w:rPr>
        <w:t>staan</w:t>
      </w:r>
      <w:r w:rsidR="00A02668">
        <w:rPr>
          <w:sz w:val="20"/>
          <w:szCs w:val="20"/>
        </w:rPr>
        <w:t xml:space="preserve"> bij professionele handelaars</w:t>
      </w:r>
      <w:r w:rsidR="0097371A">
        <w:rPr>
          <w:sz w:val="20"/>
          <w:szCs w:val="20"/>
        </w:rPr>
        <w:t xml:space="preserve">. Als we een kijkje nemen bij de benzinewagens, zien we dat 38,92% langer dan 3 maand op stock blijft, een merkbaar </w:t>
      </w:r>
      <w:r w:rsidR="00971AB3">
        <w:rPr>
          <w:sz w:val="20"/>
          <w:szCs w:val="20"/>
        </w:rPr>
        <w:t xml:space="preserve">en duidelijk </w:t>
      </w:r>
      <w:r w:rsidR="0097371A">
        <w:rPr>
          <w:sz w:val="20"/>
          <w:szCs w:val="20"/>
        </w:rPr>
        <w:t xml:space="preserve">verschil </w:t>
      </w:r>
      <w:r w:rsidR="0059535A">
        <w:rPr>
          <w:sz w:val="20"/>
          <w:szCs w:val="20"/>
        </w:rPr>
        <w:t xml:space="preserve">van bijna 10% </w:t>
      </w:r>
      <w:r w:rsidR="0097371A">
        <w:rPr>
          <w:sz w:val="20"/>
          <w:szCs w:val="20"/>
        </w:rPr>
        <w:t>volgens Erwin Coesens, Country Manager van Autorola Belux.</w:t>
      </w:r>
      <w:r w:rsidR="00ED308B">
        <w:rPr>
          <w:sz w:val="20"/>
          <w:szCs w:val="20"/>
        </w:rPr>
        <w:t xml:space="preserve"> </w:t>
      </w:r>
    </w:p>
    <w:p w:rsidR="005F33EF" w:rsidRDefault="005F33EF" w:rsidP="005F33EF">
      <w:pPr>
        <w:spacing w:line="360" w:lineRule="auto"/>
        <w:rPr>
          <w:sz w:val="20"/>
          <w:szCs w:val="20"/>
        </w:rPr>
      </w:pPr>
    </w:p>
    <w:p w:rsidR="00DD72FA" w:rsidRDefault="00317988" w:rsidP="005F33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Wanneer </w:t>
      </w:r>
      <w:r w:rsidR="00DD72FA">
        <w:rPr>
          <w:sz w:val="20"/>
          <w:szCs w:val="20"/>
        </w:rPr>
        <w:t>de lijst</w:t>
      </w:r>
      <w:r>
        <w:rPr>
          <w:sz w:val="20"/>
          <w:szCs w:val="20"/>
        </w:rPr>
        <w:t xml:space="preserve"> echter </w:t>
      </w:r>
      <w:r w:rsidR="00DD72FA">
        <w:rPr>
          <w:sz w:val="20"/>
          <w:szCs w:val="20"/>
        </w:rPr>
        <w:t>wordt</w:t>
      </w:r>
      <w:r>
        <w:rPr>
          <w:sz w:val="20"/>
          <w:szCs w:val="20"/>
        </w:rPr>
        <w:t xml:space="preserve"> uit</w:t>
      </w:r>
      <w:r w:rsidR="00DD72FA">
        <w:rPr>
          <w:sz w:val="20"/>
          <w:szCs w:val="20"/>
        </w:rPr>
        <w:t>ge</w:t>
      </w:r>
      <w:r>
        <w:rPr>
          <w:sz w:val="20"/>
          <w:szCs w:val="20"/>
        </w:rPr>
        <w:t xml:space="preserve">breid en </w:t>
      </w:r>
      <w:r w:rsidR="00971AB3">
        <w:rPr>
          <w:sz w:val="20"/>
          <w:szCs w:val="20"/>
        </w:rPr>
        <w:t xml:space="preserve">INDICATA </w:t>
      </w:r>
      <w:r>
        <w:rPr>
          <w:sz w:val="20"/>
          <w:szCs w:val="20"/>
        </w:rPr>
        <w:t xml:space="preserve">ook de oudere voertuigen onder de loep </w:t>
      </w:r>
      <w:r w:rsidR="00971AB3">
        <w:rPr>
          <w:sz w:val="20"/>
          <w:szCs w:val="20"/>
        </w:rPr>
        <w:t>neemt</w:t>
      </w:r>
      <w:r w:rsidR="00DD72F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zien we dat </w:t>
      </w:r>
      <w:r w:rsidR="00DD72FA">
        <w:rPr>
          <w:sz w:val="20"/>
          <w:szCs w:val="20"/>
        </w:rPr>
        <w:t>een pak</w:t>
      </w:r>
      <w:r>
        <w:rPr>
          <w:sz w:val="20"/>
          <w:szCs w:val="20"/>
        </w:rPr>
        <w:t xml:space="preserve"> wagens meer dan </w:t>
      </w:r>
      <w:r w:rsidR="00DD72FA">
        <w:rPr>
          <w:sz w:val="20"/>
          <w:szCs w:val="20"/>
        </w:rPr>
        <w:t>3 jaar</w:t>
      </w:r>
      <w:r>
        <w:rPr>
          <w:sz w:val="20"/>
          <w:szCs w:val="20"/>
        </w:rPr>
        <w:t xml:space="preserve"> </w:t>
      </w:r>
      <w:r w:rsidR="00A02668">
        <w:rPr>
          <w:sz w:val="20"/>
          <w:szCs w:val="20"/>
        </w:rPr>
        <w:t xml:space="preserve">(!!!) </w:t>
      </w:r>
      <w:r>
        <w:rPr>
          <w:sz w:val="20"/>
          <w:szCs w:val="20"/>
        </w:rPr>
        <w:t xml:space="preserve">op stock </w:t>
      </w:r>
      <w:r w:rsidR="00DD72FA">
        <w:rPr>
          <w:sz w:val="20"/>
          <w:szCs w:val="20"/>
        </w:rPr>
        <w:t>blijft</w:t>
      </w:r>
      <w:r>
        <w:rPr>
          <w:sz w:val="20"/>
          <w:szCs w:val="20"/>
        </w:rPr>
        <w:t xml:space="preserve"> staan</w:t>
      </w:r>
      <w:r w:rsidR="00DD72F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2668">
        <w:rPr>
          <w:sz w:val="20"/>
          <w:szCs w:val="20"/>
        </w:rPr>
        <w:t>“</w:t>
      </w:r>
      <w:r w:rsidR="00DD72FA">
        <w:rPr>
          <w:sz w:val="20"/>
          <w:szCs w:val="20"/>
        </w:rPr>
        <w:t>En d</w:t>
      </w:r>
      <w:r>
        <w:rPr>
          <w:sz w:val="20"/>
          <w:szCs w:val="20"/>
        </w:rPr>
        <w:t>an hebben we het nog altijd over perfect verkoopbare voertuigen,</w:t>
      </w:r>
      <w:r w:rsidR="00A02668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A02668">
        <w:rPr>
          <w:sz w:val="20"/>
          <w:szCs w:val="20"/>
        </w:rPr>
        <w:t>zegt Erwin Coesens, “</w:t>
      </w:r>
      <w:r>
        <w:rPr>
          <w:sz w:val="20"/>
          <w:szCs w:val="20"/>
        </w:rPr>
        <w:t xml:space="preserve">zoals </w:t>
      </w:r>
      <w:r w:rsidR="005C753C">
        <w:rPr>
          <w:sz w:val="20"/>
          <w:szCs w:val="20"/>
        </w:rPr>
        <w:t>één</w:t>
      </w:r>
      <w:r>
        <w:rPr>
          <w:sz w:val="20"/>
          <w:szCs w:val="20"/>
        </w:rPr>
        <w:t xml:space="preserve"> Ford C-Max met 67.000km op de teller. Die wagen spant in </w:t>
      </w:r>
      <w:r w:rsidR="00DD72FA">
        <w:rPr>
          <w:sz w:val="20"/>
          <w:szCs w:val="20"/>
        </w:rPr>
        <w:t>het INDICATA</w:t>
      </w:r>
      <w:r>
        <w:rPr>
          <w:sz w:val="20"/>
          <w:szCs w:val="20"/>
        </w:rPr>
        <w:t xml:space="preserve"> databestand de kroon met maar liefst 1</w:t>
      </w:r>
      <w:r w:rsidR="0059535A">
        <w:rPr>
          <w:sz w:val="20"/>
          <w:szCs w:val="20"/>
        </w:rPr>
        <w:t>.</w:t>
      </w:r>
      <w:r>
        <w:rPr>
          <w:sz w:val="20"/>
          <w:szCs w:val="20"/>
        </w:rPr>
        <w:t xml:space="preserve">453 dagen </w:t>
      </w:r>
      <w:r w:rsidR="0059535A">
        <w:rPr>
          <w:sz w:val="20"/>
          <w:szCs w:val="20"/>
        </w:rPr>
        <w:t>op</w:t>
      </w:r>
      <w:r>
        <w:rPr>
          <w:sz w:val="20"/>
          <w:szCs w:val="20"/>
        </w:rPr>
        <w:t xml:space="preserve"> stock!</w:t>
      </w:r>
      <w:r w:rsidR="00A02668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:rsidR="005F33EF" w:rsidRDefault="005F33EF" w:rsidP="005F33EF">
      <w:pPr>
        <w:spacing w:line="360" w:lineRule="auto"/>
        <w:rPr>
          <w:sz w:val="20"/>
          <w:szCs w:val="20"/>
        </w:rPr>
      </w:pPr>
    </w:p>
    <w:p w:rsidR="00317988" w:rsidRPr="0059535A" w:rsidRDefault="00DD72FA" w:rsidP="005F33EF">
      <w:pPr>
        <w:spacing w:line="360" w:lineRule="auto"/>
        <w:rPr>
          <w:b/>
          <w:i/>
          <w:sz w:val="20"/>
          <w:szCs w:val="20"/>
        </w:rPr>
      </w:pPr>
      <w:r w:rsidRPr="00E60D6A">
        <w:rPr>
          <w:sz w:val="20"/>
          <w:szCs w:val="20"/>
        </w:rPr>
        <w:t xml:space="preserve">Erwin Coesens: </w:t>
      </w:r>
      <w:r w:rsidRPr="00E60D6A">
        <w:rPr>
          <w:i/>
          <w:sz w:val="20"/>
          <w:szCs w:val="20"/>
        </w:rPr>
        <w:t>“Het is onze missie bij INDICATA om op basis van big data de</w:t>
      </w:r>
      <w:r w:rsidR="0059535A" w:rsidRPr="00E60D6A">
        <w:rPr>
          <w:i/>
          <w:sz w:val="20"/>
          <w:szCs w:val="20"/>
        </w:rPr>
        <w:t xml:space="preserve"> </w:t>
      </w:r>
      <w:r w:rsidRPr="00E60D6A">
        <w:rPr>
          <w:i/>
          <w:sz w:val="20"/>
          <w:szCs w:val="20"/>
        </w:rPr>
        <w:t xml:space="preserve">markt </w:t>
      </w:r>
      <w:r w:rsidR="0059535A" w:rsidRPr="00E60D6A">
        <w:rPr>
          <w:i/>
          <w:sz w:val="20"/>
          <w:szCs w:val="20"/>
        </w:rPr>
        <w:t xml:space="preserve">van tweedehandsvoertuigen </w:t>
      </w:r>
      <w:r w:rsidRPr="00E60D6A">
        <w:rPr>
          <w:i/>
          <w:sz w:val="20"/>
          <w:szCs w:val="20"/>
        </w:rPr>
        <w:t>correct te analyseren</w:t>
      </w:r>
      <w:r w:rsidR="0059535A" w:rsidRPr="00E60D6A">
        <w:rPr>
          <w:i/>
          <w:sz w:val="20"/>
          <w:szCs w:val="20"/>
        </w:rPr>
        <w:t>. Vervolgens wenden we die accurate data op</w:t>
      </w:r>
      <w:r w:rsidRPr="00E60D6A">
        <w:rPr>
          <w:i/>
          <w:sz w:val="20"/>
          <w:szCs w:val="20"/>
        </w:rPr>
        <w:t xml:space="preserve"> een efficiënte manier aan om professionele handelaars te helpen in hun </w:t>
      </w:r>
      <w:r w:rsidR="0059535A" w:rsidRPr="00E60D6A">
        <w:rPr>
          <w:i/>
          <w:sz w:val="20"/>
          <w:szCs w:val="20"/>
        </w:rPr>
        <w:t>verkoops</w:t>
      </w:r>
      <w:r w:rsidRPr="00E60D6A">
        <w:rPr>
          <w:i/>
          <w:sz w:val="20"/>
          <w:szCs w:val="20"/>
        </w:rPr>
        <w:t xml:space="preserve">activiteiten. </w:t>
      </w:r>
      <w:r w:rsidR="0059535A" w:rsidRPr="00E60D6A">
        <w:rPr>
          <w:i/>
          <w:sz w:val="20"/>
          <w:szCs w:val="20"/>
        </w:rPr>
        <w:t xml:space="preserve">Meten is weten, vooral wanneer </w:t>
      </w:r>
      <w:r w:rsidR="00971AB3" w:rsidRPr="00E60D6A">
        <w:rPr>
          <w:i/>
          <w:sz w:val="20"/>
          <w:szCs w:val="20"/>
        </w:rPr>
        <w:t xml:space="preserve">big </w:t>
      </w:r>
      <w:r w:rsidR="0059535A" w:rsidRPr="00E60D6A">
        <w:rPr>
          <w:i/>
          <w:sz w:val="20"/>
          <w:szCs w:val="20"/>
        </w:rPr>
        <w:t>data slim kan worden ingezet om bepaalde activiteiten te organiseren en bij te sturen</w:t>
      </w:r>
      <w:r w:rsidRPr="00E60D6A">
        <w:rPr>
          <w:i/>
          <w:sz w:val="20"/>
          <w:szCs w:val="20"/>
        </w:rPr>
        <w:t>.</w:t>
      </w:r>
      <w:r w:rsidR="0059535A" w:rsidRPr="00E60D6A">
        <w:rPr>
          <w:i/>
          <w:sz w:val="20"/>
          <w:szCs w:val="20"/>
        </w:rPr>
        <w:t xml:space="preserve"> We merken bijvoorbeeld dat handelaars die toegang hebben tot onze data en daar ook actief mee aan de slag gaan, het verbluffend beter doen dan hun concullega’s.</w:t>
      </w:r>
      <w:r w:rsidRPr="00E60D6A">
        <w:rPr>
          <w:i/>
          <w:sz w:val="20"/>
          <w:szCs w:val="20"/>
        </w:rPr>
        <w:t>”</w:t>
      </w:r>
    </w:p>
    <w:p w:rsidR="00E60D6A" w:rsidRDefault="00E60D6A" w:rsidP="005F33EF">
      <w:pPr>
        <w:spacing w:line="360" w:lineRule="auto"/>
        <w:rPr>
          <w:b/>
          <w:sz w:val="20"/>
          <w:szCs w:val="20"/>
        </w:rPr>
      </w:pPr>
    </w:p>
    <w:p w:rsidR="005F33EF" w:rsidRDefault="005F33EF" w:rsidP="005F33E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Tweedehandsverkoop uitgesplitst per merk</w:t>
      </w:r>
    </w:p>
    <w:p w:rsidR="00D21A3E" w:rsidRDefault="00D21A3E" w:rsidP="005F33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Wanneer we kijken op merkniveau, zien we dat Porsche het langst op de parking blijft staan</w:t>
      </w:r>
      <w:r w:rsidR="002A4B53">
        <w:rPr>
          <w:sz w:val="20"/>
          <w:szCs w:val="20"/>
        </w:rPr>
        <w:t xml:space="preserve"> onder de dieselwagens (60,5%) en Seat onder de benzinewagens (54,5%).</w:t>
      </w:r>
      <w:r>
        <w:rPr>
          <w:sz w:val="20"/>
          <w:szCs w:val="20"/>
        </w:rPr>
        <w:t xml:space="preserve"> </w:t>
      </w:r>
      <w:r w:rsidR="002A4B53">
        <w:rPr>
          <w:sz w:val="20"/>
          <w:szCs w:val="20"/>
        </w:rPr>
        <w:t xml:space="preserve">Bij de dieselwagens zien we Seat en Ford op een gedeelde tweede en derde plek staan (57,8%), gevolgd door Opel (56,1%) op vier en Volkswagen (54%) op vijf. </w:t>
      </w:r>
      <w:r>
        <w:rPr>
          <w:sz w:val="20"/>
          <w:szCs w:val="20"/>
        </w:rPr>
        <w:t xml:space="preserve">Bij de benzinewagens wordt </w:t>
      </w:r>
      <w:r w:rsidR="002A4B53">
        <w:rPr>
          <w:sz w:val="20"/>
          <w:szCs w:val="20"/>
        </w:rPr>
        <w:t>Seat</w:t>
      </w:r>
      <w:r>
        <w:rPr>
          <w:sz w:val="20"/>
          <w:szCs w:val="20"/>
        </w:rPr>
        <w:t xml:space="preserve"> gevolgd door </w:t>
      </w:r>
      <w:r w:rsidR="002A4B53">
        <w:rPr>
          <w:sz w:val="20"/>
          <w:szCs w:val="20"/>
        </w:rPr>
        <w:t xml:space="preserve">Porsche (53,8%) </w:t>
      </w:r>
      <w:r>
        <w:rPr>
          <w:sz w:val="20"/>
          <w:szCs w:val="20"/>
        </w:rPr>
        <w:t>, Skoda</w:t>
      </w:r>
      <w:r w:rsidR="002A4B53">
        <w:rPr>
          <w:sz w:val="20"/>
          <w:szCs w:val="20"/>
        </w:rPr>
        <w:t xml:space="preserve"> (49,2%)</w:t>
      </w:r>
      <w:r>
        <w:rPr>
          <w:sz w:val="20"/>
          <w:szCs w:val="20"/>
        </w:rPr>
        <w:t xml:space="preserve">, Opel </w:t>
      </w:r>
      <w:r w:rsidR="002A4B53">
        <w:rPr>
          <w:sz w:val="20"/>
          <w:szCs w:val="20"/>
        </w:rPr>
        <w:t xml:space="preserve">(42,7%) </w:t>
      </w:r>
      <w:r>
        <w:rPr>
          <w:sz w:val="20"/>
          <w:szCs w:val="20"/>
        </w:rPr>
        <w:t>en Volkswagen</w:t>
      </w:r>
      <w:r w:rsidR="002A4B53">
        <w:rPr>
          <w:sz w:val="20"/>
          <w:szCs w:val="20"/>
        </w:rPr>
        <w:t xml:space="preserve"> (40,5%)</w:t>
      </w:r>
      <w:r>
        <w:rPr>
          <w:sz w:val="20"/>
          <w:szCs w:val="20"/>
        </w:rPr>
        <w:t xml:space="preserve">. </w:t>
      </w:r>
    </w:p>
    <w:p w:rsidR="002A4B53" w:rsidRDefault="002A4B53" w:rsidP="005F33EF">
      <w:pPr>
        <w:spacing w:line="360" w:lineRule="auto"/>
        <w:rPr>
          <w:sz w:val="20"/>
          <w:szCs w:val="20"/>
        </w:rPr>
      </w:pPr>
    </w:p>
    <w:tbl>
      <w:tblPr>
        <w:tblStyle w:val="Rastertabel5donker-Accent5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D21A3E" w:rsidTr="00D2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922022" w:rsidRDefault="00D21A3E" w:rsidP="00D21A3E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Ranking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1-28 februari (benzine)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91+ dagen stockdays</w:t>
            </w:r>
          </w:p>
        </w:tc>
        <w:tc>
          <w:tcPr>
            <w:tcW w:w="3031" w:type="dxa"/>
          </w:tcPr>
          <w:p w:rsidR="00D21A3E" w:rsidRPr="00922022" w:rsidRDefault="00D21A3E" w:rsidP="00D21A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2022">
              <w:rPr>
                <w:rFonts w:ascii="Calibri" w:hAnsi="Calibri" w:cs="Calibri"/>
                <w:sz w:val="16"/>
                <w:szCs w:val="16"/>
              </w:rPr>
              <w:t xml:space="preserve">Tweedehandswagens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(diesel)</w:t>
            </w:r>
          </w:p>
        </w:tc>
        <w:tc>
          <w:tcPr>
            <w:tcW w:w="3031" w:type="dxa"/>
          </w:tcPr>
          <w:p w:rsidR="00D21A3E" w:rsidRPr="00922022" w:rsidRDefault="00D21A3E" w:rsidP="00D21A3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922022">
              <w:rPr>
                <w:rFonts w:ascii="Calibri" w:hAnsi="Calibri" w:cs="Calibri"/>
                <w:sz w:val="16"/>
                <w:szCs w:val="16"/>
              </w:rPr>
              <w:t>Tweedehandswagens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(benzine)</w:t>
            </w:r>
            <w:r w:rsidRPr="009220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D21A3E" w:rsidRPr="006B68EE" w:rsidTr="00D2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6B68EE" w:rsidRDefault="00D21A3E" w:rsidP="005F33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8EE">
              <w:rPr>
                <w:sz w:val="16"/>
                <w:szCs w:val="16"/>
              </w:rPr>
              <w:t>1</w:t>
            </w:r>
          </w:p>
        </w:tc>
        <w:tc>
          <w:tcPr>
            <w:tcW w:w="3031" w:type="dxa"/>
          </w:tcPr>
          <w:p w:rsidR="00D21A3E" w:rsidRPr="006B68EE" w:rsidRDefault="00D21A3E" w:rsidP="005F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Porsche </w:t>
            </w:r>
            <w:r>
              <w:rPr>
                <w:sz w:val="16"/>
                <w:szCs w:val="16"/>
              </w:rPr>
              <w:br/>
            </w:r>
            <w:r w:rsidR="002A4B53">
              <w:rPr>
                <w:sz w:val="16"/>
                <w:szCs w:val="16"/>
              </w:rPr>
              <w:t>60,5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3031" w:type="dxa"/>
          </w:tcPr>
          <w:p w:rsidR="00D21A3E" w:rsidRPr="006B68EE" w:rsidRDefault="002A4B53" w:rsidP="002A4B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</w:t>
            </w:r>
            <w:r>
              <w:rPr>
                <w:sz w:val="16"/>
                <w:szCs w:val="16"/>
              </w:rPr>
              <w:br/>
              <w:t>54,5%</w:t>
            </w:r>
          </w:p>
        </w:tc>
      </w:tr>
      <w:tr w:rsidR="00D21A3E" w:rsidRPr="006B68EE" w:rsidTr="00D21A3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6B68EE" w:rsidRDefault="00D21A3E" w:rsidP="005F33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8EE">
              <w:rPr>
                <w:sz w:val="16"/>
                <w:szCs w:val="16"/>
              </w:rPr>
              <w:t>2</w:t>
            </w:r>
          </w:p>
        </w:tc>
        <w:tc>
          <w:tcPr>
            <w:tcW w:w="3031" w:type="dxa"/>
          </w:tcPr>
          <w:p w:rsidR="00D21A3E" w:rsidRPr="006B68EE" w:rsidRDefault="00D21A3E" w:rsidP="005F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Ford/Seat</w:t>
            </w:r>
            <w:r>
              <w:rPr>
                <w:sz w:val="16"/>
                <w:szCs w:val="16"/>
              </w:rPr>
              <w:br/>
              <w:t>57,8%</w:t>
            </w:r>
          </w:p>
        </w:tc>
        <w:tc>
          <w:tcPr>
            <w:tcW w:w="3031" w:type="dxa"/>
          </w:tcPr>
          <w:p w:rsidR="00D21A3E" w:rsidRPr="006B68EE" w:rsidRDefault="002A4B53" w:rsidP="005F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Porsche</w:t>
            </w:r>
            <w:r>
              <w:rPr>
                <w:sz w:val="16"/>
                <w:szCs w:val="16"/>
              </w:rPr>
              <w:br/>
              <w:t>53,8%</w:t>
            </w:r>
          </w:p>
        </w:tc>
      </w:tr>
      <w:tr w:rsidR="00D21A3E" w:rsidRPr="006B68EE" w:rsidTr="00D2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6B68EE" w:rsidRDefault="00D21A3E" w:rsidP="005F33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8EE">
              <w:rPr>
                <w:sz w:val="16"/>
                <w:szCs w:val="16"/>
              </w:rPr>
              <w:t>3</w:t>
            </w:r>
          </w:p>
        </w:tc>
        <w:tc>
          <w:tcPr>
            <w:tcW w:w="3031" w:type="dxa"/>
          </w:tcPr>
          <w:p w:rsidR="00D21A3E" w:rsidRPr="006B68EE" w:rsidRDefault="00D21A3E" w:rsidP="005F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Ford/Seat</w:t>
            </w:r>
            <w:r>
              <w:rPr>
                <w:sz w:val="16"/>
                <w:szCs w:val="16"/>
              </w:rPr>
              <w:br/>
              <w:t>57,8%</w:t>
            </w:r>
          </w:p>
        </w:tc>
        <w:tc>
          <w:tcPr>
            <w:tcW w:w="3031" w:type="dxa"/>
          </w:tcPr>
          <w:p w:rsidR="00D21A3E" w:rsidRPr="006B68EE" w:rsidRDefault="002A4B53" w:rsidP="005F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Skoda</w:t>
            </w:r>
            <w:r w:rsidR="00D21A3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49,2</w:t>
            </w:r>
            <w:r w:rsidR="00D21A3E">
              <w:rPr>
                <w:sz w:val="16"/>
                <w:szCs w:val="16"/>
              </w:rPr>
              <w:t>%</w:t>
            </w:r>
          </w:p>
        </w:tc>
      </w:tr>
      <w:tr w:rsidR="00D21A3E" w:rsidRPr="006B68EE" w:rsidTr="00D21A3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6B68EE" w:rsidRDefault="00D21A3E" w:rsidP="005F33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8EE">
              <w:rPr>
                <w:sz w:val="16"/>
                <w:szCs w:val="16"/>
              </w:rPr>
              <w:t>4</w:t>
            </w:r>
          </w:p>
        </w:tc>
        <w:tc>
          <w:tcPr>
            <w:tcW w:w="3031" w:type="dxa"/>
          </w:tcPr>
          <w:p w:rsidR="00D21A3E" w:rsidRPr="006B68EE" w:rsidRDefault="00D21A3E" w:rsidP="005F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Opel</w:t>
            </w:r>
            <w:r>
              <w:rPr>
                <w:sz w:val="16"/>
                <w:szCs w:val="16"/>
              </w:rPr>
              <w:br/>
              <w:t>56,1%</w:t>
            </w:r>
          </w:p>
        </w:tc>
        <w:tc>
          <w:tcPr>
            <w:tcW w:w="3031" w:type="dxa"/>
          </w:tcPr>
          <w:p w:rsidR="00D21A3E" w:rsidRPr="006B68EE" w:rsidRDefault="002A4B53" w:rsidP="005F33E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Opel</w:t>
            </w:r>
            <w:r w:rsidR="00D21A3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42,7</w:t>
            </w:r>
            <w:r w:rsidR="00D21A3E">
              <w:rPr>
                <w:sz w:val="16"/>
                <w:szCs w:val="16"/>
              </w:rPr>
              <w:t>%</w:t>
            </w:r>
          </w:p>
        </w:tc>
      </w:tr>
      <w:tr w:rsidR="00D21A3E" w:rsidRPr="006B68EE" w:rsidTr="00D21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D21A3E" w:rsidRPr="006B68EE" w:rsidRDefault="00D21A3E" w:rsidP="005F33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B68EE">
              <w:rPr>
                <w:sz w:val="16"/>
                <w:szCs w:val="16"/>
              </w:rPr>
              <w:t>5</w:t>
            </w:r>
          </w:p>
        </w:tc>
        <w:tc>
          <w:tcPr>
            <w:tcW w:w="3031" w:type="dxa"/>
          </w:tcPr>
          <w:p w:rsidR="00D21A3E" w:rsidRPr="006B68EE" w:rsidRDefault="00D21A3E" w:rsidP="005F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Volkswagen</w:t>
            </w:r>
            <w:r>
              <w:rPr>
                <w:sz w:val="16"/>
                <w:szCs w:val="16"/>
              </w:rPr>
              <w:br/>
              <w:t>54%</w:t>
            </w:r>
          </w:p>
        </w:tc>
        <w:tc>
          <w:tcPr>
            <w:tcW w:w="3031" w:type="dxa"/>
          </w:tcPr>
          <w:p w:rsidR="00D21A3E" w:rsidRPr="006B68EE" w:rsidRDefault="002A4B53" w:rsidP="005F33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Volkswagen</w:t>
            </w:r>
            <w:r w:rsidR="00D21A3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40,</w:t>
            </w:r>
            <w:r w:rsidR="00D21A3E">
              <w:rPr>
                <w:sz w:val="16"/>
                <w:szCs w:val="16"/>
              </w:rPr>
              <w:t>50%</w:t>
            </w:r>
          </w:p>
        </w:tc>
      </w:tr>
    </w:tbl>
    <w:p w:rsidR="00CD2969" w:rsidRDefault="00CD2969" w:rsidP="005F33EF">
      <w:pPr>
        <w:spacing w:line="360" w:lineRule="auto"/>
        <w:rPr>
          <w:sz w:val="20"/>
          <w:szCs w:val="20"/>
        </w:rPr>
      </w:pPr>
    </w:p>
    <w:p w:rsidR="00ED308B" w:rsidRDefault="00ED308B" w:rsidP="005F33EF">
      <w:pPr>
        <w:spacing w:line="360" w:lineRule="auto"/>
        <w:rPr>
          <w:b/>
          <w:sz w:val="20"/>
          <w:szCs w:val="20"/>
        </w:rPr>
      </w:pPr>
    </w:p>
    <w:p w:rsidR="007D7B71" w:rsidRDefault="006432E2" w:rsidP="005F33EF">
      <w:pPr>
        <w:spacing w:line="360" w:lineRule="auto"/>
        <w:rPr>
          <w:sz w:val="20"/>
          <w:szCs w:val="20"/>
        </w:rPr>
      </w:pPr>
      <w:r w:rsidRPr="006432E2">
        <w:rPr>
          <w:b/>
          <w:sz w:val="20"/>
          <w:szCs w:val="20"/>
        </w:rPr>
        <w:t xml:space="preserve">Over </w:t>
      </w:r>
      <w:r w:rsidR="008C3D92">
        <w:rPr>
          <w:b/>
          <w:sz w:val="20"/>
          <w:szCs w:val="20"/>
        </w:rPr>
        <w:t>INDICATA</w:t>
      </w:r>
      <w:r w:rsidR="005C46C0">
        <w:rPr>
          <w:b/>
          <w:sz w:val="20"/>
          <w:szCs w:val="20"/>
        </w:rPr>
        <w:br/>
      </w:r>
      <w:r w:rsidR="007D7B71" w:rsidRPr="007D7B71">
        <w:rPr>
          <w:sz w:val="20"/>
          <w:szCs w:val="20"/>
        </w:rPr>
        <w:t xml:space="preserve">INDICATA maakt deel uit van de Autorola Groep, </w:t>
      </w:r>
      <w:r w:rsidR="002D070D" w:rsidRPr="008D1E8F">
        <w:rPr>
          <w:color w:val="000000" w:themeColor="text1"/>
          <w:sz w:val="20"/>
          <w:szCs w:val="20"/>
        </w:rPr>
        <w:t xml:space="preserve">wereldspeler </w:t>
      </w:r>
      <w:r w:rsidR="007D7B71" w:rsidRPr="007D7B71">
        <w:rPr>
          <w:sz w:val="20"/>
          <w:szCs w:val="20"/>
        </w:rPr>
        <w:t>in online remarketing en ICT-oplossingen voor de automobielsector.</w:t>
      </w:r>
      <w:r w:rsidR="007D7B71">
        <w:rPr>
          <w:sz w:val="20"/>
          <w:szCs w:val="20"/>
        </w:rPr>
        <w:t xml:space="preserve"> </w:t>
      </w:r>
      <w:r w:rsidRPr="006432E2">
        <w:rPr>
          <w:sz w:val="20"/>
          <w:szCs w:val="20"/>
        </w:rPr>
        <w:t xml:space="preserve">INDICATA </w:t>
      </w:r>
      <w:r w:rsidR="00216CFE">
        <w:rPr>
          <w:sz w:val="20"/>
          <w:szCs w:val="20"/>
        </w:rPr>
        <w:t xml:space="preserve">is een realtime </w:t>
      </w:r>
      <w:r w:rsidR="008A18C0">
        <w:rPr>
          <w:sz w:val="20"/>
          <w:szCs w:val="20"/>
        </w:rPr>
        <w:t>oplossing</w:t>
      </w:r>
      <w:r w:rsidR="00216CFE">
        <w:rPr>
          <w:sz w:val="20"/>
          <w:szCs w:val="20"/>
        </w:rPr>
        <w:t xml:space="preserve"> die live data van </w:t>
      </w:r>
      <w:r w:rsidR="008A18C0">
        <w:rPr>
          <w:sz w:val="20"/>
          <w:szCs w:val="20"/>
        </w:rPr>
        <w:t>online en professioneel te koop aangeboden tweedehandsvoertuigen</w:t>
      </w:r>
      <w:r w:rsidR="00216CFE">
        <w:rPr>
          <w:sz w:val="20"/>
          <w:szCs w:val="20"/>
        </w:rPr>
        <w:t xml:space="preserve"> verzamelt, verwerkt en analyseert met als doel inzicht te geven in de </w:t>
      </w:r>
      <w:r w:rsidR="008A18C0">
        <w:rPr>
          <w:sz w:val="20"/>
          <w:szCs w:val="20"/>
        </w:rPr>
        <w:t>marktwerking. Het biedt hierdoor</w:t>
      </w:r>
      <w:r w:rsidRPr="006432E2">
        <w:rPr>
          <w:sz w:val="20"/>
          <w:szCs w:val="20"/>
        </w:rPr>
        <w:t xml:space="preserve"> een unieke oplossing om de </w:t>
      </w:r>
      <w:r w:rsidR="00F01E3A">
        <w:rPr>
          <w:sz w:val="20"/>
          <w:szCs w:val="20"/>
        </w:rPr>
        <w:t>rentabiliteit</w:t>
      </w:r>
      <w:r w:rsidRPr="006432E2">
        <w:rPr>
          <w:sz w:val="20"/>
          <w:szCs w:val="20"/>
        </w:rPr>
        <w:t xml:space="preserve"> bij </w:t>
      </w:r>
      <w:r w:rsidR="007D7B71">
        <w:rPr>
          <w:sz w:val="20"/>
          <w:szCs w:val="20"/>
        </w:rPr>
        <w:t xml:space="preserve">verschillende </w:t>
      </w:r>
      <w:r w:rsidR="00F01E3A">
        <w:rPr>
          <w:sz w:val="20"/>
          <w:szCs w:val="20"/>
        </w:rPr>
        <w:t>transacties</w:t>
      </w:r>
      <w:r w:rsidR="007D7B71">
        <w:rPr>
          <w:sz w:val="20"/>
          <w:szCs w:val="20"/>
        </w:rPr>
        <w:t xml:space="preserve"> van tweedehandsvoertuigen</w:t>
      </w:r>
      <w:r w:rsidRPr="006432E2">
        <w:rPr>
          <w:sz w:val="20"/>
          <w:szCs w:val="20"/>
        </w:rPr>
        <w:t xml:space="preserve"> te verbeteren en restwaarden in de auto-industrie en </w:t>
      </w:r>
      <w:r w:rsidR="00F01E3A">
        <w:rPr>
          <w:sz w:val="20"/>
          <w:szCs w:val="20"/>
        </w:rPr>
        <w:t>afgeleide</w:t>
      </w:r>
      <w:r w:rsidRPr="006432E2">
        <w:rPr>
          <w:sz w:val="20"/>
          <w:szCs w:val="20"/>
        </w:rPr>
        <w:t xml:space="preserve"> sectoren te beschermen. Het op het web gebaseerde INDICATA-dashboard biedt realtime KPI's, rapporten en analyses waarmee fabrikanten, importeurs, dealers, fleetowners, banken, verzekeringsmaatschappijen, enz. hun marktpositie </w:t>
      </w:r>
      <w:r w:rsidR="00E16293">
        <w:rPr>
          <w:sz w:val="20"/>
          <w:szCs w:val="20"/>
        </w:rPr>
        <w:t xml:space="preserve">kunnen </w:t>
      </w:r>
      <w:r w:rsidRPr="006432E2">
        <w:rPr>
          <w:sz w:val="20"/>
          <w:szCs w:val="20"/>
        </w:rPr>
        <w:t>optimaliseren</w:t>
      </w:r>
      <w:r w:rsidR="00E16293">
        <w:rPr>
          <w:sz w:val="20"/>
          <w:szCs w:val="20"/>
        </w:rPr>
        <w:t>.</w:t>
      </w:r>
    </w:p>
    <w:p w:rsidR="002A4B53" w:rsidRDefault="002A4B53" w:rsidP="005F33EF">
      <w:pPr>
        <w:spacing w:line="360" w:lineRule="auto"/>
        <w:rPr>
          <w:sz w:val="20"/>
          <w:szCs w:val="20"/>
        </w:rPr>
      </w:pPr>
    </w:p>
    <w:p w:rsidR="007D7B71" w:rsidRDefault="006432E2" w:rsidP="005F33EF">
      <w:pPr>
        <w:spacing w:line="360" w:lineRule="auto"/>
        <w:rPr>
          <w:sz w:val="20"/>
          <w:szCs w:val="20"/>
        </w:rPr>
      </w:pPr>
      <w:r w:rsidRPr="007D7B71">
        <w:rPr>
          <w:b/>
          <w:sz w:val="20"/>
          <w:szCs w:val="20"/>
        </w:rPr>
        <w:t>Over AUTOROLA GROUP</w:t>
      </w:r>
      <w:r w:rsidR="005C46C0">
        <w:rPr>
          <w:b/>
          <w:sz w:val="20"/>
          <w:szCs w:val="20"/>
        </w:rPr>
        <w:br/>
      </w:r>
      <w:r w:rsidRPr="006432E2">
        <w:rPr>
          <w:sz w:val="20"/>
          <w:szCs w:val="20"/>
        </w:rPr>
        <w:t xml:space="preserve">AUTOROLA GROUP is een </w:t>
      </w:r>
      <w:r w:rsidR="002D070D" w:rsidRPr="008D1E8F">
        <w:rPr>
          <w:color w:val="000000" w:themeColor="text1"/>
          <w:sz w:val="20"/>
          <w:szCs w:val="20"/>
        </w:rPr>
        <w:t xml:space="preserve">wereldspeler </w:t>
      </w:r>
      <w:r w:rsidRPr="006432E2">
        <w:rPr>
          <w:sz w:val="20"/>
          <w:szCs w:val="20"/>
        </w:rPr>
        <w:t xml:space="preserve">in online remarketing en automotive IT-oplossingen voor professioneel wagenparkbeheer met hoofdkantoor in Denemarken. Het bedrijf </w:t>
      </w:r>
      <w:r w:rsidR="007D7B71">
        <w:rPr>
          <w:sz w:val="20"/>
          <w:szCs w:val="20"/>
        </w:rPr>
        <w:t>stelt</w:t>
      </w:r>
      <w:r w:rsidRPr="006432E2">
        <w:rPr>
          <w:sz w:val="20"/>
          <w:szCs w:val="20"/>
        </w:rPr>
        <w:t xml:space="preserve"> momenteel ongeveer </w:t>
      </w:r>
      <w:r w:rsidR="00216CFE">
        <w:rPr>
          <w:sz w:val="20"/>
          <w:szCs w:val="20"/>
        </w:rPr>
        <w:t>350</w:t>
      </w:r>
      <w:r w:rsidRPr="006432E2">
        <w:rPr>
          <w:sz w:val="20"/>
          <w:szCs w:val="20"/>
        </w:rPr>
        <w:t xml:space="preserve"> werknemers </w:t>
      </w:r>
      <w:r w:rsidR="007D7B71">
        <w:rPr>
          <w:sz w:val="20"/>
          <w:szCs w:val="20"/>
        </w:rPr>
        <w:t>tewerk in verschillende vestigingen</w:t>
      </w:r>
      <w:r w:rsidRPr="006432E2">
        <w:rPr>
          <w:sz w:val="20"/>
          <w:szCs w:val="20"/>
        </w:rPr>
        <w:t xml:space="preserve"> in 17 landen in Europa, Noord-Amerika, Latijns-Amerika en Azië-Pacific</w:t>
      </w:r>
      <w:r w:rsidR="007D7B71">
        <w:rPr>
          <w:sz w:val="20"/>
          <w:szCs w:val="20"/>
        </w:rPr>
        <w:t>.</w:t>
      </w:r>
    </w:p>
    <w:p w:rsidR="002A4B53" w:rsidRDefault="002A4B53" w:rsidP="005F33EF">
      <w:pPr>
        <w:spacing w:line="360" w:lineRule="auto"/>
        <w:rPr>
          <w:sz w:val="20"/>
          <w:szCs w:val="20"/>
        </w:rPr>
      </w:pPr>
    </w:p>
    <w:p w:rsidR="009222B7" w:rsidRPr="004D4946" w:rsidRDefault="00570432" w:rsidP="005F33EF">
      <w:pPr>
        <w:spacing w:line="360" w:lineRule="auto"/>
        <w:rPr>
          <w:rFonts w:ascii="Calibri" w:eastAsia="Times New Roman" w:hAnsi="Calibri" w:cs="Times New Roman"/>
          <w:lang w:val="en-US" w:eastAsia="nl-NL"/>
        </w:rPr>
      </w:pPr>
      <w:proofErr w:type="spellStart"/>
      <w:r w:rsidRPr="004D4946">
        <w:rPr>
          <w:b/>
          <w:sz w:val="20"/>
          <w:szCs w:val="20"/>
          <w:lang w:val="en-US"/>
        </w:rPr>
        <w:t>Persinformatie</w:t>
      </w:r>
      <w:proofErr w:type="spellEnd"/>
      <w:r w:rsidR="005C46C0" w:rsidRPr="004D4946">
        <w:rPr>
          <w:b/>
          <w:sz w:val="20"/>
          <w:szCs w:val="20"/>
          <w:lang w:val="en-US"/>
        </w:rPr>
        <w:br/>
      </w:r>
      <w:proofErr w:type="spellStart"/>
      <w:r w:rsidR="009222B7" w:rsidRPr="004D4946">
        <w:rPr>
          <w:rFonts w:ascii="Calibri" w:hAnsi="Calibri"/>
          <w:sz w:val="20"/>
          <w:szCs w:val="20"/>
          <w:lang w:val="en-US"/>
        </w:rPr>
        <w:t>Autorola</w:t>
      </w:r>
      <w:proofErr w:type="spellEnd"/>
      <w:r w:rsidR="009222B7" w:rsidRPr="004D4946">
        <w:rPr>
          <w:rFonts w:ascii="Calibri" w:hAnsi="Calibri"/>
          <w:sz w:val="20"/>
          <w:szCs w:val="20"/>
          <w:lang w:val="en-US"/>
        </w:rPr>
        <w:t xml:space="preserve">, Erwin </w:t>
      </w:r>
      <w:proofErr w:type="spellStart"/>
      <w:r w:rsidR="009222B7" w:rsidRPr="004D4946">
        <w:rPr>
          <w:rFonts w:ascii="Calibri" w:hAnsi="Calibri"/>
          <w:sz w:val="20"/>
          <w:szCs w:val="20"/>
          <w:lang w:val="en-US"/>
        </w:rPr>
        <w:t>Coesens</w:t>
      </w:r>
      <w:proofErr w:type="spellEnd"/>
      <w:r w:rsidR="009222B7" w:rsidRPr="004D4946">
        <w:rPr>
          <w:rFonts w:ascii="Calibri" w:hAnsi="Calibri"/>
          <w:sz w:val="20"/>
          <w:szCs w:val="20"/>
          <w:lang w:val="en-US"/>
        </w:rPr>
        <w:t xml:space="preserve">, Country Manager, </w:t>
      </w:r>
      <w:hyperlink r:id="rId9" w:history="1">
        <w:r w:rsidR="009222B7" w:rsidRPr="004D4946">
          <w:rPr>
            <w:rStyle w:val="Hyperlink"/>
            <w:rFonts w:ascii="Calibri" w:hAnsi="Calibri"/>
            <w:sz w:val="20"/>
            <w:szCs w:val="20"/>
            <w:lang w:val="en-US"/>
          </w:rPr>
          <w:t>erc@autorola.be</w:t>
        </w:r>
      </w:hyperlink>
      <w:r w:rsidR="009222B7" w:rsidRPr="004D4946">
        <w:rPr>
          <w:rFonts w:ascii="Calibri" w:hAnsi="Calibri"/>
          <w:sz w:val="20"/>
          <w:szCs w:val="20"/>
          <w:lang w:val="en-US"/>
        </w:rPr>
        <w:t>, GSM 0</w:t>
      </w:r>
      <w:r w:rsidR="009222B7" w:rsidRPr="004D4946">
        <w:rPr>
          <w:rFonts w:ascii="Calibri" w:eastAsia="Times New Roman" w:hAnsi="Calibri" w:cs="Arial"/>
          <w:color w:val="333333"/>
          <w:sz w:val="20"/>
          <w:szCs w:val="20"/>
          <w:shd w:val="clear" w:color="auto" w:fill="FFFFFF"/>
          <w:lang w:val="en-US" w:eastAsia="nl-NL"/>
        </w:rPr>
        <w:t>475 95 96 00</w:t>
      </w:r>
    </w:p>
    <w:p w:rsidR="00570432" w:rsidRPr="004D4946" w:rsidRDefault="00570432" w:rsidP="005F33EF">
      <w:pPr>
        <w:spacing w:line="360" w:lineRule="auto"/>
        <w:rPr>
          <w:sz w:val="20"/>
          <w:szCs w:val="20"/>
          <w:lang w:val="en-US"/>
        </w:rPr>
      </w:pPr>
      <w:r w:rsidRPr="004D4946">
        <w:rPr>
          <w:sz w:val="20"/>
          <w:szCs w:val="20"/>
          <w:lang w:val="en-US"/>
        </w:rPr>
        <w:t xml:space="preserve">Sandra Van Hauwaert, Square Egg Communications, </w:t>
      </w:r>
      <w:hyperlink r:id="rId10" w:history="1">
        <w:r w:rsidRPr="004D4946">
          <w:rPr>
            <w:rStyle w:val="Hyperlink"/>
            <w:sz w:val="20"/>
            <w:szCs w:val="20"/>
            <w:lang w:val="en-US"/>
          </w:rPr>
          <w:t>sandra@square-egg.be</w:t>
        </w:r>
      </w:hyperlink>
      <w:r w:rsidRPr="004D4946">
        <w:rPr>
          <w:sz w:val="20"/>
          <w:szCs w:val="20"/>
          <w:lang w:val="en-US"/>
        </w:rPr>
        <w:t>, GSM 0497 251816.</w:t>
      </w:r>
    </w:p>
    <w:p w:rsidR="007D7B71" w:rsidRPr="004D4946" w:rsidRDefault="007D7B71" w:rsidP="005F33EF">
      <w:pPr>
        <w:spacing w:line="360" w:lineRule="auto"/>
        <w:rPr>
          <w:sz w:val="20"/>
          <w:szCs w:val="20"/>
          <w:lang w:val="en-US"/>
        </w:rPr>
      </w:pPr>
    </w:p>
    <w:sectPr w:rsidR="007D7B71" w:rsidRPr="004D4946" w:rsidSect="00CD2969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24" w:rsidRDefault="00801E24" w:rsidP="004D4946">
      <w:r>
        <w:separator/>
      </w:r>
    </w:p>
  </w:endnote>
  <w:endnote w:type="continuationSeparator" w:id="0">
    <w:p w:rsidR="00801E24" w:rsidRDefault="00801E24" w:rsidP="004D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24" w:rsidRDefault="00801E24" w:rsidP="004D4946">
      <w:r>
        <w:separator/>
      </w:r>
    </w:p>
  </w:footnote>
  <w:footnote w:type="continuationSeparator" w:id="0">
    <w:p w:rsidR="00801E24" w:rsidRDefault="00801E24" w:rsidP="004D4946">
      <w:r>
        <w:continuationSeparator/>
      </w:r>
    </w:p>
  </w:footnote>
  <w:footnote w:id="1">
    <w:p w:rsidR="00E60D6A" w:rsidRPr="005F33EF" w:rsidRDefault="00E60D6A" w:rsidP="00E60D6A">
      <w:pPr>
        <w:spacing w:line="360" w:lineRule="auto"/>
        <w:rPr>
          <w:sz w:val="18"/>
          <w:szCs w:val="18"/>
          <w:u w:val="single"/>
        </w:rPr>
      </w:pPr>
      <w:r w:rsidRPr="005F33EF">
        <w:rPr>
          <w:rStyle w:val="Voetnootmarkering"/>
          <w:sz w:val="18"/>
          <w:szCs w:val="18"/>
        </w:rPr>
        <w:footnoteRef/>
      </w:r>
      <w:r w:rsidRPr="005F33EF">
        <w:rPr>
          <w:sz w:val="18"/>
          <w:szCs w:val="18"/>
        </w:rPr>
        <w:t xml:space="preserve"> </w:t>
      </w:r>
      <w:r w:rsidRPr="005F33EF">
        <w:rPr>
          <w:sz w:val="18"/>
          <w:szCs w:val="18"/>
          <w:u w:val="single"/>
        </w:rPr>
        <w:t>Als basis voor de cijfers in het nieuwe onderzoek gelden volgende criteria:</w:t>
      </w:r>
    </w:p>
    <w:p w:rsidR="00E60D6A" w:rsidRPr="005F33EF" w:rsidRDefault="00E60D6A" w:rsidP="00E60D6A">
      <w:pPr>
        <w:pStyle w:val="Lijstalinea"/>
        <w:numPr>
          <w:ilvl w:val="0"/>
          <w:numId w:val="1"/>
        </w:numPr>
        <w:spacing w:after="200" w:line="360" w:lineRule="auto"/>
        <w:rPr>
          <w:sz w:val="18"/>
          <w:szCs w:val="18"/>
        </w:rPr>
      </w:pPr>
      <w:r w:rsidRPr="005F33EF">
        <w:rPr>
          <w:sz w:val="18"/>
          <w:szCs w:val="18"/>
        </w:rPr>
        <w:t>Top-20 meest populaire merken</w:t>
      </w:r>
      <w:r w:rsidRPr="005F33EF">
        <w:rPr>
          <w:rStyle w:val="Voetnootmarkering"/>
          <w:sz w:val="18"/>
          <w:szCs w:val="18"/>
        </w:rPr>
        <w:footnoteRef/>
      </w:r>
    </w:p>
    <w:p w:rsidR="00E60D6A" w:rsidRPr="005F33EF" w:rsidRDefault="00E60D6A" w:rsidP="00E60D6A">
      <w:pPr>
        <w:pStyle w:val="Lijstalinea"/>
        <w:numPr>
          <w:ilvl w:val="0"/>
          <w:numId w:val="1"/>
        </w:numPr>
        <w:spacing w:after="200" w:line="360" w:lineRule="auto"/>
        <w:rPr>
          <w:sz w:val="18"/>
          <w:szCs w:val="18"/>
        </w:rPr>
      </w:pPr>
      <w:r w:rsidRPr="005F33EF">
        <w:rPr>
          <w:sz w:val="18"/>
          <w:szCs w:val="18"/>
        </w:rPr>
        <w:t>Voertuigen van 6 tot 60 maand oud</w:t>
      </w:r>
    </w:p>
    <w:p w:rsidR="00E60D6A" w:rsidRPr="005F33EF" w:rsidRDefault="00E60D6A" w:rsidP="00E60D6A">
      <w:pPr>
        <w:pStyle w:val="Lijstalinea"/>
        <w:numPr>
          <w:ilvl w:val="0"/>
          <w:numId w:val="1"/>
        </w:numPr>
        <w:spacing w:after="200" w:line="360" w:lineRule="auto"/>
        <w:rPr>
          <w:sz w:val="18"/>
          <w:szCs w:val="18"/>
        </w:rPr>
      </w:pPr>
      <w:r w:rsidRPr="005F33EF">
        <w:rPr>
          <w:sz w:val="18"/>
          <w:szCs w:val="18"/>
        </w:rPr>
        <w:t>Minimum 5000km</w:t>
      </w:r>
    </w:p>
    <w:p w:rsidR="00E60D6A" w:rsidRPr="005F33EF" w:rsidRDefault="00E60D6A" w:rsidP="00E60D6A">
      <w:pPr>
        <w:pStyle w:val="Lijstalinea"/>
        <w:numPr>
          <w:ilvl w:val="0"/>
          <w:numId w:val="1"/>
        </w:numPr>
        <w:spacing w:after="200" w:line="360" w:lineRule="auto"/>
        <w:rPr>
          <w:sz w:val="18"/>
          <w:szCs w:val="18"/>
        </w:rPr>
      </w:pPr>
      <w:r w:rsidRPr="005F33EF">
        <w:rPr>
          <w:sz w:val="18"/>
          <w:szCs w:val="18"/>
        </w:rPr>
        <w:t xml:space="preserve">Online verkoop bij concessiehouders en erkende professionele handelaars </w:t>
      </w:r>
    </w:p>
    <w:p w:rsidR="00E60D6A" w:rsidRPr="005F33EF" w:rsidRDefault="00E60D6A" w:rsidP="00E60D6A">
      <w:pPr>
        <w:pStyle w:val="Lijstalinea"/>
        <w:numPr>
          <w:ilvl w:val="0"/>
          <w:numId w:val="1"/>
        </w:numPr>
        <w:spacing w:after="200" w:line="360" w:lineRule="auto"/>
        <w:rPr>
          <w:sz w:val="18"/>
          <w:szCs w:val="18"/>
        </w:rPr>
      </w:pPr>
      <w:r w:rsidRPr="005F33EF">
        <w:rPr>
          <w:sz w:val="18"/>
          <w:szCs w:val="18"/>
        </w:rPr>
        <w:t>Data verzameld in februari 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725"/>
    <w:multiLevelType w:val="hybridMultilevel"/>
    <w:tmpl w:val="2A845BC4"/>
    <w:lvl w:ilvl="0" w:tplc="64D0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E2"/>
    <w:rsid w:val="00023EA5"/>
    <w:rsid w:val="00095695"/>
    <w:rsid w:val="000959B1"/>
    <w:rsid w:val="000D0DB6"/>
    <w:rsid w:val="000F02BE"/>
    <w:rsid w:val="001540A0"/>
    <w:rsid w:val="00216CFE"/>
    <w:rsid w:val="002374F1"/>
    <w:rsid w:val="002455AB"/>
    <w:rsid w:val="002A4B53"/>
    <w:rsid w:val="002D070D"/>
    <w:rsid w:val="002E4950"/>
    <w:rsid w:val="00317988"/>
    <w:rsid w:val="0042443C"/>
    <w:rsid w:val="004D4946"/>
    <w:rsid w:val="00570432"/>
    <w:rsid w:val="00573DB5"/>
    <w:rsid w:val="0059535A"/>
    <w:rsid w:val="005C46C0"/>
    <w:rsid w:val="005C753C"/>
    <w:rsid w:val="005D4F8F"/>
    <w:rsid w:val="005F33EF"/>
    <w:rsid w:val="00604427"/>
    <w:rsid w:val="006432E2"/>
    <w:rsid w:val="006B68EE"/>
    <w:rsid w:val="00744F7F"/>
    <w:rsid w:val="00794386"/>
    <w:rsid w:val="007D7B71"/>
    <w:rsid w:val="007F6A23"/>
    <w:rsid w:val="00801E24"/>
    <w:rsid w:val="008A18C0"/>
    <w:rsid w:val="008C3D92"/>
    <w:rsid w:val="008D1E8F"/>
    <w:rsid w:val="008F35B2"/>
    <w:rsid w:val="008F571E"/>
    <w:rsid w:val="00907E23"/>
    <w:rsid w:val="00922022"/>
    <w:rsid w:val="009222B7"/>
    <w:rsid w:val="00950ADD"/>
    <w:rsid w:val="00971AB3"/>
    <w:rsid w:val="0097371A"/>
    <w:rsid w:val="00A02668"/>
    <w:rsid w:val="00A97126"/>
    <w:rsid w:val="00B064E1"/>
    <w:rsid w:val="00B234DE"/>
    <w:rsid w:val="00B705A3"/>
    <w:rsid w:val="00C02945"/>
    <w:rsid w:val="00CC3A73"/>
    <w:rsid w:val="00CD1D67"/>
    <w:rsid w:val="00CD2969"/>
    <w:rsid w:val="00D21A3E"/>
    <w:rsid w:val="00D5427C"/>
    <w:rsid w:val="00D745BC"/>
    <w:rsid w:val="00DD72FA"/>
    <w:rsid w:val="00E16293"/>
    <w:rsid w:val="00E25C5C"/>
    <w:rsid w:val="00E60D6A"/>
    <w:rsid w:val="00ED308B"/>
    <w:rsid w:val="00EF596F"/>
    <w:rsid w:val="00F01E3A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574"/>
  <w15:chartTrackingRefBased/>
  <w15:docId w15:val="{794EBA3A-DA92-EE4F-BA57-BC002B8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D7B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3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D7B7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table" w:styleId="Tabelraster">
    <w:name w:val="Table Grid"/>
    <w:basedOn w:val="Standaardtabel"/>
    <w:uiPriority w:val="39"/>
    <w:rsid w:val="0023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9220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5704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43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D494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494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494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4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c@autorola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5</cp:revision>
  <dcterms:created xsi:type="dcterms:W3CDTF">2019-03-15T13:14:00Z</dcterms:created>
  <dcterms:modified xsi:type="dcterms:W3CDTF">2019-03-19T18:11:00Z</dcterms:modified>
</cp:coreProperties>
</file>