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84" w:rsidRPr="00024631" w:rsidRDefault="003E4084" w:rsidP="0009527E">
      <w:pPr>
        <w:shd w:val="clear" w:color="auto" w:fill="FFFFFF"/>
        <w:ind w:left="709"/>
        <w:jc w:val="center"/>
        <w:outlineLvl w:val="5"/>
        <w:rPr>
          <w:rFonts w:ascii="Arial" w:hAnsi="Arial" w:cs="Arial"/>
          <w:b/>
          <w:color w:val="4E4E4E"/>
          <w:sz w:val="32"/>
          <w:szCs w:val="32"/>
          <w:u w:val="single"/>
          <w:lang w:eastAsia="it-IT"/>
        </w:rPr>
      </w:pPr>
      <w:r w:rsidRPr="00024631">
        <w:rPr>
          <w:rFonts w:ascii="Arial" w:hAnsi="Arial" w:cs="Arial"/>
          <w:b/>
          <w:color w:val="4E4E4E"/>
          <w:sz w:val="32"/>
          <w:szCs w:val="32"/>
          <w:u w:val="single"/>
          <w:lang w:eastAsia="it-IT"/>
        </w:rPr>
        <w:t>COMUNICATO STAMPA</w:t>
      </w:r>
    </w:p>
    <w:p w:rsidR="003E4084" w:rsidRDefault="003E4084" w:rsidP="0009527E">
      <w:pPr>
        <w:shd w:val="clear" w:color="auto" w:fill="FFFFFF"/>
        <w:ind w:left="709"/>
        <w:jc w:val="center"/>
        <w:outlineLvl w:val="5"/>
        <w:rPr>
          <w:rFonts w:ascii="Arial" w:hAnsi="Arial" w:cs="Arial"/>
          <w:color w:val="4E4E4E"/>
          <w:sz w:val="30"/>
          <w:szCs w:val="30"/>
          <w:u w:val="single"/>
          <w:lang w:eastAsia="it-IT"/>
        </w:rPr>
      </w:pPr>
    </w:p>
    <w:p w:rsidR="004E173C" w:rsidRPr="000A6BF0" w:rsidRDefault="004E173C" w:rsidP="00F064AF">
      <w:pPr>
        <w:shd w:val="clear" w:color="auto" w:fill="FFFFFF"/>
        <w:ind w:left="709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 w:rsidRPr="000A6BF0">
        <w:rPr>
          <w:rStyle w:val="Enfasigrassetto"/>
          <w:rFonts w:ascii="Arial" w:hAnsi="Arial" w:cs="Arial"/>
          <w:color w:val="4E4E4E"/>
          <w:sz w:val="28"/>
          <w:szCs w:val="28"/>
        </w:rPr>
        <w:t>CONTINUA A CRESCERE</w:t>
      </w:r>
      <w:r w:rsidR="007E27AA">
        <w:rPr>
          <w:rStyle w:val="Enfasigrassetto"/>
          <w:rFonts w:ascii="Arial" w:hAnsi="Arial" w:cs="Arial"/>
          <w:color w:val="4E4E4E"/>
          <w:sz w:val="28"/>
          <w:szCs w:val="28"/>
        </w:rPr>
        <w:t>, ANCHE</w:t>
      </w:r>
      <w:r w:rsidR="007E27AA" w:rsidRPr="007E27AA">
        <w:rPr>
          <w:rStyle w:val="Enfasigrassetto"/>
          <w:rFonts w:ascii="Arial" w:hAnsi="Arial" w:cs="Arial"/>
          <w:color w:val="4E4E4E"/>
          <w:sz w:val="28"/>
          <w:szCs w:val="28"/>
        </w:rPr>
        <w:t xml:space="preserve"> </w:t>
      </w:r>
      <w:r w:rsidR="007E27AA" w:rsidRPr="000A6BF0">
        <w:rPr>
          <w:rStyle w:val="Enfasigrassetto"/>
          <w:rFonts w:ascii="Arial" w:hAnsi="Arial" w:cs="Arial"/>
          <w:color w:val="4E4E4E"/>
          <w:sz w:val="28"/>
          <w:szCs w:val="28"/>
        </w:rPr>
        <w:t>NEL 2015</w:t>
      </w:r>
      <w:r w:rsidR="007E27AA">
        <w:rPr>
          <w:rStyle w:val="Enfasigrassetto"/>
          <w:rFonts w:ascii="Arial" w:hAnsi="Arial" w:cs="Arial"/>
          <w:color w:val="4E4E4E"/>
          <w:sz w:val="28"/>
          <w:szCs w:val="28"/>
        </w:rPr>
        <w:t>,</w:t>
      </w:r>
    </w:p>
    <w:p w:rsidR="005019A0" w:rsidRDefault="00F064AF" w:rsidP="004E173C">
      <w:pPr>
        <w:shd w:val="clear" w:color="auto" w:fill="FFFFFF"/>
        <w:ind w:left="709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 w:rsidRPr="000A6BF0">
        <w:rPr>
          <w:rStyle w:val="Enfasigrassetto"/>
          <w:rFonts w:ascii="Arial" w:hAnsi="Arial" w:cs="Arial"/>
          <w:color w:val="4E4E4E"/>
          <w:sz w:val="28"/>
          <w:szCs w:val="28"/>
        </w:rPr>
        <w:t>LA RACCOLTA DEI RIFIUTI ELETTRICI ED ELETTRONICI</w:t>
      </w:r>
      <w:r w:rsidR="00A34528">
        <w:rPr>
          <w:rStyle w:val="Enfasigrassetto"/>
          <w:rFonts w:ascii="Arial" w:hAnsi="Arial" w:cs="Arial"/>
          <w:color w:val="4E4E4E"/>
          <w:sz w:val="28"/>
          <w:szCs w:val="28"/>
        </w:rPr>
        <w:t>.</w:t>
      </w:r>
      <w:r w:rsidR="005019A0">
        <w:rPr>
          <w:rStyle w:val="Enfasigrassetto"/>
          <w:rFonts w:ascii="Arial" w:hAnsi="Arial" w:cs="Arial"/>
          <w:color w:val="4E4E4E"/>
          <w:sz w:val="28"/>
          <w:szCs w:val="28"/>
        </w:rPr>
        <w:t xml:space="preserve"> </w:t>
      </w:r>
    </w:p>
    <w:p w:rsidR="005019A0" w:rsidRDefault="00A34528" w:rsidP="005019A0">
      <w:pPr>
        <w:shd w:val="clear" w:color="auto" w:fill="FFFFFF"/>
        <w:ind w:left="709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 xml:space="preserve">LA QUALITA’ OPERATIVA DI ECODOM </w:t>
      </w:r>
      <w:r w:rsidR="005019A0">
        <w:rPr>
          <w:rStyle w:val="Enfasigrassetto"/>
          <w:rFonts w:ascii="Arial" w:hAnsi="Arial" w:cs="Arial"/>
          <w:color w:val="4E4E4E"/>
          <w:sz w:val="28"/>
          <w:szCs w:val="28"/>
        </w:rPr>
        <w:t>HA</w:t>
      </w:r>
      <w:r>
        <w:rPr>
          <w:rStyle w:val="Enfasigrassetto"/>
          <w:rFonts w:ascii="Arial" w:hAnsi="Arial" w:cs="Arial"/>
          <w:color w:val="4E4E4E"/>
          <w:sz w:val="28"/>
          <w:szCs w:val="28"/>
        </w:rPr>
        <w:t xml:space="preserve"> PERMESSO DI</w:t>
      </w:r>
      <w:r w:rsidR="00BE1320">
        <w:rPr>
          <w:rStyle w:val="Enfasigrassetto"/>
          <w:rFonts w:ascii="Arial" w:hAnsi="Arial" w:cs="Arial"/>
          <w:color w:val="4E4E4E"/>
          <w:sz w:val="28"/>
          <w:szCs w:val="28"/>
        </w:rPr>
        <w:t xml:space="preserve"> </w:t>
      </w:r>
      <w:r w:rsidR="005019A0">
        <w:rPr>
          <w:rStyle w:val="Enfasigrassetto"/>
          <w:rFonts w:ascii="Arial" w:hAnsi="Arial" w:cs="Arial"/>
          <w:color w:val="4E4E4E"/>
          <w:sz w:val="28"/>
          <w:szCs w:val="28"/>
        </w:rPr>
        <w:t>EVITAT</w:t>
      </w:r>
      <w:r>
        <w:rPr>
          <w:rStyle w:val="Enfasigrassetto"/>
          <w:rFonts w:ascii="Arial" w:hAnsi="Arial" w:cs="Arial"/>
          <w:color w:val="4E4E4E"/>
          <w:sz w:val="28"/>
          <w:szCs w:val="28"/>
        </w:rPr>
        <w:t>ARE</w:t>
      </w:r>
      <w:r w:rsidR="005019A0">
        <w:rPr>
          <w:rStyle w:val="Enfasigrassetto"/>
          <w:rFonts w:ascii="Arial" w:hAnsi="Arial" w:cs="Arial"/>
          <w:color w:val="4E4E4E"/>
          <w:sz w:val="28"/>
          <w:szCs w:val="28"/>
        </w:rPr>
        <w:t xml:space="preserve"> </w:t>
      </w:r>
      <w:r w:rsidR="007E27AA">
        <w:rPr>
          <w:rStyle w:val="Enfasigrassetto"/>
          <w:rFonts w:ascii="Arial" w:hAnsi="Arial" w:cs="Arial"/>
          <w:color w:val="4E4E4E"/>
          <w:sz w:val="28"/>
          <w:szCs w:val="28"/>
        </w:rPr>
        <w:t xml:space="preserve">L’IMMISSIONE </w:t>
      </w:r>
      <w:r w:rsidR="00D948E1">
        <w:rPr>
          <w:rStyle w:val="Enfasigrassetto"/>
          <w:rFonts w:ascii="Arial" w:hAnsi="Arial" w:cs="Arial"/>
          <w:color w:val="4E4E4E"/>
          <w:sz w:val="28"/>
          <w:szCs w:val="28"/>
        </w:rPr>
        <w:t xml:space="preserve">IN ATMOSFERA </w:t>
      </w:r>
    </w:p>
    <w:p w:rsidR="0005397B" w:rsidRPr="000A6BF0" w:rsidRDefault="007E27AA" w:rsidP="005019A0">
      <w:pPr>
        <w:shd w:val="clear" w:color="auto" w:fill="FFFFFF"/>
        <w:ind w:left="709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 xml:space="preserve">DI </w:t>
      </w:r>
      <w:r w:rsidR="00666CD6" w:rsidRPr="000A6BF0">
        <w:rPr>
          <w:rStyle w:val="Enfasigrassetto"/>
          <w:rFonts w:ascii="Arial" w:hAnsi="Arial" w:cs="Arial"/>
          <w:color w:val="4E4E4E"/>
          <w:sz w:val="28"/>
          <w:szCs w:val="28"/>
        </w:rPr>
        <w:t xml:space="preserve">OLTRE </w:t>
      </w:r>
      <w:r w:rsidR="0054623B">
        <w:rPr>
          <w:rStyle w:val="Enfasigrassetto"/>
          <w:rFonts w:ascii="Arial" w:hAnsi="Arial" w:cs="Arial"/>
          <w:color w:val="4E4E4E"/>
          <w:sz w:val="28"/>
          <w:szCs w:val="28"/>
        </w:rPr>
        <w:t>87</w:t>
      </w:r>
      <w:r w:rsidR="007522F2" w:rsidRPr="000A6BF0">
        <w:rPr>
          <w:rStyle w:val="Enfasigrassetto"/>
          <w:rFonts w:ascii="Arial" w:hAnsi="Arial" w:cs="Arial"/>
          <w:color w:val="4E4E4E"/>
          <w:sz w:val="28"/>
          <w:szCs w:val="28"/>
        </w:rPr>
        <w:t>0</w:t>
      </w:r>
      <w:r w:rsidR="002A1BCC" w:rsidRPr="000A6BF0">
        <w:rPr>
          <w:rStyle w:val="Enfasigrassetto"/>
          <w:rFonts w:ascii="Arial" w:hAnsi="Arial" w:cs="Arial"/>
          <w:color w:val="4E4E4E"/>
          <w:sz w:val="28"/>
          <w:szCs w:val="28"/>
        </w:rPr>
        <w:t xml:space="preserve"> MILA</w:t>
      </w:r>
      <w:r w:rsidR="00666CD6" w:rsidRPr="000A6BF0">
        <w:rPr>
          <w:rStyle w:val="Enfasigrassetto"/>
          <w:rFonts w:ascii="Arial" w:hAnsi="Arial" w:cs="Arial"/>
          <w:color w:val="4E4E4E"/>
          <w:sz w:val="28"/>
          <w:szCs w:val="28"/>
        </w:rPr>
        <w:t xml:space="preserve"> TONNELLATE</w:t>
      </w:r>
      <w:r w:rsidR="00F064AF" w:rsidRPr="000A6BF0">
        <w:rPr>
          <w:rStyle w:val="Enfasigrassetto"/>
          <w:rFonts w:ascii="Arial" w:hAnsi="Arial" w:cs="Arial"/>
          <w:color w:val="4E4E4E"/>
          <w:sz w:val="28"/>
          <w:szCs w:val="28"/>
        </w:rPr>
        <w:t xml:space="preserve"> DI CO</w:t>
      </w:r>
      <w:r w:rsidR="00765CA4" w:rsidRPr="00765CA4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2</w:t>
      </w:r>
    </w:p>
    <w:p w:rsidR="0005397B" w:rsidRDefault="0005397B" w:rsidP="0005397B">
      <w:pPr>
        <w:shd w:val="clear" w:color="auto" w:fill="FFFFFF"/>
        <w:jc w:val="center"/>
        <w:outlineLvl w:val="5"/>
        <w:rPr>
          <w:rFonts w:ascii="Arial" w:hAnsi="Arial" w:cs="Arial"/>
          <w:b/>
          <w:bCs/>
          <w:color w:val="4E4E4E"/>
          <w:sz w:val="20"/>
          <w:szCs w:val="20"/>
          <w:lang w:eastAsia="it-IT"/>
        </w:rPr>
      </w:pPr>
    </w:p>
    <w:p w:rsidR="00BA0A49" w:rsidRDefault="0005397B">
      <w:pPr>
        <w:shd w:val="clear" w:color="auto" w:fill="FFFFFF"/>
        <w:jc w:val="center"/>
        <w:outlineLvl w:val="5"/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</w:pPr>
      <w:r w:rsidRPr="000A6BF0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 xml:space="preserve">La </w:t>
      </w:r>
      <w:r w:rsidR="00F5233C" w:rsidRPr="000A6BF0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>Lombardia</w:t>
      </w:r>
      <w:r w:rsidRPr="000A6BF0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 xml:space="preserve"> si conferma la regione più virtuosa</w:t>
      </w:r>
      <w:r w:rsidR="007E27AA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 xml:space="preserve"> per quantitativi di RAEE</w:t>
      </w:r>
    </w:p>
    <w:p w:rsidR="00BA0A49" w:rsidRDefault="007E27AA">
      <w:pPr>
        <w:shd w:val="clear" w:color="auto" w:fill="FFFFFF"/>
        <w:jc w:val="center"/>
        <w:outlineLvl w:val="5"/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>trattati</w:t>
      </w:r>
      <w:r w:rsidR="00A34528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 xml:space="preserve"> dal</w:t>
      </w:r>
      <w:r w:rsidR="00BA0A49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 xml:space="preserve"> Cons</w:t>
      </w:r>
      <w:r w:rsidR="00A34528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>orzio</w:t>
      </w:r>
      <w:r w:rsidR="0005397B" w:rsidRPr="000A6BF0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>, seguita</w:t>
      </w:r>
      <w:r w:rsidR="002564A5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>da Veneto, Emilia Romagna</w:t>
      </w:r>
      <w:r w:rsidR="00F5233C" w:rsidRPr="000A6BF0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 xml:space="preserve"> </w:t>
      </w:r>
      <w:r w:rsidR="000A6BF0" w:rsidRPr="000A6BF0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>e Toscana</w:t>
      </w:r>
      <w:r w:rsidR="00F5233C" w:rsidRPr="000A6BF0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>;</w:t>
      </w:r>
    </w:p>
    <w:p w:rsidR="0005397B" w:rsidRPr="000A6BF0" w:rsidRDefault="000A6BF0">
      <w:pPr>
        <w:shd w:val="clear" w:color="auto" w:fill="FFFFFF"/>
        <w:jc w:val="center"/>
        <w:outlineLvl w:val="5"/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</w:pPr>
      <w:r w:rsidRPr="000A6BF0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>fanalini</w:t>
      </w:r>
      <w:r w:rsidR="0005397B" w:rsidRPr="000A6BF0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 xml:space="preserve"> di coda </w:t>
      </w:r>
      <w:r w:rsidRPr="000A6BF0">
        <w:rPr>
          <w:rFonts w:ascii="Arial" w:hAnsi="Arial" w:cs="Arial"/>
          <w:b/>
          <w:bCs/>
          <w:i/>
          <w:color w:val="4E4E4E"/>
          <w:sz w:val="22"/>
          <w:szCs w:val="22"/>
          <w:lang w:eastAsia="it-IT"/>
        </w:rPr>
        <w:t>Molise, Basilicata e Valle d’Aosta.</w:t>
      </w:r>
    </w:p>
    <w:p w:rsidR="00666CD6" w:rsidRDefault="00666CD6" w:rsidP="000A6BF0">
      <w:pPr>
        <w:shd w:val="clear" w:color="auto" w:fill="FFFFFF"/>
        <w:spacing w:line="336" w:lineRule="atLeast"/>
        <w:jc w:val="both"/>
        <w:rPr>
          <w:rFonts w:ascii="Arial" w:hAnsi="Arial" w:cs="Arial"/>
          <w:b/>
          <w:bCs/>
          <w:i/>
          <w:color w:val="4E4E4E"/>
          <w:sz w:val="20"/>
          <w:szCs w:val="20"/>
          <w:lang w:eastAsia="it-IT"/>
        </w:rPr>
      </w:pPr>
    </w:p>
    <w:p w:rsidR="000020A9" w:rsidRDefault="00FA1C9D" w:rsidP="004E173C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noProof w:val="0"/>
          <w:color w:val="4E4E4E"/>
          <w:sz w:val="20"/>
          <w:szCs w:val="20"/>
          <w:lang w:eastAsia="it-IT"/>
        </w:rPr>
      </w:pPr>
      <w:r w:rsidRPr="009619A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Gennaio</w:t>
      </w:r>
      <w:r w:rsidR="003E4084" w:rsidRPr="009619A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201</w:t>
      </w:r>
      <w:r w:rsidR="005D086F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6</w:t>
      </w:r>
      <w:r w:rsidR="003E4084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="00113525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</w:t>
      </w:r>
      <w:r w:rsidR="0089536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="005F05D4">
        <w:rPr>
          <w:rFonts w:ascii="Arial" w:hAnsi="Arial" w:cs="Arial"/>
          <w:bCs/>
          <w:color w:val="4E4E4E"/>
          <w:sz w:val="20"/>
          <w:szCs w:val="20"/>
          <w:lang w:eastAsia="it-IT"/>
        </w:rPr>
        <w:t>Sono</w:t>
      </w:r>
      <w:r w:rsidR="00AD5CE3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circa</w:t>
      </w:r>
      <w:r w:rsidR="004E173C" w:rsidRPr="004E173C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="005F05D4" w:rsidRPr="005F05D4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78.</w:t>
      </w:r>
      <w:r w:rsidR="00D948E1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400</w:t>
      </w:r>
      <w:r w:rsidR="005F05D4" w:rsidRPr="005F05D4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="004E173C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le </w:t>
      </w:r>
      <w:r w:rsidR="004E173C"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tonnellate di RAEE</w:t>
      </w:r>
      <w:r w:rsidR="004E173C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(Rifiuti di Apparecchiature Elettriche ed Elettroniche</w:t>
      </w:r>
      <w:r w:rsidR="004E173C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, come frigoriferi,</w:t>
      </w:r>
      <w:r w:rsidR="004E173C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 lavatric</w:t>
      </w:r>
      <w:r w:rsidR="004E173C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i, lavastoviglie, forni e cappe) trattate,</w:t>
      </w:r>
      <w:r w:rsidR="004E173C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="004E173C" w:rsidRPr="00666CD6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nel </w:t>
      </w:r>
      <w:r w:rsidR="004E173C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corso del 2015</w:t>
      </w:r>
      <w:r w:rsidR="004E173C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, </w:t>
      </w:r>
      <w:r w:rsidR="004E173C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da </w:t>
      </w:r>
      <w:r w:rsidR="004E173C"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Ecodom </w:t>
      </w:r>
      <w:r w:rsidR="004E173C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– </w:t>
      </w:r>
      <w:r w:rsidR="004E173C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il </w:t>
      </w:r>
      <w:r w:rsidR="00A34528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più importante</w:t>
      </w:r>
      <w:r w:rsidR="004E173C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="004E173C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Consorzio </w:t>
      </w:r>
      <w:r w:rsidR="00A34528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operante in </w:t>
      </w:r>
      <w:r w:rsidR="004E173C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Italia</w:t>
      </w:r>
      <w:r w:rsidR="00A34528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nella gestione dei Rifiuti Elettrici ed Elettronici</w:t>
      </w:r>
      <w:r w:rsidR="004E173C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.</w:t>
      </w:r>
      <w:r w:rsidR="000020A9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</w:p>
    <w:p w:rsidR="0004732E" w:rsidRDefault="00A34528" w:rsidP="00207147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noProof w:val="0"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Grazie agli standard di qualità adottati da Ecodom, q</w:t>
      </w:r>
      <w:r w:rsidR="00F71C28">
        <w:rPr>
          <w:rFonts w:ascii="Arial" w:hAnsi="Arial" w:cs="Arial"/>
          <w:bCs/>
          <w:color w:val="4E4E4E"/>
          <w:sz w:val="20"/>
          <w:szCs w:val="20"/>
          <w:lang w:eastAsia="it-IT"/>
        </w:rPr>
        <w:t>uest</w:t>
      </w:r>
      <w:r w:rsidR="00310506" w:rsidRPr="0005397B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’attività ha consetito il </w:t>
      </w:r>
      <w:r w:rsidR="00310506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riciclo di </w:t>
      </w:r>
      <w:r w:rsidR="00D948E1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oltre</w:t>
      </w:r>
      <w:r w:rsidR="0031050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7522F2" w:rsidRPr="007522F2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47.000</w:t>
      </w:r>
      <w:r w:rsidR="007522F2" w:rsidRP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310506"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tonnellate di ferro</w:t>
      </w:r>
      <w:r w:rsidR="00310506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, </w:t>
      </w:r>
      <w:r w:rsidR="00D948E1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circa </w:t>
      </w:r>
      <w:r w:rsidR="007522F2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1.700 </w:t>
      </w:r>
      <w:r w:rsidR="0031050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tonnellate</w:t>
      </w:r>
      <w:r w:rsidR="00310506"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di alluminio</w:t>
      </w:r>
      <w:r w:rsidR="00310506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, </w:t>
      </w:r>
      <w:r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più di </w:t>
      </w:r>
      <w:r w:rsidR="007522F2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1.600</w:t>
      </w:r>
      <w:r w:rsidR="0031050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tonnellate</w:t>
      </w:r>
      <w:r w:rsidR="00310506"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di rame</w:t>
      </w:r>
      <w:r w:rsidR="00310506"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e </w:t>
      </w:r>
      <w:r w:rsidR="007522F2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8.000</w:t>
      </w:r>
      <w:r w:rsidR="0031050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tonnellate</w:t>
      </w:r>
      <w:r w:rsidR="00310506"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di plastica</w:t>
      </w:r>
      <w:r w:rsidR="0031050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, evitando l’immissione in atmosfera di oltre </w:t>
      </w:r>
      <w:r w:rsidR="00F71C28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8</w:t>
      </w:r>
      <w:r w:rsidR="00D948E1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7</w:t>
      </w:r>
      <w:r w:rsidR="007522F2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0.000 </w:t>
      </w:r>
      <w:r w:rsidR="00310506"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tonnellate di CO</w:t>
      </w:r>
      <w:r w:rsidR="00310506" w:rsidRPr="002A1BCC">
        <w:rPr>
          <w:rFonts w:ascii="Arial" w:hAnsi="Arial" w:cs="Arial"/>
          <w:b/>
          <w:bCs/>
          <w:noProof w:val="0"/>
          <w:color w:val="4E4E4E"/>
          <w:sz w:val="16"/>
          <w:szCs w:val="16"/>
          <w:lang w:eastAsia="it-IT"/>
        </w:rPr>
        <w:t>2</w:t>
      </w:r>
      <w:r w:rsidR="007522F2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, </w:t>
      </w:r>
      <w:r w:rsidR="007522F2" w:rsidRP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pari alla quantità di anidride carbonica assorbita in un anno da un bosco </w:t>
      </w:r>
      <w:r w:rsidR="00F71C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esteso</w:t>
      </w:r>
      <w:r w:rsidR="007522F2" w:rsidRP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quanto la provincia di </w:t>
      </w:r>
      <w:r w:rsidR="00F71C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Rimini</w:t>
      </w:r>
      <w:r w:rsidR="007522F2" w:rsidRP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.</w:t>
      </w:r>
      <w:r w:rsidR="00207147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</w:p>
    <w:p w:rsidR="00BA0A49" w:rsidRDefault="00BA0A49" w:rsidP="00207147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noProof w:val="0"/>
          <w:color w:val="4E4E4E"/>
          <w:sz w:val="20"/>
          <w:szCs w:val="20"/>
          <w:lang w:eastAsia="it-IT"/>
        </w:rPr>
      </w:pPr>
    </w:p>
    <w:p w:rsidR="00094AED" w:rsidRPr="00207147" w:rsidRDefault="00310506" w:rsidP="00207147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noProof w:val="0"/>
          <w:color w:val="4E4E4E"/>
          <w:sz w:val="20"/>
          <w:szCs w:val="20"/>
          <w:lang w:eastAsia="it-IT"/>
        </w:rPr>
      </w:pPr>
      <w:r w:rsidRPr="005D086F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I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Pr="002A1BCC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dati 201</w:t>
      </w:r>
      <w:r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5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evidenziano</w:t>
      </w:r>
      <w:r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,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Pr="00496F1C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rispetto all’anno precedente,</w:t>
      </w:r>
      <w:r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Pr="00310506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un</w:t>
      </w:r>
      <w:r w:rsidR="00D30F2A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 </w:t>
      </w:r>
      <w:r w:rsidRPr="00310506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incremento del </w:t>
      </w:r>
      <w:r w:rsidR="005D086F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+</w:t>
      </w:r>
      <w:r w:rsidR="000020A9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3,3</w:t>
      </w:r>
      <w:r w:rsidRPr="00310506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%</w:t>
      </w:r>
      <w:r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Pr="0089536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dei RAEE trattati dal Consorzio</w:t>
      </w:r>
      <w:r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, </w:t>
      </w: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con un </w:t>
      </w:r>
      <w:r w:rsidRPr="0031050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risultato di particolare rilievo per </w:t>
      </w:r>
      <w:r w:rsidR="003349F2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i rifiuti</w:t>
      </w: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del Raggruppamento </w:t>
      </w:r>
      <w:r w:rsidRPr="0031050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R2</w:t>
      </w:r>
      <w:r w:rsidR="00094AED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.</w:t>
      </w:r>
    </w:p>
    <w:p w:rsidR="00310506" w:rsidRPr="00310506" w:rsidRDefault="00310506" w:rsidP="00310506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</w:pP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I</w:t>
      </w:r>
      <w:r w:rsid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n </w:t>
      </w:r>
      <w:r w:rsidR="00BA0A4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dettaglio</w:t>
      </w:r>
      <w:r w:rsid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, i</w:t>
      </w: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risultati</w:t>
      </w: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relativi al Raggruppamento </w:t>
      </w:r>
      <w:r w:rsidRPr="0031050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R1</w:t>
      </w: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(</w:t>
      </w:r>
      <w:r w:rsidRPr="00F07C7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frigoriferi e condizionatori</w:t>
      </w: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) sono </w:t>
      </w:r>
      <w:r w:rsidR="00C7444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pressoché </w:t>
      </w: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analoghi a quelli </w:t>
      </w:r>
      <w:r w:rsidR="00F07C7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dell’anno precedente</w:t>
      </w:r>
      <w:r w:rsid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: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F07C7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nel 2015</w:t>
      </w:r>
      <w:r w:rsid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, sono state trattate</w:t>
      </w: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Pr="0031050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circa 3</w:t>
      </w:r>
      <w:r w:rsidR="00855F4F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4</w:t>
      </w:r>
      <w:r w:rsidRPr="0031050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.</w:t>
      </w:r>
      <w:r w:rsidR="00855F4F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8</w:t>
      </w:r>
      <w:r w:rsidRPr="0031050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00 t</w:t>
      </w:r>
      <w:r w:rsidRPr="00094AED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onnellate</w:t>
      </w:r>
      <w:r w:rsidR="00A34528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A34528" w:rsidRPr="002A195B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(</w:t>
      </w:r>
      <w:r w:rsidR="00F07C7D" w:rsidRPr="002A195B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-</w:t>
      </w:r>
      <w:r w:rsidR="00A34528" w:rsidRPr="002A195B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F07C7D" w:rsidRPr="002A195B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0,9% </w:t>
      </w:r>
      <w:r w:rsidR="00A34528" w:rsidRPr="002A195B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rispetto al </w:t>
      </w:r>
      <w:r w:rsidR="00F07C7D" w:rsidRP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2014</w:t>
      </w:r>
      <w:r w:rsid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)</w:t>
      </w:r>
      <w:r w:rsid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; </w:t>
      </w:r>
      <w:r w:rsid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è stato </w:t>
      </w:r>
      <w:r w:rsidR="00C7444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comunque </w:t>
      </w:r>
      <w:r w:rsidR="00BA0A4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colmato</w:t>
      </w:r>
      <w:r w:rsid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il</w:t>
      </w: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gap</w:t>
      </w:r>
      <w:r w:rsidR="00F07C7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negativo registrato </w:t>
      </w:r>
      <w:r w:rsidRPr="00310506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nel </w:t>
      </w:r>
      <w:r w:rsid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primo semestre dell’anno: u</w:t>
      </w:r>
      <w:r w:rsid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n</w:t>
      </w:r>
      <w:r w:rsidR="007522F2" w:rsidRP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ruolo di </w:t>
      </w:r>
      <w:r w:rsid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particolare </w:t>
      </w:r>
      <w:r w:rsidR="007522F2" w:rsidRP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rilievo è stato giocato</w:t>
      </w:r>
      <w:r w:rsidR="00C7444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, in </w:t>
      </w:r>
      <w:r w:rsidR="00BA0A4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questa inversione di tendenza</w:t>
      </w:r>
      <w:r w:rsidR="00C7444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, anche</w:t>
      </w:r>
      <w:r w:rsidR="007522F2" w:rsidRP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dalle </w:t>
      </w:r>
      <w:r w:rsidR="007522F2" w:rsidRPr="007522F2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eccezionali condizioni climatiche</w:t>
      </w:r>
      <w:r w:rsidR="007522F2" w:rsidRP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che hanno caratterizzato </w:t>
      </w:r>
      <w:r w:rsid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il periodo estivo</w:t>
      </w:r>
      <w:r w:rsidR="007522F2" w:rsidRP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e incentivato, in molti casi, l’acquisto di nuove apparecchiature in sostituzione di quelle più vecchie </w:t>
      </w:r>
      <w:r w:rsidR="00F07C7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e</w:t>
      </w:r>
      <w:r w:rsidR="007522F2" w:rsidRP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meno performanti</w:t>
      </w:r>
      <w:r w:rsidR="007522F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.</w:t>
      </w:r>
    </w:p>
    <w:p w:rsidR="00570B4A" w:rsidRDefault="00570B4A" w:rsidP="00666CD6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</w:pPr>
    </w:p>
    <w:p w:rsidR="00570B4A" w:rsidRDefault="007522F2" w:rsidP="00666CD6">
      <w:pPr>
        <w:shd w:val="clear" w:color="auto" w:fill="FFFFFF"/>
        <w:spacing w:line="336" w:lineRule="atLeast"/>
        <w:ind w:left="284"/>
        <w:jc w:val="both"/>
      </w:pP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È </w:t>
      </w:r>
      <w:r w:rsidR="00094AED" w:rsidRP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proseguito</w:t>
      </w:r>
      <w:r w:rsidR="005D086F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poi</w:t>
      </w:r>
      <w:r w:rsidR="00094AED" w:rsidRP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il </w:t>
      </w:r>
      <w:r w:rsidR="00094AED" w:rsidRPr="00094AED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consistente aumento dei quantitativi gestiti dei RAEE</w:t>
      </w:r>
      <w:r w:rsidR="00094AED" w:rsidRP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del Raggruppamento </w:t>
      </w:r>
      <w:r w:rsidR="00094AED" w:rsidRPr="00094AED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R2 </w:t>
      </w:r>
      <w:r w:rsidR="00094AED" w:rsidRP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(</w:t>
      </w:r>
      <w:r w:rsidR="00F07C7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come </w:t>
      </w:r>
      <w:r w:rsidR="00094AED" w:rsidRP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lavatrici, lavastoviglie, cappe, forni e scalda-acqua),</w:t>
      </w:r>
      <w:r w:rsid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che ha connotato l’intero anno, facendo </w:t>
      </w:r>
      <w:r w:rsidR="00094AED" w:rsidRP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registrare</w:t>
      </w:r>
      <w:r w:rsidR="00236C7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094AED" w:rsidRPr="00F07C7D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un </w:t>
      </w:r>
      <w:r w:rsidR="00236C72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incre</w:t>
      </w:r>
      <w:r w:rsidR="00F07C7D" w:rsidRPr="00F07C7D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mento del </w:t>
      </w:r>
      <w:r w:rsidR="00094AED" w:rsidRPr="00F07C7D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+6</w:t>
      </w:r>
      <w:r w:rsidR="00F07C7D" w:rsidRPr="00F07C7D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,8</w:t>
      </w:r>
      <w:r w:rsidR="00094AED" w:rsidRPr="00F07C7D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% ris</w:t>
      </w:r>
      <w:r w:rsidR="00094AED" w:rsidRPr="00094AED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petto al 2014</w:t>
      </w:r>
      <w:r w:rsidR="00094AED" w:rsidRP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, con un risultato che in termini </w:t>
      </w:r>
      <w:r w:rsidR="00094AED" w:rsidRPr="00F07C7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assoluti </w:t>
      </w:r>
      <w:r w:rsidR="00236C72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(circa 43.000 tonnellate) </w:t>
      </w:r>
      <w:r w:rsidR="00094AED" w:rsidRPr="00F07C7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sfiora il massimo storico</w:t>
      </w:r>
      <w:r w:rsidR="00094AED" w:rsidRP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registrato dal Consorzio nel 2010</w:t>
      </w:r>
      <w:r w:rsidR="00094AED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.</w:t>
      </w:r>
      <w:r w:rsidR="00570B4A" w:rsidRPr="00570B4A">
        <w:t xml:space="preserve"> </w:t>
      </w:r>
    </w:p>
    <w:p w:rsidR="004E173C" w:rsidRDefault="00570B4A" w:rsidP="00666CD6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</w:pP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All’origine di questo incremento ci sono </w:t>
      </w:r>
      <w:r w:rsidRPr="00570B4A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la diminuzione</w:t>
      </w: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- </w:t>
      </w:r>
      <w:r w:rsidR="007845E9"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accentuatasi </w:t>
      </w: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ulteriormente a partire da giugno 2015 - </w:t>
      </w:r>
      <w:r w:rsidRPr="00570B4A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del valore delle materie prime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(</w:t>
      </w:r>
      <w:r w:rsid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in particolare </w:t>
      </w: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ferro</w:t>
      </w:r>
      <w:r w:rsid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e plastica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)</w:t>
      </w: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, che ha reso i RAEE del Raggruppamento R2 </w:t>
      </w:r>
      <w:r w:rsidRPr="00570B4A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meno “appetibili” per il mercato parallelo</w:t>
      </w: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, e </w:t>
      </w:r>
      <w:r w:rsidRPr="00570B4A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l’aumento del valore dei premi di efficienza</w:t>
      </w: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C7444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previsti</w:t>
      </w: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dal nuovo </w:t>
      </w:r>
      <w:r w:rsidRPr="007845E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lastRenderedPageBreak/>
        <w:t>Accordo di Programma</w:t>
      </w:r>
      <w:r w:rsidR="007845E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,</w:t>
      </w: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C7444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in vigore dall’inizio del </w:t>
      </w: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2015</w:t>
      </w:r>
      <w:r w:rsidR="007845E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,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Pr="00570B4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tra le Associazioni dei Produttori di AEE, ANCI, il Centro di Coordinamento RAEE e le Associazioni delle Aziende di Igiene Urbana.</w:t>
      </w:r>
      <w:r w:rsidR="007845E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</w:p>
    <w:p w:rsidR="0075012A" w:rsidRDefault="0075012A" w:rsidP="00666CD6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</w:pPr>
    </w:p>
    <w:p w:rsidR="0075012A" w:rsidRDefault="0075012A" w:rsidP="00666CD6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</w:pPr>
      <w:r w:rsidRPr="0075012A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Segno positivo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="005D086F" w:rsidRPr="005D086F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nell’anno appena trascorso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anche per i RAEE dei Raggruppamenti </w:t>
      </w:r>
      <w:r w:rsidRPr="0075012A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R3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(televisori e monitor) e </w:t>
      </w:r>
      <w:r w:rsidRPr="0075012A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R4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(</w:t>
      </w:r>
      <w:r w:rsidRPr="0075012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piccoli elettrodomestici, elet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tronica di consumo, informatica e</w:t>
      </w:r>
      <w:r w:rsidRPr="0075012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apparecchi di illuminazione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)</w:t>
      </w:r>
      <w:r w:rsid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– nei quali Ecodom ha una quota di mercato </w:t>
      </w:r>
      <w:r w:rsidR="00BA0A49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contenuta</w:t>
      </w:r>
      <w:r w:rsidR="00A34528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, poiché ne effettua la gestione solo a titolo di servizio per i propri Consorziati – 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che sono </w:t>
      </w:r>
      <w:r w:rsidRPr="002A195B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cresciuti rispettivamente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del </w:t>
      </w:r>
      <w:r w:rsidRPr="0075012A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22,9%</w:t>
      </w:r>
      <w:r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Pr="0075012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(con 90 tonnellate gestite)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 xml:space="preserve"> e del </w:t>
      </w:r>
      <w:r w:rsidRPr="0075012A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10,2%</w:t>
      </w:r>
      <w:r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</w:t>
      </w:r>
      <w:r w:rsidRPr="0075012A"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(con 560 tonnellate gestite)</w:t>
      </w:r>
      <w:r w:rsidRPr="0075012A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rispetto al 2014</w:t>
      </w:r>
      <w:r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  <w:t>.</w:t>
      </w:r>
    </w:p>
    <w:p w:rsidR="007522F2" w:rsidRPr="007522F2" w:rsidRDefault="007522F2" w:rsidP="007522F2">
      <w:pPr>
        <w:shd w:val="clear" w:color="auto" w:fill="FFFFFF"/>
        <w:spacing w:line="336" w:lineRule="atLeast"/>
        <w:jc w:val="both"/>
        <w:rPr>
          <w:rFonts w:ascii="Arial" w:hAnsi="Arial" w:cs="Arial"/>
          <w:bCs/>
          <w:noProof w:val="0"/>
          <w:color w:val="4E4E4E"/>
          <w:sz w:val="20"/>
          <w:szCs w:val="20"/>
          <w:lang w:eastAsia="it-IT"/>
        </w:rPr>
      </w:pPr>
    </w:p>
    <w:p w:rsidR="002A1BCC" w:rsidRDefault="007522F2" w:rsidP="00D30F2A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noProof w:val="0"/>
          <w:color w:val="4E4E4E"/>
          <w:sz w:val="20"/>
          <w:szCs w:val="20"/>
          <w:lang w:eastAsia="it-IT"/>
        </w:rPr>
      </w:pPr>
      <w:r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Straordinario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risulta</w:t>
      </w:r>
      <w:r w:rsidR="009961AC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, infine,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nel 2015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il </w:t>
      </w:r>
      <w:r w:rsidRPr="00F5233C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beneficio per l’ambiente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derivante dal lavoro di Ecodom: oltre alla riduzione della quantità di CO</w:t>
      </w:r>
      <w:r w:rsidRPr="00F5233C">
        <w:rPr>
          <w:rFonts w:ascii="Arial" w:hAnsi="Arial" w:cs="Arial"/>
          <w:noProof w:val="0"/>
          <w:color w:val="4E4E4E"/>
          <w:sz w:val="16"/>
          <w:szCs w:val="16"/>
          <w:lang w:eastAsia="it-IT"/>
        </w:rPr>
        <w:t>2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immessa in atmosfera, le materie prime seconde (ferro, alluminio, rame e plastica) ottenute dal riciclo delle </w:t>
      </w:r>
      <w:r w:rsid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78.4</w:t>
      </w:r>
      <w:r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00</w:t>
      </w:r>
      <w:r w:rsidRPr="00496F1C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 tonnellate di elettrodomestici trattati</w:t>
      </w:r>
      <w:r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, 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hanno consentito</w:t>
      </w:r>
      <w:r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un risparmio di </w:t>
      </w:r>
      <w:r w:rsidR="002900C0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quasi 89</w:t>
      </w:r>
      <w:r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milioni di</w:t>
      </w:r>
      <w:r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kWh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Pr="00666CD6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di energia elettrica</w:t>
      </w:r>
      <w:r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, </w:t>
      </w:r>
      <w:r w:rsidRPr="007522F2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equivalenti al consumo annuo di elettricità di una città </w:t>
      </w:r>
      <w:r w:rsid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di oltre 70.000 abitanti</w:t>
      </w:r>
      <w:r w:rsidRPr="007522F2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.</w:t>
      </w:r>
    </w:p>
    <w:p w:rsidR="00BA0A49" w:rsidRDefault="00BA0A49" w:rsidP="00D30F2A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noProof w:val="0"/>
          <w:color w:val="4E4E4E"/>
          <w:sz w:val="20"/>
          <w:szCs w:val="20"/>
          <w:lang w:eastAsia="it-IT"/>
        </w:rPr>
      </w:pPr>
    </w:p>
    <w:p w:rsidR="003F58AC" w:rsidRDefault="002900C0" w:rsidP="003F58AC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</w:pPr>
      <w:r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P</w:t>
      </w:r>
      <w:r w:rsidR="00666CD6"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er quanto riguarda </w:t>
      </w:r>
      <w:r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il livello di servizio</w:t>
      </w:r>
      <w:r w:rsidR="008229F9"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,</w:t>
      </w:r>
      <w:r w:rsidR="005D086F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infine,</w:t>
      </w:r>
      <w:r w:rsidR="00666CD6"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="00666CD6"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Ecodom ha </w:t>
      </w:r>
      <w:r w:rsidR="00394C0A"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mantenuto</w:t>
      </w:r>
      <w:r w:rsidR="00666CD6"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 nel 201</w:t>
      </w:r>
      <w:r w:rsidR="00D30F2A"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5</w:t>
      </w:r>
      <w:r w:rsidR="00666CD6"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 </w:t>
      </w:r>
      <w:r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elevatissimi standard di puntualità</w:t>
      </w:r>
      <w:r w:rsidR="00666CD6"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: su </w:t>
      </w:r>
      <w:r w:rsidR="00394C0A"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un totale di </w:t>
      </w:r>
      <w:r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33.786</w:t>
      </w:r>
      <w:r w:rsidR="00666CD6"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 ritiri</w:t>
      </w:r>
      <w:r w:rsidR="00666CD6"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effettuati </w:t>
      </w:r>
      <w:r w:rsidR="00666CD6"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dalle isole ecologiche</w:t>
      </w:r>
      <w:r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,</w:t>
      </w:r>
      <w:r w:rsidR="00666CD6"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soltanto </w:t>
      </w:r>
      <w:r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47 trasporti non</w:t>
      </w:r>
      <w:r w:rsidR="00EB32E3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hanno</w:t>
      </w:r>
      <w:r w:rsidR="00394C0A"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rispettato</w:t>
      </w:r>
      <w:r w:rsidR="00666CD6" w:rsidRPr="002900C0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i tempi di intervento concordati tra il Centro di Coordinamento RAEE e ANCI, con un </w:t>
      </w:r>
      <w:r w:rsidR="00666CD6"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livello di servizio </w:t>
      </w:r>
      <w:r w:rsidR="002A7538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vicino </w:t>
      </w:r>
      <w:r w:rsidR="00666CD6"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al </w:t>
      </w:r>
      <w:r w:rsidR="00394C0A"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99,</w:t>
      </w:r>
      <w:r w:rsidR="002A7538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9</w:t>
      </w:r>
      <w:r w:rsidR="00666CD6" w:rsidRPr="002900C0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%.</w:t>
      </w:r>
    </w:p>
    <w:p w:rsidR="00D30F2A" w:rsidRDefault="00D30F2A" w:rsidP="003F58AC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</w:pPr>
    </w:p>
    <w:p w:rsidR="00835D52" w:rsidRPr="00D30F2A" w:rsidRDefault="00666CD6" w:rsidP="003F58AC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/>
          <w:noProof w:val="0"/>
          <w:color w:val="4E4E4E"/>
          <w:sz w:val="20"/>
          <w:szCs w:val="20"/>
          <w:highlight w:val="yellow"/>
          <w:lang w:eastAsia="it-IT"/>
        </w:rPr>
      </w:pPr>
      <w:r w:rsidRPr="00666CD6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A livello territoriale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, </w:t>
      </w:r>
      <w:r w:rsidR="00835D52" w:rsidRPr="001E2F26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la Lombardia</w:t>
      </w:r>
      <w:r w:rsidR="00ED1174" w:rsidRPr="001E2F26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 si conferma </w:t>
      </w:r>
      <w:r w:rsidR="005D086F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ancora una volta </w:t>
      </w:r>
      <w:r w:rsidRPr="001E2F2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la regione più virtuosa</w:t>
      </w:r>
      <w:r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in base ai </w:t>
      </w:r>
      <w:r w:rsidR="001E2F26"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quantitativi di </w:t>
      </w:r>
      <w:r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RAEE gestiti da Ecodom: sono state </w:t>
      </w:r>
      <w:r w:rsidR="001E2F26" w:rsidRPr="001E2F2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16.660</w:t>
      </w:r>
      <w:r w:rsidRPr="001E2F2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 le tonnellate di apparecchiature trattate</w:t>
      </w:r>
      <w:r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, con </w:t>
      </w:r>
      <w:r w:rsidR="001E2F26"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18.032</w:t>
      </w:r>
      <w:r w:rsidR="00835D52"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.000 </w:t>
      </w:r>
      <w:r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kWh di energia risparmiata e </w:t>
      </w:r>
      <w:r w:rsidR="001E2F26"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164.460</w:t>
      </w:r>
      <w:r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tonnellate di CO</w:t>
      </w:r>
      <w:r w:rsidRPr="001E2F26">
        <w:rPr>
          <w:rFonts w:ascii="Arial" w:hAnsi="Arial" w:cs="Arial"/>
          <w:noProof w:val="0"/>
          <w:color w:val="4E4E4E"/>
          <w:sz w:val="16"/>
          <w:szCs w:val="16"/>
          <w:lang w:eastAsia="it-IT"/>
        </w:rPr>
        <w:t>2</w:t>
      </w:r>
      <w:r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non immesse </w:t>
      </w:r>
      <w:r w:rsidR="00EB32E3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in </w:t>
      </w:r>
      <w:r w:rsidRPr="001E2F2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atmosfera. </w:t>
      </w:r>
    </w:p>
    <w:p w:rsidR="00835D52" w:rsidRDefault="00666CD6" w:rsidP="00666CD6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noProof w:val="0"/>
          <w:color w:val="4E4E4E"/>
          <w:sz w:val="20"/>
          <w:szCs w:val="20"/>
          <w:lang w:eastAsia="it-IT"/>
        </w:rPr>
      </w:pPr>
      <w:r w:rsidRPr="0082518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Al secondo posto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della speciale graduatoria della regioni virtuose stilata da Ecodom si </w:t>
      </w:r>
      <w:r w:rsidR="001E2F26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classifica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="001E2F26" w:rsidRPr="0082518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il Veneto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(con </w:t>
      </w:r>
      <w:r w:rsidR="00835D52" w:rsidRPr="0082518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7.7</w:t>
      </w:r>
      <w:r w:rsidR="001E2F26" w:rsidRPr="0082518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86</w:t>
      </w:r>
      <w:r w:rsidRPr="0082518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 tonnellate di RAEE gestiti</w:t>
      </w:r>
      <w:r w:rsidR="00E3506F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, corrispondenti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a </w:t>
      </w:r>
      <w:r w:rsidR="001E2F26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8.840</w:t>
      </w:r>
      <w:r w:rsidR="00835D52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.000 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kWh di energia risparmiata e </w:t>
      </w:r>
      <w:r w:rsidR="001E2F26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85.930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tonnellate di CO</w:t>
      </w:r>
      <w:r w:rsidRPr="0082518B">
        <w:rPr>
          <w:rFonts w:ascii="Arial" w:hAnsi="Arial" w:cs="Arial"/>
          <w:noProof w:val="0"/>
          <w:color w:val="4E4E4E"/>
          <w:sz w:val="16"/>
          <w:szCs w:val="16"/>
          <w:lang w:eastAsia="it-IT"/>
        </w:rPr>
        <w:t>2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non immesse </w:t>
      </w:r>
      <w:r w:rsidR="00EB32E3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in 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atmosfera)</w:t>
      </w:r>
      <w:r w:rsidR="008229F9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,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="0082518B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seguito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="0082518B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dall’ </w:t>
      </w:r>
      <w:r w:rsidR="0082518B" w:rsidRPr="0082518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Emilia Romagna</w:t>
      </w:r>
      <w:r w:rsidR="00835D52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(</w:t>
      </w:r>
      <w:r w:rsidR="0082518B" w:rsidRPr="0082518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7.653</w:t>
      </w:r>
      <w:r w:rsidR="00E3506F" w:rsidRPr="0082518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 tonnellate di RAEE</w:t>
      </w:r>
      <w:r w:rsidR="00835D52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)</w:t>
      </w:r>
      <w:r w:rsid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e dalla </w:t>
      </w:r>
      <w:r w:rsidR="0082518B" w:rsidRPr="0082518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Toscana</w:t>
      </w:r>
      <w:r w:rsidR="0082518B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="00835D52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(</w:t>
      </w:r>
      <w:r w:rsidR="0082518B" w:rsidRPr="0082518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7.250</w:t>
      </w:r>
      <w:r w:rsidR="00835D52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 </w:t>
      </w:r>
      <w:r w:rsidR="00835D52" w:rsidRPr="002A195B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>tonnellate</w:t>
      </w:r>
      <w:r w:rsidR="005435F9">
        <w:rPr>
          <w:rFonts w:ascii="Arial" w:hAnsi="Arial" w:cs="Arial"/>
          <w:b/>
          <w:noProof w:val="0"/>
          <w:color w:val="4E4E4E"/>
          <w:sz w:val="20"/>
          <w:szCs w:val="20"/>
          <w:lang w:eastAsia="it-IT"/>
        </w:rPr>
        <w:t xml:space="preserve"> di RAEE</w:t>
      </w:r>
      <w:r w:rsidR="00835D52" w:rsidRPr="0082518B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>).</w:t>
      </w:r>
    </w:p>
    <w:p w:rsidR="002B34FF" w:rsidRDefault="002B34FF" w:rsidP="00AD084D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</w:pPr>
    </w:p>
    <w:p w:rsidR="00AE1115" w:rsidRDefault="002B34FF" w:rsidP="002B34FF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</w:pPr>
      <w:r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>"L’</w:t>
      </w:r>
      <w:r w:rsidR="00AA4672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>aumento della quantità di RAEE</w:t>
      </w:r>
      <w:r w:rsidRPr="002B34FF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 xml:space="preserve">gestiti dal Consorzio nel 2015 è certamente un fatto positivo – </w:t>
      </w:r>
      <w:r w:rsidRPr="00AD084D">
        <w:rPr>
          <w:rFonts w:ascii="Arial" w:hAnsi="Arial" w:cs="Arial"/>
          <w:iCs/>
          <w:noProof w:val="0"/>
          <w:color w:val="4E4E4E"/>
          <w:sz w:val="20"/>
          <w:szCs w:val="20"/>
          <w:lang w:eastAsia="it-IT"/>
        </w:rPr>
        <w:t>dichiara</w:t>
      </w:r>
      <w:r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 xml:space="preserve"> </w:t>
      </w:r>
      <w:r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Giorgio Arienti</w:t>
      </w:r>
      <w:r w:rsidRPr="00666CD6">
        <w:rPr>
          <w:rFonts w:ascii="Arial" w:hAnsi="Arial" w:cs="Arial"/>
          <w:noProof w:val="0"/>
          <w:color w:val="4E4E4E"/>
          <w:sz w:val="20"/>
          <w:szCs w:val="20"/>
          <w:lang w:eastAsia="it-IT"/>
        </w:rPr>
        <w:t xml:space="preserve">, </w:t>
      </w:r>
      <w:r w:rsidRPr="00666CD6"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 xml:space="preserve">Direttore Generale </w:t>
      </w:r>
      <w:r>
        <w:rPr>
          <w:rFonts w:ascii="Arial" w:hAnsi="Arial" w:cs="Arial"/>
          <w:b/>
          <w:bCs/>
          <w:noProof w:val="0"/>
          <w:color w:val="4E4E4E"/>
          <w:sz w:val="20"/>
          <w:szCs w:val="20"/>
          <w:lang w:eastAsia="it-IT"/>
        </w:rPr>
        <w:t>di Ecodom</w:t>
      </w:r>
      <w:r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 xml:space="preserve"> – perché le modalità di trattamento</w:t>
      </w:r>
      <w:r w:rsidR="00AE1115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 xml:space="preserve"> utilizzate dai fornitori selezionati dal Consorzio rispettano gli standard ambientali più elevati a livello europeo. Non dobbiamo però mai dimenticare che nel nostro Paese mancano all’appello oltre due terzi dei RAEE generati dai cittadini: questi rifiuti sono</w:t>
      </w:r>
      <w:r w:rsidR="00AA4672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>,</w:t>
      </w:r>
      <w:r w:rsidR="00AE1115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 xml:space="preserve"> con ogni probabilità</w:t>
      </w:r>
      <w:r w:rsidR="00AA4672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>,</w:t>
      </w:r>
      <w:r w:rsidR="00AE1115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 xml:space="preserve"> intercettati da soggetti interessati solo a massimizzare i propri profitti, senza curarsi delle conseguenze che un riciclo non corretto ha sull’ambiente. E’ un problema rilevante, di cui spero lo </w:t>
      </w:r>
      <w:r w:rsidR="00AE1115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lastRenderedPageBreak/>
        <w:t>Stato Italiano vorrà farsi caric</w:t>
      </w:r>
      <w:r w:rsidR="00AA4672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>o con tempestività ed efficacia;</w:t>
      </w:r>
      <w:r w:rsidR="00AE1115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 xml:space="preserve"> se necessario</w:t>
      </w:r>
      <w:r w:rsidR="00AA4672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>,</w:t>
      </w:r>
      <w:r w:rsidR="00AE1115">
        <w:rPr>
          <w:rFonts w:ascii="Arial" w:hAnsi="Arial" w:cs="Arial"/>
          <w:i/>
          <w:iCs/>
          <w:noProof w:val="0"/>
          <w:color w:val="4E4E4E"/>
          <w:sz w:val="20"/>
          <w:szCs w:val="20"/>
          <w:lang w:eastAsia="it-IT"/>
        </w:rPr>
        <w:t xml:space="preserve"> anche attraverso modifiche della legislazione vigente: difficile, in caso contrario, che l’Italia possa raggiungere i nuovi ambiziosi obiettivi di raccolta stabiliti dall’ultima Direttiva Europea sui RAEE”.</w:t>
      </w:r>
    </w:p>
    <w:p w:rsidR="00666CD6" w:rsidRDefault="00666CD6" w:rsidP="00CD735F">
      <w:pPr>
        <w:shd w:val="clear" w:color="auto" w:fill="FFFFFF"/>
        <w:spacing w:line="336" w:lineRule="atLeast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</w:p>
    <w:p w:rsidR="00AE1115" w:rsidRDefault="00AE1115" w:rsidP="00CD735F">
      <w:pPr>
        <w:shd w:val="clear" w:color="auto" w:fill="FFFFFF"/>
        <w:spacing w:line="336" w:lineRule="atLeast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</w:p>
    <w:tbl>
      <w:tblPr>
        <w:tblW w:w="1004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9F1C22" w:rsidTr="00797F6D">
        <w:trPr>
          <w:trHeight w:val="1953"/>
        </w:trPr>
        <w:tc>
          <w:tcPr>
            <w:tcW w:w="10045" w:type="dxa"/>
          </w:tcPr>
          <w:p w:rsidR="009F1C22" w:rsidRPr="00140FB0" w:rsidRDefault="009F1C22" w:rsidP="00797F6D">
            <w:pPr>
              <w:shd w:val="clear" w:color="auto" w:fill="FFFFFF"/>
              <w:spacing w:line="0" w:lineRule="atLeast"/>
              <w:jc w:val="both"/>
              <w:rPr>
                <w:rFonts w:ascii="Arial" w:hAnsi="Arial" w:cs="Arial"/>
                <w:b/>
                <w:bCs/>
                <w:i/>
                <w:color w:val="4E4E4E"/>
                <w:sz w:val="10"/>
                <w:szCs w:val="10"/>
                <w:lang w:eastAsia="it-IT"/>
              </w:rPr>
            </w:pPr>
          </w:p>
          <w:p w:rsidR="009F1C22" w:rsidRDefault="009F1C22" w:rsidP="00797F6D">
            <w:pPr>
              <w:shd w:val="clear" w:color="auto" w:fill="FFFFFF"/>
              <w:spacing w:line="0" w:lineRule="atLeast"/>
              <w:jc w:val="both"/>
              <w:rPr>
                <w:rFonts w:ascii="Arial" w:hAnsi="Arial" w:cs="Arial"/>
                <w:bCs/>
                <w:i/>
                <w:color w:val="4E4E4E"/>
                <w:sz w:val="18"/>
                <w:szCs w:val="18"/>
                <w:lang w:eastAsia="it-IT"/>
              </w:rPr>
            </w:pPr>
            <w:r w:rsidRPr="00140FB0">
              <w:rPr>
                <w:rFonts w:ascii="Arial" w:hAnsi="Arial" w:cs="Arial"/>
                <w:b/>
                <w:bCs/>
                <w:i/>
                <w:color w:val="4E4E4E"/>
                <w:sz w:val="18"/>
                <w:szCs w:val="18"/>
                <w:lang w:eastAsia="it-IT"/>
              </w:rPr>
              <w:t>Ecodom</w:t>
            </w:r>
            <w:r w:rsidRPr="00E736A0">
              <w:rPr>
                <w:rFonts w:ascii="Arial" w:hAnsi="Arial" w:cs="Arial"/>
                <w:bCs/>
                <w:i/>
                <w:color w:val="4E4E4E"/>
                <w:sz w:val="18"/>
                <w:szCs w:val="18"/>
                <w:lang w:eastAsia="it-IT"/>
              </w:rPr>
              <w:t xml:space="preserve"> - Consorzio Italiano Recupero e Riciclaggio Elettrodomestici - è il sistema collettivo nazionale che gestisce, senza fini di lucro, il trasporto e il trattamento degli elettrodomestici a fine vita (RAEE, Rifiuti da Apparecchiature Elettriche ed Elettroniche). Costituito nel 2004 su base volontaria dai principali produttori di grandi elettrodomestici, cappe e scalda-acqua operanti nel mercato italiano, Ecodom ha l’obiettivo fondamentale di evitare la dispersione di sostanze inquinanti nell’ambiente e massimizzare il recupero dei materiali da reinserire nel ciclo produttivo, nel rispetto della normativa in materia di trattamento dei Rifiuti da Apparecchiature Elettriche ed Elettroniche (D. Lgs. </w:t>
            </w:r>
            <w:r>
              <w:rPr>
                <w:rFonts w:ascii="Arial" w:hAnsi="Arial" w:cs="Arial"/>
                <w:bCs/>
                <w:i/>
                <w:color w:val="4E4E4E"/>
                <w:sz w:val="18"/>
                <w:szCs w:val="18"/>
                <w:lang w:eastAsia="it-IT"/>
              </w:rPr>
              <w:t>49</w:t>
            </w:r>
            <w:r w:rsidRPr="00E736A0">
              <w:rPr>
                <w:rFonts w:ascii="Arial" w:hAnsi="Arial" w:cs="Arial"/>
                <w:bCs/>
                <w:i/>
                <w:color w:val="4E4E4E"/>
                <w:sz w:val="18"/>
                <w:szCs w:val="18"/>
                <w:lang w:eastAsia="it-IT"/>
              </w:rPr>
              <w:t>/20</w:t>
            </w:r>
            <w:r>
              <w:rPr>
                <w:rFonts w:ascii="Arial" w:hAnsi="Arial" w:cs="Arial"/>
                <w:bCs/>
                <w:i/>
                <w:color w:val="4E4E4E"/>
                <w:sz w:val="18"/>
                <w:szCs w:val="18"/>
                <w:lang w:eastAsia="it-IT"/>
              </w:rPr>
              <w:t>14</w:t>
            </w:r>
            <w:r w:rsidRPr="00E736A0">
              <w:rPr>
                <w:rFonts w:ascii="Arial" w:hAnsi="Arial" w:cs="Arial"/>
                <w:bCs/>
                <w:i/>
                <w:color w:val="4E4E4E"/>
                <w:sz w:val="18"/>
                <w:szCs w:val="18"/>
                <w:lang w:eastAsia="it-IT"/>
              </w:rPr>
              <w:t>). Ecodom gestisce i RAEE provenienti dai nuclei domestici dei Raggruppamenti R1 (frigoriferi e condizionatori), R2 (lavatrici, lavastoviglie, cappe, forni, scalda-acqua)</w:t>
            </w:r>
            <w:r>
              <w:rPr>
                <w:rFonts w:ascii="Arial" w:hAnsi="Arial" w:cs="Arial"/>
                <w:bCs/>
                <w:i/>
                <w:color w:val="4E4E4E"/>
                <w:sz w:val="18"/>
                <w:szCs w:val="18"/>
                <w:lang w:eastAsia="it-IT"/>
              </w:rPr>
              <w:t xml:space="preserve">, R3 (TV e monitor) </w:t>
            </w:r>
            <w:r w:rsidRPr="00E736A0">
              <w:rPr>
                <w:rFonts w:ascii="Arial" w:hAnsi="Arial" w:cs="Arial"/>
                <w:bCs/>
                <w:i/>
                <w:color w:val="4E4E4E"/>
                <w:sz w:val="18"/>
                <w:szCs w:val="18"/>
                <w:lang w:eastAsia="it-IT"/>
              </w:rPr>
              <w:t>e R4 (piccoli elettrodomestici, elettronica di consumo, informatica, apparecchi di illuminazione).</w:t>
            </w:r>
          </w:p>
          <w:p w:rsidR="009F1C22" w:rsidRPr="00140FB0" w:rsidRDefault="009F1C22" w:rsidP="00797F6D">
            <w:pPr>
              <w:shd w:val="clear" w:color="auto" w:fill="FFFFFF"/>
              <w:spacing w:line="0" w:lineRule="atLeast"/>
              <w:jc w:val="both"/>
              <w:rPr>
                <w:rFonts w:ascii="Arial" w:hAnsi="Arial" w:cs="Arial"/>
                <w:bCs/>
                <w:i/>
                <w:color w:val="4E4E4E"/>
                <w:sz w:val="10"/>
                <w:szCs w:val="10"/>
                <w:lang w:eastAsia="it-IT"/>
              </w:rPr>
            </w:pPr>
          </w:p>
        </w:tc>
      </w:tr>
    </w:tbl>
    <w:p w:rsidR="00496F1C" w:rsidRPr="00E736A0" w:rsidRDefault="00496F1C" w:rsidP="00CD735F">
      <w:pPr>
        <w:shd w:val="clear" w:color="auto" w:fill="FFFFFF"/>
        <w:spacing w:line="0" w:lineRule="atLeast"/>
        <w:jc w:val="both"/>
        <w:rPr>
          <w:rFonts w:ascii="Arial" w:hAnsi="Arial" w:cs="Arial"/>
          <w:bCs/>
          <w:i/>
          <w:color w:val="4E4E4E"/>
          <w:sz w:val="18"/>
          <w:szCs w:val="18"/>
          <w:lang w:eastAsia="it-IT"/>
        </w:rPr>
      </w:pPr>
    </w:p>
    <w:p w:rsidR="003E4084" w:rsidRDefault="003E4084" w:rsidP="0009527E">
      <w:pPr>
        <w:shd w:val="clear" w:color="auto" w:fill="FFFFFF"/>
        <w:spacing w:line="336" w:lineRule="atLeast"/>
        <w:ind w:left="709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3E4084" w:rsidRPr="00FA1347" w:rsidRDefault="003E4084" w:rsidP="0009527E">
      <w:pPr>
        <w:shd w:val="clear" w:color="auto" w:fill="FFFFFF"/>
        <w:ind w:left="709"/>
        <w:contextualSpacing/>
        <w:rPr>
          <w:rFonts w:ascii="Arial" w:hAnsi="Arial" w:cs="Arial"/>
          <w:sz w:val="20"/>
          <w:szCs w:val="20"/>
          <w:lang w:eastAsia="it-IT"/>
        </w:rPr>
      </w:pPr>
      <w:r w:rsidRPr="00FA1347">
        <w:rPr>
          <w:rFonts w:ascii="Arial" w:hAnsi="Arial" w:cs="Arial"/>
          <w:color w:val="4E4E4E"/>
          <w:sz w:val="20"/>
          <w:szCs w:val="20"/>
          <w:lang w:eastAsia="it-IT"/>
        </w:rPr>
        <w:t>Per ulteriori informazioni:</w:t>
      </w:r>
    </w:p>
    <w:p w:rsidR="003E4084" w:rsidRPr="00FA1347" w:rsidRDefault="003E4084" w:rsidP="0009527E">
      <w:pPr>
        <w:shd w:val="clear" w:color="auto" w:fill="FFFFFF"/>
        <w:ind w:left="709"/>
        <w:contextualSpacing/>
        <w:rPr>
          <w:rFonts w:ascii="Arial" w:hAnsi="Arial" w:cs="Arial"/>
          <w:b/>
          <w:color w:val="4E4E4E"/>
          <w:sz w:val="20"/>
          <w:szCs w:val="20"/>
          <w:lang w:eastAsia="it-IT"/>
        </w:rPr>
      </w:pPr>
      <w:r w:rsidRPr="00FA1347">
        <w:rPr>
          <w:rFonts w:ascii="Arial" w:hAnsi="Arial" w:cs="Arial"/>
          <w:b/>
          <w:color w:val="4E4E4E"/>
          <w:sz w:val="20"/>
          <w:szCs w:val="20"/>
          <w:lang w:eastAsia="it-IT"/>
        </w:rPr>
        <w:t>Ufficio stampa INC – Istituto Nazionale per la Comunicazione</w:t>
      </w:r>
    </w:p>
    <w:p w:rsidR="003E4084" w:rsidRPr="00FA1347" w:rsidRDefault="003E4084" w:rsidP="0009527E">
      <w:pPr>
        <w:shd w:val="clear" w:color="auto" w:fill="FFFFFF"/>
        <w:ind w:left="709"/>
        <w:contextualSpacing/>
        <w:rPr>
          <w:rFonts w:ascii="Arial" w:hAnsi="Arial" w:cs="Arial"/>
          <w:color w:val="4E4E4E"/>
          <w:sz w:val="20"/>
          <w:szCs w:val="20"/>
          <w:lang w:eastAsia="it-IT"/>
        </w:rPr>
      </w:pPr>
      <w:r w:rsidRPr="00FA1347">
        <w:rPr>
          <w:rFonts w:ascii="Arial" w:hAnsi="Arial" w:cs="Arial"/>
          <w:color w:val="4E4E4E"/>
          <w:sz w:val="20"/>
          <w:szCs w:val="20"/>
          <w:lang w:eastAsia="it-IT"/>
        </w:rPr>
        <w:t>Elena Mastroieni</w:t>
      </w:r>
    </w:p>
    <w:p w:rsidR="003E4084" w:rsidRPr="00FA1347" w:rsidRDefault="003E4084" w:rsidP="0009527E">
      <w:pPr>
        <w:shd w:val="clear" w:color="auto" w:fill="FFFFFF"/>
        <w:ind w:left="709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FA1347">
        <w:rPr>
          <w:rFonts w:ascii="Arial" w:hAnsi="Arial" w:cs="Arial"/>
          <w:color w:val="4E4E4E"/>
          <w:sz w:val="20"/>
          <w:szCs w:val="20"/>
          <w:lang w:eastAsia="it-IT"/>
        </w:rPr>
        <w:t>06.44160843  - 334.6788706</w:t>
      </w:r>
    </w:p>
    <w:p w:rsidR="003E4084" w:rsidRDefault="003E4084" w:rsidP="0009527E">
      <w:pPr>
        <w:shd w:val="clear" w:color="auto" w:fill="FFFFFF"/>
        <w:ind w:left="709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FA1347">
        <w:rPr>
          <w:rFonts w:ascii="Arial" w:hAnsi="Arial" w:cs="Arial"/>
          <w:color w:val="4E4E4E"/>
          <w:sz w:val="20"/>
          <w:szCs w:val="20"/>
          <w:lang w:eastAsia="it-IT"/>
        </w:rPr>
        <w:t>e.mastroieni@inc-comunicazione.it</w:t>
      </w:r>
      <w:r w:rsidRPr="00FA1347">
        <w:rPr>
          <w:rFonts w:ascii="Arial" w:hAnsi="Arial" w:cs="Arial"/>
          <w:color w:val="4E4E4E"/>
          <w:sz w:val="20"/>
          <w:szCs w:val="20"/>
          <w:lang w:eastAsia="it-IT"/>
        </w:rPr>
        <w:br/>
      </w:r>
    </w:p>
    <w:p w:rsidR="008229F9" w:rsidRDefault="008229F9" w:rsidP="0009527E">
      <w:pPr>
        <w:shd w:val="clear" w:color="auto" w:fill="FFFFFF"/>
        <w:ind w:left="709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8229F9" w:rsidRDefault="008229F9" w:rsidP="0009527E">
      <w:pPr>
        <w:shd w:val="clear" w:color="auto" w:fill="FFFFFF"/>
        <w:ind w:left="709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8229F9" w:rsidRDefault="008229F9" w:rsidP="0009527E">
      <w:pPr>
        <w:shd w:val="clear" w:color="auto" w:fill="FFFFFF"/>
        <w:ind w:left="709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FA1C9D" w:rsidRDefault="00FA1C9D" w:rsidP="00E827B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496F1C" w:rsidRDefault="00496F1C" w:rsidP="00E827B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DE075C" w:rsidRPr="0065776F" w:rsidRDefault="00DE075C" w:rsidP="00DE075C">
      <w:pPr>
        <w:shd w:val="clear" w:color="auto" w:fill="FFFFFF"/>
        <w:ind w:left="709"/>
        <w:contextualSpacing/>
        <w:jc w:val="both"/>
        <w:rPr>
          <w:rFonts w:ascii="Arial" w:hAnsi="Arial" w:cs="Arial"/>
          <w:color w:val="4E4E4E"/>
          <w:sz w:val="28"/>
          <w:szCs w:val="28"/>
          <w:lang w:eastAsia="it-IT"/>
        </w:rPr>
      </w:pPr>
    </w:p>
    <w:p w:rsidR="00DE075C" w:rsidRPr="008229F9" w:rsidRDefault="00DE075C" w:rsidP="00DE075C">
      <w:pPr>
        <w:shd w:val="clear" w:color="auto" w:fill="FFFFFF"/>
        <w:ind w:left="709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229F9">
        <w:rPr>
          <w:rFonts w:ascii="Arial" w:hAnsi="Arial" w:cs="Arial"/>
          <w:color w:val="4E4E4E"/>
          <w:sz w:val="20"/>
          <w:szCs w:val="20"/>
          <w:lang w:eastAsia="it-IT"/>
        </w:rPr>
        <w:t xml:space="preserve"> </w:t>
      </w:r>
    </w:p>
    <w:p w:rsidR="00DE075C" w:rsidRDefault="00DE075C" w:rsidP="00DE075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DE075C" w:rsidRDefault="00DE075C" w:rsidP="00DE075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DE075C" w:rsidRDefault="00DE075C" w:rsidP="00DE075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DE075C" w:rsidRPr="008229F9" w:rsidRDefault="00DE075C" w:rsidP="00DE075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DE075C" w:rsidRDefault="00DE075C" w:rsidP="00DE075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7B12CF" w:rsidRDefault="007B12CF" w:rsidP="00DE075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7B12CF" w:rsidRDefault="007B12CF" w:rsidP="00DE075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7B12CF" w:rsidRDefault="007B12CF" w:rsidP="00DE075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7B12CF" w:rsidRDefault="007B12CF" w:rsidP="00DE075C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BF0150" w:rsidRDefault="00BF0150">
      <w:pPr>
        <w:rPr>
          <w:rFonts w:ascii="Arial" w:hAnsi="Arial" w:cs="Arial"/>
          <w:color w:val="4E4E4E"/>
          <w:sz w:val="20"/>
          <w:szCs w:val="20"/>
          <w:lang w:eastAsia="it-IT"/>
        </w:rPr>
      </w:pPr>
      <w:r>
        <w:rPr>
          <w:rFonts w:ascii="Arial" w:hAnsi="Arial" w:cs="Arial"/>
          <w:color w:val="4E4E4E"/>
          <w:sz w:val="20"/>
          <w:szCs w:val="20"/>
          <w:lang w:eastAsia="it-IT"/>
        </w:rPr>
        <w:br w:type="page"/>
      </w:r>
    </w:p>
    <w:p w:rsidR="0056416B" w:rsidRPr="00BE7930" w:rsidRDefault="0056416B" w:rsidP="0056416B">
      <w:pPr>
        <w:shd w:val="clear" w:color="auto" w:fill="FFFFFF"/>
        <w:ind w:left="709"/>
        <w:contextualSpacing/>
        <w:jc w:val="center"/>
        <w:rPr>
          <w:rFonts w:ascii="Arial" w:hAnsi="Arial" w:cs="Arial"/>
          <w:b/>
          <w:color w:val="4E4E4E"/>
          <w:sz w:val="32"/>
          <w:szCs w:val="32"/>
          <w:u w:val="single"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color w:val="4E4E4E"/>
          <w:sz w:val="32"/>
          <w:szCs w:val="32"/>
          <w:u w:val="single"/>
          <w:lang w:eastAsia="it-IT"/>
        </w:rPr>
        <w:lastRenderedPageBreak/>
        <w:t>FOCUS REGIONI</w:t>
      </w:r>
    </w:p>
    <w:p w:rsidR="0056416B" w:rsidRDefault="0056416B" w:rsidP="0056416B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56416B" w:rsidRPr="008D2C5E" w:rsidRDefault="0056416B" w:rsidP="0056416B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7B12CF">
        <w:rPr>
          <w:rFonts w:ascii="Arial" w:hAnsi="Arial" w:cs="Arial"/>
          <w:color w:val="4E4E4E"/>
          <w:sz w:val="20"/>
          <w:szCs w:val="20"/>
          <w:lang w:eastAsia="it-IT"/>
        </w:rPr>
        <w:t>Di seguito la graduatoria completa delle regioni per RAEE gestiti da Ecodom nel 201</w:t>
      </w:r>
      <w:r w:rsidR="00283375" w:rsidRPr="007B12CF">
        <w:rPr>
          <w:rFonts w:ascii="Arial" w:hAnsi="Arial" w:cs="Arial"/>
          <w:color w:val="4E4E4E"/>
          <w:sz w:val="20"/>
          <w:szCs w:val="20"/>
          <w:lang w:eastAsia="it-IT"/>
        </w:rPr>
        <w:t>5</w:t>
      </w:r>
      <w:r w:rsidRPr="007B12CF">
        <w:rPr>
          <w:rFonts w:ascii="Arial" w:hAnsi="Arial" w:cs="Arial"/>
          <w:color w:val="4E4E4E"/>
          <w:sz w:val="20"/>
          <w:szCs w:val="20"/>
          <w:lang w:eastAsia="it-IT"/>
        </w:rPr>
        <w:t>:</w:t>
      </w:r>
    </w:p>
    <w:p w:rsidR="0056416B" w:rsidRPr="008D2C5E" w:rsidRDefault="0056416B" w:rsidP="0056416B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56416B" w:rsidRPr="0029085F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Lombardia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: con</w:t>
      </w:r>
      <w:r w:rsidR="007B12CF">
        <w:rPr>
          <w:rFonts w:ascii="Arial" w:hAnsi="Arial" w:cs="Arial"/>
          <w:color w:val="4E4E4E"/>
          <w:sz w:val="20"/>
          <w:szCs w:val="20"/>
          <w:lang w:eastAsia="it-IT"/>
        </w:rPr>
        <w:t xml:space="preserve"> 16.660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 w:rsidR="007B12CF">
        <w:rPr>
          <w:rFonts w:ascii="Arial" w:hAnsi="Arial" w:cs="Arial"/>
          <w:color w:val="4E4E4E"/>
          <w:sz w:val="20"/>
          <w:szCs w:val="20"/>
          <w:lang w:eastAsia="it-IT"/>
        </w:rPr>
        <w:t>6.544</w:t>
      </w:r>
      <w:r w:rsidR="00283375">
        <w:rPr>
          <w:rFonts w:ascii="Arial" w:hAnsi="Arial" w:cs="Arial"/>
          <w:color w:val="4E4E4E"/>
          <w:sz w:val="20"/>
          <w:szCs w:val="20"/>
          <w:lang w:eastAsia="it-IT"/>
        </w:rPr>
        <w:t xml:space="preserve"> </w:t>
      </w:r>
      <w:r w:rsidR="00E3506F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7B12CF">
        <w:rPr>
          <w:rFonts w:ascii="Arial" w:hAnsi="Arial" w:cs="Arial"/>
          <w:color w:val="4E4E4E"/>
          <w:sz w:val="20"/>
          <w:szCs w:val="20"/>
          <w:lang w:eastAsia="it-IT"/>
        </w:rPr>
        <w:t xml:space="preserve">9.951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7B12CF">
        <w:rPr>
          <w:rFonts w:ascii="Arial" w:hAnsi="Arial" w:cs="Arial"/>
          <w:color w:val="4E4E4E"/>
          <w:sz w:val="20"/>
          <w:szCs w:val="20"/>
          <w:lang w:eastAsia="it-IT"/>
        </w:rPr>
        <w:t>, 19 tonnellate di R3</w:t>
      </w:r>
      <w:r w:rsidR="00E3506F">
        <w:rPr>
          <w:rFonts w:ascii="Arial" w:hAnsi="Arial" w:cs="Arial"/>
          <w:color w:val="4E4E4E"/>
          <w:sz w:val="20"/>
          <w:szCs w:val="20"/>
          <w:lang w:eastAsia="it-IT"/>
        </w:rPr>
        <w:t xml:space="preserve"> e </w:t>
      </w:r>
      <w:r w:rsidR="007B12CF">
        <w:rPr>
          <w:rFonts w:ascii="Arial" w:hAnsi="Arial" w:cs="Arial"/>
          <w:color w:val="4E4E4E"/>
          <w:sz w:val="20"/>
          <w:szCs w:val="20"/>
          <w:lang w:eastAsia="it-IT"/>
        </w:rPr>
        <w:t>146</w:t>
      </w:r>
      <w:r w:rsidR="00E3506F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 w:rsidR="007B12CF">
        <w:rPr>
          <w:rFonts w:ascii="Arial" w:hAnsi="Arial" w:cs="Arial"/>
          <w:color w:val="4E4E4E"/>
          <w:sz w:val="20"/>
          <w:szCs w:val="20"/>
          <w:lang w:eastAsia="it-IT"/>
        </w:rPr>
        <w:t xml:space="preserve">18.032.000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kWh di energia risparmiata e </w:t>
      </w:r>
      <w:r w:rsidR="007B12CF">
        <w:rPr>
          <w:rFonts w:ascii="Arial" w:hAnsi="Arial" w:cs="Arial"/>
          <w:color w:val="4E4E4E"/>
          <w:sz w:val="20"/>
          <w:szCs w:val="20"/>
          <w:lang w:eastAsia="it-IT"/>
        </w:rPr>
        <w:t xml:space="preserve">164.460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 xml:space="preserve"> </w:t>
      </w:r>
    </w:p>
    <w:p w:rsidR="007B12CF" w:rsidRPr="00A804FA" w:rsidRDefault="007B12CF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Veneto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7.786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RAEE gestiti (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3.423 tonnellate di R1, 4.270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>
        <w:rPr>
          <w:rFonts w:ascii="Arial" w:hAnsi="Arial" w:cs="Arial"/>
          <w:color w:val="4E4E4E"/>
          <w:sz w:val="20"/>
          <w:szCs w:val="20"/>
          <w:lang w:eastAsia="it-IT"/>
        </w:rPr>
        <w:t>, 14 tonnellate di R3 e 79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), pari a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 8.840.000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kWh di energia risparmiata e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 85.930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7B12CF" w:rsidRPr="008D2C5E" w:rsidRDefault="007B12CF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Emilia Romagna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7.653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RAEE gestiti (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3.086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4.488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>, 18 tonnellate di R3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 e 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>61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8.365.000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kWh di energia risparmiata e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 77.590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Toscana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7.250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RAEE gestiti (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2.694 </w:t>
      </w:r>
      <w:r w:rsidR="00E3506F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4.487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E3506F">
        <w:rPr>
          <w:rFonts w:ascii="Arial" w:hAnsi="Arial" w:cs="Arial"/>
          <w:color w:val="4E4E4E"/>
          <w:sz w:val="20"/>
          <w:szCs w:val="20"/>
          <w:lang w:eastAsia="it-IT"/>
        </w:rPr>
        <w:t xml:space="preserve"> e  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69 </w:t>
      </w:r>
      <w:r w:rsidR="00E3506F">
        <w:rPr>
          <w:rFonts w:ascii="Arial" w:hAnsi="Arial" w:cs="Arial"/>
          <w:color w:val="4E4E4E"/>
          <w:sz w:val="20"/>
          <w:szCs w:val="20"/>
          <w:lang w:eastAsia="it-IT"/>
        </w:rPr>
        <w:t>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), pari a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 7.677.000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kWh di energia risparmiata e </w:t>
      </w:r>
      <w:r w:rsidR="00B970E5">
        <w:rPr>
          <w:rFonts w:ascii="Arial" w:hAnsi="Arial" w:cs="Arial"/>
          <w:color w:val="4E4E4E"/>
          <w:sz w:val="20"/>
          <w:szCs w:val="20"/>
          <w:lang w:eastAsia="it-IT"/>
        </w:rPr>
        <w:t xml:space="preserve">67.770 </w:t>
      </w:r>
      <w:r w:rsidRPr="00BE7930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BE7930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691F93">
        <w:rPr>
          <w:rFonts w:ascii="Arial" w:hAnsi="Arial" w:cs="Arial"/>
          <w:b/>
          <w:sz w:val="20"/>
          <w:szCs w:val="20"/>
          <w:lang w:eastAsia="it-IT"/>
        </w:rPr>
        <w:t>P</w:t>
      </w: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iemonte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: con</w:t>
      </w:r>
      <w:r w:rsidR="00691F93">
        <w:rPr>
          <w:rFonts w:ascii="Arial" w:hAnsi="Arial" w:cs="Arial"/>
          <w:color w:val="4E4E4E"/>
          <w:sz w:val="20"/>
          <w:szCs w:val="20"/>
          <w:lang w:eastAsia="it-IT"/>
        </w:rPr>
        <w:t xml:space="preserve"> 6.844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 w:rsidR="00691F93">
        <w:rPr>
          <w:rFonts w:ascii="Arial" w:hAnsi="Arial" w:cs="Arial"/>
          <w:color w:val="4E4E4E"/>
          <w:sz w:val="20"/>
          <w:szCs w:val="20"/>
          <w:lang w:eastAsia="it-IT"/>
        </w:rPr>
        <w:t xml:space="preserve">3.061 </w:t>
      </w:r>
      <w:r w:rsidR="00BF0505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691F93">
        <w:rPr>
          <w:rFonts w:ascii="Arial" w:hAnsi="Arial" w:cs="Arial"/>
          <w:color w:val="4E4E4E"/>
          <w:sz w:val="20"/>
          <w:szCs w:val="20"/>
          <w:lang w:eastAsia="it-IT"/>
        </w:rPr>
        <w:t xml:space="preserve">3.746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691F93">
        <w:rPr>
          <w:rFonts w:ascii="Arial" w:hAnsi="Arial" w:cs="Arial"/>
          <w:color w:val="4E4E4E"/>
          <w:sz w:val="20"/>
          <w:szCs w:val="20"/>
          <w:lang w:eastAsia="it-IT"/>
        </w:rPr>
        <w:t>, 7 tonnellate di R3 e</w:t>
      </w:r>
      <w:r w:rsidR="00BF0505">
        <w:rPr>
          <w:rFonts w:ascii="Arial" w:hAnsi="Arial" w:cs="Arial"/>
          <w:color w:val="4E4E4E"/>
          <w:sz w:val="20"/>
          <w:szCs w:val="20"/>
          <w:lang w:eastAsia="it-IT"/>
        </w:rPr>
        <w:t xml:space="preserve"> </w:t>
      </w:r>
      <w:r w:rsidR="00691F93">
        <w:rPr>
          <w:rFonts w:ascii="Arial" w:hAnsi="Arial" w:cs="Arial"/>
          <w:color w:val="4E4E4E"/>
          <w:sz w:val="20"/>
          <w:szCs w:val="20"/>
          <w:lang w:eastAsia="it-IT"/>
        </w:rPr>
        <w:t xml:space="preserve">30 </w:t>
      </w:r>
      <w:r w:rsidR="00BF0505">
        <w:rPr>
          <w:rFonts w:ascii="Arial" w:hAnsi="Arial" w:cs="Arial"/>
          <w:color w:val="4E4E4E"/>
          <w:sz w:val="20"/>
          <w:szCs w:val="20"/>
          <w:lang w:eastAsia="it-IT"/>
        </w:rPr>
        <w:t>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 w:rsidR="00691F93">
        <w:rPr>
          <w:rFonts w:ascii="Arial" w:hAnsi="Arial" w:cs="Arial"/>
          <w:color w:val="4E4E4E"/>
          <w:sz w:val="20"/>
          <w:szCs w:val="20"/>
          <w:lang w:eastAsia="it-IT"/>
        </w:rPr>
        <w:t xml:space="preserve">7.758.000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kWh di energia risparmiata e </w:t>
      </w:r>
      <w:r w:rsidR="00691F93">
        <w:rPr>
          <w:rFonts w:ascii="Arial" w:hAnsi="Arial" w:cs="Arial"/>
          <w:color w:val="4E4E4E"/>
          <w:sz w:val="20"/>
          <w:szCs w:val="20"/>
          <w:lang w:eastAsia="it-IT"/>
        </w:rPr>
        <w:t xml:space="preserve">76.700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B045F7" w:rsidRPr="003E35BD" w:rsidRDefault="00B045F7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Lazio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4.909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RAEE gestiti (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1.976 tonnellate di R1, 2.890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>
        <w:rPr>
          <w:rFonts w:ascii="Arial" w:hAnsi="Arial" w:cs="Arial"/>
          <w:color w:val="4E4E4E"/>
          <w:sz w:val="20"/>
          <w:szCs w:val="20"/>
          <w:lang w:eastAsia="it-IT"/>
        </w:rPr>
        <w:t>, 9 tonnellate di R3 e 34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5.350.000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kWh di energia risparmiata e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49.670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Pr="008D2C5E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Campania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 w:rsidR="00F33FE7">
        <w:rPr>
          <w:rFonts w:ascii="Arial" w:hAnsi="Arial" w:cs="Arial"/>
          <w:color w:val="4E4E4E"/>
          <w:sz w:val="20"/>
          <w:szCs w:val="20"/>
          <w:lang w:eastAsia="it-IT"/>
        </w:rPr>
        <w:t xml:space="preserve">3.593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RAEE gestiti (</w:t>
      </w:r>
      <w:r w:rsidR="00F33FE7">
        <w:rPr>
          <w:rFonts w:ascii="Arial" w:hAnsi="Arial" w:cs="Arial"/>
          <w:color w:val="4E4E4E"/>
          <w:sz w:val="20"/>
          <w:szCs w:val="20"/>
          <w:lang w:eastAsia="it-IT"/>
        </w:rPr>
        <w:t xml:space="preserve">2.796 </w:t>
      </w:r>
      <w:r w:rsidR="00BF0505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F33FE7">
        <w:rPr>
          <w:rFonts w:ascii="Arial" w:hAnsi="Arial" w:cs="Arial"/>
          <w:color w:val="4E4E4E"/>
          <w:sz w:val="20"/>
          <w:szCs w:val="20"/>
          <w:lang w:eastAsia="it-IT"/>
        </w:rPr>
        <w:t xml:space="preserve">779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F33FE7">
        <w:rPr>
          <w:rFonts w:ascii="Arial" w:hAnsi="Arial" w:cs="Arial"/>
          <w:color w:val="4E4E4E"/>
          <w:sz w:val="20"/>
          <w:szCs w:val="20"/>
          <w:lang w:eastAsia="it-IT"/>
        </w:rPr>
        <w:t>, 7 tonnellate di R3</w:t>
      </w:r>
      <w:r w:rsidR="00BF0505">
        <w:rPr>
          <w:rFonts w:ascii="Arial" w:hAnsi="Arial" w:cs="Arial"/>
          <w:color w:val="4E4E4E"/>
          <w:sz w:val="20"/>
          <w:szCs w:val="20"/>
          <w:lang w:eastAsia="it-IT"/>
        </w:rPr>
        <w:t xml:space="preserve"> e </w:t>
      </w:r>
      <w:r w:rsidR="00F33FE7">
        <w:rPr>
          <w:rFonts w:ascii="Arial" w:hAnsi="Arial" w:cs="Arial"/>
          <w:color w:val="4E4E4E"/>
          <w:sz w:val="20"/>
          <w:szCs w:val="20"/>
          <w:lang w:eastAsia="it-IT"/>
        </w:rPr>
        <w:t>11</w:t>
      </w:r>
      <w:r w:rsidR="00BF0505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 w:rsidR="00F33FE7">
        <w:rPr>
          <w:rFonts w:ascii="Arial" w:hAnsi="Arial" w:cs="Arial"/>
          <w:color w:val="4E4E4E"/>
          <w:sz w:val="20"/>
          <w:szCs w:val="20"/>
          <w:lang w:eastAsia="it-IT"/>
        </w:rPr>
        <w:t xml:space="preserve">5.352.000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kWh di energia risparmiata e </w:t>
      </w:r>
      <w:r w:rsidR="00F33FE7">
        <w:rPr>
          <w:rFonts w:ascii="Arial" w:hAnsi="Arial" w:cs="Arial"/>
          <w:color w:val="4E4E4E"/>
          <w:sz w:val="20"/>
          <w:szCs w:val="20"/>
          <w:lang w:eastAsia="it-IT"/>
        </w:rPr>
        <w:t xml:space="preserve">69.730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Sicilia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 w:rsidR="00EB04C1">
        <w:rPr>
          <w:rFonts w:ascii="Arial" w:hAnsi="Arial" w:cs="Arial"/>
          <w:color w:val="4E4E4E"/>
          <w:sz w:val="20"/>
          <w:szCs w:val="20"/>
          <w:lang w:eastAsia="it-IT"/>
        </w:rPr>
        <w:t>3.592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 w:rsidR="00EB04C1">
        <w:rPr>
          <w:rFonts w:ascii="Arial" w:hAnsi="Arial" w:cs="Arial"/>
          <w:color w:val="4E4E4E"/>
          <w:sz w:val="20"/>
          <w:szCs w:val="20"/>
          <w:lang w:eastAsia="it-IT"/>
        </w:rPr>
        <w:t xml:space="preserve">1.918 </w:t>
      </w:r>
      <w:r w:rsidR="008E5EB7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EB04C1">
        <w:rPr>
          <w:rFonts w:ascii="Arial" w:hAnsi="Arial" w:cs="Arial"/>
          <w:color w:val="4E4E4E"/>
          <w:sz w:val="20"/>
          <w:szCs w:val="20"/>
          <w:lang w:eastAsia="it-IT"/>
        </w:rPr>
        <w:t xml:space="preserve">1.674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R2), pari a </w:t>
      </w:r>
      <w:r w:rsidR="00EB04C1">
        <w:rPr>
          <w:rFonts w:ascii="Arial" w:hAnsi="Arial" w:cs="Arial"/>
          <w:color w:val="4E4E4E"/>
          <w:sz w:val="20"/>
          <w:szCs w:val="20"/>
          <w:lang w:eastAsia="it-IT"/>
        </w:rPr>
        <w:t xml:space="preserve">4.390.000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kWh di energia risparmiata e </w:t>
      </w:r>
      <w:r w:rsidR="00EB04C1">
        <w:rPr>
          <w:rFonts w:ascii="Arial" w:hAnsi="Arial" w:cs="Arial"/>
          <w:color w:val="4E4E4E"/>
          <w:sz w:val="20"/>
          <w:szCs w:val="20"/>
          <w:lang w:eastAsia="it-IT"/>
        </w:rPr>
        <w:t>48.050</w:t>
      </w:r>
      <w:r w:rsidR="00283375">
        <w:rPr>
          <w:rFonts w:ascii="Arial" w:hAnsi="Arial" w:cs="Arial"/>
          <w:color w:val="4E4E4E"/>
          <w:sz w:val="20"/>
          <w:szCs w:val="20"/>
          <w:lang w:eastAsia="it-IT"/>
        </w:rPr>
        <w:t xml:space="preserve">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Pr="003E35BD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Sardegna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 w:rsidR="00656095">
        <w:rPr>
          <w:rFonts w:ascii="Arial" w:hAnsi="Arial" w:cs="Arial"/>
          <w:color w:val="4E4E4E"/>
          <w:sz w:val="20"/>
          <w:szCs w:val="20"/>
          <w:lang w:eastAsia="it-IT"/>
        </w:rPr>
        <w:t xml:space="preserve">3.430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RAEE gestiti (</w:t>
      </w:r>
      <w:r w:rsidR="00656095">
        <w:rPr>
          <w:rFonts w:ascii="Arial" w:hAnsi="Arial" w:cs="Arial"/>
          <w:color w:val="4E4E4E"/>
          <w:sz w:val="20"/>
          <w:szCs w:val="20"/>
          <w:lang w:eastAsia="it-IT"/>
        </w:rPr>
        <w:t xml:space="preserve">1.362 </w:t>
      </w:r>
      <w:r w:rsidR="008E5EB7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656095">
        <w:rPr>
          <w:rFonts w:ascii="Arial" w:hAnsi="Arial" w:cs="Arial"/>
          <w:color w:val="4E4E4E"/>
          <w:sz w:val="20"/>
          <w:szCs w:val="20"/>
          <w:lang w:eastAsia="it-IT"/>
        </w:rPr>
        <w:t xml:space="preserve">2.047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656095">
        <w:rPr>
          <w:rFonts w:ascii="Arial" w:hAnsi="Arial" w:cs="Arial"/>
          <w:color w:val="4E4E4E"/>
          <w:sz w:val="20"/>
          <w:szCs w:val="20"/>
          <w:lang w:eastAsia="it-IT"/>
        </w:rPr>
        <w:t>, 2 tonnel</w:t>
      </w:r>
      <w:r w:rsidR="00B66A9B">
        <w:rPr>
          <w:rFonts w:ascii="Arial" w:hAnsi="Arial" w:cs="Arial"/>
          <w:color w:val="4E4E4E"/>
          <w:sz w:val="20"/>
          <w:szCs w:val="20"/>
          <w:lang w:eastAsia="it-IT"/>
        </w:rPr>
        <w:t>l</w:t>
      </w:r>
      <w:r w:rsidR="00656095">
        <w:rPr>
          <w:rFonts w:ascii="Arial" w:hAnsi="Arial" w:cs="Arial"/>
          <w:color w:val="4E4E4E"/>
          <w:sz w:val="20"/>
          <w:szCs w:val="20"/>
          <w:lang w:eastAsia="it-IT"/>
        </w:rPr>
        <w:t>ate di R3</w:t>
      </w:r>
      <w:r w:rsidR="008E5EB7">
        <w:rPr>
          <w:rFonts w:ascii="Arial" w:hAnsi="Arial" w:cs="Arial"/>
          <w:color w:val="4E4E4E"/>
          <w:sz w:val="20"/>
          <w:szCs w:val="20"/>
          <w:lang w:eastAsia="it-IT"/>
        </w:rPr>
        <w:t xml:space="preserve"> e </w:t>
      </w:r>
      <w:r w:rsidR="00656095">
        <w:rPr>
          <w:rFonts w:ascii="Arial" w:hAnsi="Arial" w:cs="Arial"/>
          <w:color w:val="4E4E4E"/>
          <w:sz w:val="20"/>
          <w:szCs w:val="20"/>
          <w:lang w:eastAsia="it-IT"/>
        </w:rPr>
        <w:t>19</w:t>
      </w:r>
      <w:r w:rsidR="008E5EB7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 w:rsidR="00656095">
        <w:rPr>
          <w:rFonts w:ascii="Arial" w:hAnsi="Arial" w:cs="Arial"/>
          <w:color w:val="4E4E4E"/>
          <w:sz w:val="20"/>
          <w:szCs w:val="20"/>
          <w:lang w:eastAsia="it-IT"/>
        </w:rPr>
        <w:t xml:space="preserve">3.711.000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kWh di energia risparmiata e </w:t>
      </w:r>
      <w:r w:rsidR="00656095">
        <w:rPr>
          <w:rFonts w:ascii="Arial" w:hAnsi="Arial" w:cs="Arial"/>
          <w:color w:val="4E4E4E"/>
          <w:sz w:val="20"/>
          <w:szCs w:val="20"/>
          <w:lang w:eastAsia="it-IT"/>
        </w:rPr>
        <w:t xml:space="preserve">34.200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Pr="008D2C5E" w:rsidRDefault="0056416B" w:rsidP="008554C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Liguria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: con</w:t>
      </w:r>
      <w:r w:rsidR="00026ED6">
        <w:rPr>
          <w:rFonts w:ascii="Arial" w:hAnsi="Arial" w:cs="Arial"/>
          <w:color w:val="4E4E4E"/>
          <w:sz w:val="20"/>
          <w:szCs w:val="20"/>
          <w:lang w:eastAsia="it-IT"/>
        </w:rPr>
        <w:t xml:space="preserve"> 3.368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 w:rsidR="00026ED6">
        <w:rPr>
          <w:rFonts w:ascii="Arial" w:hAnsi="Arial" w:cs="Arial"/>
          <w:color w:val="4E4E4E"/>
          <w:sz w:val="20"/>
          <w:szCs w:val="20"/>
          <w:lang w:eastAsia="it-IT"/>
        </w:rPr>
        <w:t xml:space="preserve">1.359 </w:t>
      </w:r>
      <w:r w:rsidR="008E5EB7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026ED6">
        <w:rPr>
          <w:rFonts w:ascii="Arial" w:hAnsi="Arial" w:cs="Arial"/>
          <w:color w:val="4E4E4E"/>
          <w:sz w:val="20"/>
          <w:szCs w:val="20"/>
          <w:lang w:eastAsia="it-IT"/>
        </w:rPr>
        <w:t xml:space="preserve">1.994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026ED6">
        <w:rPr>
          <w:rFonts w:ascii="Arial" w:hAnsi="Arial" w:cs="Arial"/>
          <w:color w:val="4E4E4E"/>
          <w:sz w:val="20"/>
          <w:szCs w:val="20"/>
          <w:lang w:eastAsia="it-IT"/>
        </w:rPr>
        <w:t xml:space="preserve"> e</w:t>
      </w:r>
      <w:r w:rsidR="008E5EB7">
        <w:rPr>
          <w:rFonts w:ascii="Arial" w:hAnsi="Arial" w:cs="Arial"/>
          <w:color w:val="4E4E4E"/>
          <w:sz w:val="20"/>
          <w:szCs w:val="20"/>
          <w:lang w:eastAsia="it-IT"/>
        </w:rPr>
        <w:t xml:space="preserve"> </w:t>
      </w:r>
      <w:r w:rsidR="00026ED6">
        <w:rPr>
          <w:rFonts w:ascii="Arial" w:hAnsi="Arial" w:cs="Arial"/>
          <w:color w:val="4E4E4E"/>
          <w:sz w:val="20"/>
          <w:szCs w:val="20"/>
          <w:lang w:eastAsia="it-IT"/>
        </w:rPr>
        <w:t xml:space="preserve">15 </w:t>
      </w:r>
      <w:r w:rsidR="008E5EB7">
        <w:rPr>
          <w:rFonts w:ascii="Arial" w:hAnsi="Arial" w:cs="Arial"/>
          <w:color w:val="4E4E4E"/>
          <w:sz w:val="20"/>
          <w:szCs w:val="20"/>
          <w:lang w:eastAsia="it-IT"/>
        </w:rPr>
        <w:t>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 w:rsidR="00026ED6">
        <w:rPr>
          <w:rFonts w:ascii="Arial" w:hAnsi="Arial" w:cs="Arial"/>
          <w:color w:val="4E4E4E"/>
          <w:sz w:val="20"/>
          <w:szCs w:val="20"/>
          <w:lang w:eastAsia="it-IT"/>
        </w:rPr>
        <w:t xml:space="preserve">3.666.000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kWh di energia risparmiata e </w:t>
      </w:r>
      <w:r w:rsidR="00026ED6">
        <w:rPr>
          <w:rFonts w:ascii="Arial" w:hAnsi="Arial" w:cs="Arial"/>
          <w:color w:val="4E4E4E"/>
          <w:sz w:val="20"/>
          <w:szCs w:val="20"/>
          <w:lang w:eastAsia="it-IT"/>
        </w:rPr>
        <w:t xml:space="preserve">34.070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Pr="001B7064" w:rsidRDefault="0056416B" w:rsidP="0056416B">
      <w:pPr>
        <w:pStyle w:val="Paragrafoelenco"/>
        <w:jc w:val="both"/>
        <w:rPr>
          <w:sz w:val="16"/>
          <w:szCs w:val="16"/>
          <w:lang w:eastAsia="it-IT"/>
        </w:rPr>
      </w:pPr>
    </w:p>
    <w:p w:rsidR="00AA59BC" w:rsidRDefault="00AA59BC" w:rsidP="008554C3">
      <w:pPr>
        <w:pStyle w:val="Paragrafoelenco"/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 xml:space="preserve">Puglia: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con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 2.291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1.589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 e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>702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R2), pari a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3.192.000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kWh di energia risparmiata e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 39.670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Pr="008D2C5E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Trentino Alto Adige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 w:rsidR="001B3B87">
        <w:rPr>
          <w:rFonts w:ascii="Arial" w:hAnsi="Arial" w:cs="Arial"/>
          <w:color w:val="4E4E4E"/>
          <w:sz w:val="20"/>
          <w:szCs w:val="20"/>
          <w:lang w:eastAsia="it-IT"/>
        </w:rPr>
        <w:t xml:space="preserve">2.076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RAEE gestiti (</w:t>
      </w:r>
      <w:r w:rsidR="001B3B87">
        <w:rPr>
          <w:rFonts w:ascii="Arial" w:hAnsi="Arial" w:cs="Arial"/>
          <w:color w:val="4E4E4E"/>
          <w:sz w:val="20"/>
          <w:szCs w:val="20"/>
          <w:lang w:eastAsia="it-IT"/>
        </w:rPr>
        <w:t xml:space="preserve">608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</w:t>
      </w:r>
      <w:r w:rsidR="008E5EB7">
        <w:rPr>
          <w:rFonts w:ascii="Arial" w:hAnsi="Arial" w:cs="Arial"/>
          <w:color w:val="4E4E4E"/>
          <w:sz w:val="20"/>
          <w:szCs w:val="20"/>
          <w:lang w:eastAsia="it-IT"/>
        </w:rPr>
        <w:t xml:space="preserve">R1, </w:t>
      </w:r>
      <w:r w:rsidR="001B3B87">
        <w:rPr>
          <w:rFonts w:ascii="Arial" w:hAnsi="Arial" w:cs="Arial"/>
          <w:color w:val="4E4E4E"/>
          <w:sz w:val="20"/>
          <w:szCs w:val="20"/>
          <w:lang w:eastAsia="it-IT"/>
        </w:rPr>
        <w:t xml:space="preserve">1.451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1B3B87">
        <w:rPr>
          <w:rFonts w:ascii="Arial" w:hAnsi="Arial" w:cs="Arial"/>
          <w:color w:val="4E4E4E"/>
          <w:sz w:val="20"/>
          <w:szCs w:val="20"/>
          <w:lang w:eastAsia="it-IT"/>
        </w:rPr>
        <w:t>, 4 tonnellate di R3</w:t>
      </w:r>
      <w:r w:rsidR="008E5EB7">
        <w:rPr>
          <w:rFonts w:ascii="Arial" w:hAnsi="Arial" w:cs="Arial"/>
          <w:color w:val="4E4E4E"/>
          <w:sz w:val="20"/>
          <w:szCs w:val="20"/>
          <w:lang w:eastAsia="it-IT"/>
        </w:rPr>
        <w:t xml:space="preserve"> e </w:t>
      </w:r>
      <w:r w:rsidR="001B3B87">
        <w:rPr>
          <w:rFonts w:ascii="Arial" w:hAnsi="Arial" w:cs="Arial"/>
          <w:color w:val="4E4E4E"/>
          <w:sz w:val="20"/>
          <w:szCs w:val="20"/>
          <w:lang w:eastAsia="it-IT"/>
        </w:rPr>
        <w:t>13</w:t>
      </w:r>
      <w:r w:rsidR="008E5EB7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 w:rsidR="001B3B87">
        <w:rPr>
          <w:rFonts w:ascii="Arial" w:hAnsi="Arial" w:cs="Arial"/>
          <w:color w:val="4E4E4E"/>
          <w:sz w:val="20"/>
          <w:szCs w:val="20"/>
          <w:lang w:eastAsia="it-IT"/>
        </w:rPr>
        <w:t xml:space="preserve">2.020.000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kWh di energia risparmiata e</w:t>
      </w:r>
      <w:r w:rsidR="001B3B87">
        <w:rPr>
          <w:rFonts w:ascii="Arial" w:hAnsi="Arial" w:cs="Arial"/>
          <w:color w:val="4E4E4E"/>
          <w:sz w:val="20"/>
          <w:szCs w:val="20"/>
          <w:lang w:eastAsia="it-IT"/>
        </w:rPr>
        <w:t xml:space="preserve"> 15.450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Marche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 w:rsidR="002F031A">
        <w:rPr>
          <w:rFonts w:ascii="Arial" w:hAnsi="Arial" w:cs="Arial"/>
          <w:color w:val="4E4E4E"/>
          <w:sz w:val="20"/>
          <w:szCs w:val="20"/>
          <w:lang w:eastAsia="it-IT"/>
        </w:rPr>
        <w:t xml:space="preserve">1.905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RAEE gestiti (</w:t>
      </w:r>
      <w:r w:rsidR="002F031A">
        <w:rPr>
          <w:rFonts w:ascii="Arial" w:hAnsi="Arial" w:cs="Arial"/>
          <w:color w:val="4E4E4E"/>
          <w:sz w:val="20"/>
          <w:szCs w:val="20"/>
          <w:lang w:eastAsia="it-IT"/>
        </w:rPr>
        <w:t xml:space="preserve">922 </w:t>
      </w:r>
      <w:r w:rsidR="00F716E6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2F031A">
        <w:rPr>
          <w:rFonts w:ascii="Arial" w:hAnsi="Arial" w:cs="Arial"/>
          <w:color w:val="4E4E4E"/>
          <w:sz w:val="20"/>
          <w:szCs w:val="20"/>
          <w:lang w:eastAsia="it-IT"/>
        </w:rPr>
        <w:t xml:space="preserve">974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F716E6">
        <w:rPr>
          <w:rFonts w:ascii="Arial" w:hAnsi="Arial" w:cs="Arial"/>
          <w:color w:val="4E4E4E"/>
          <w:sz w:val="20"/>
          <w:szCs w:val="20"/>
          <w:lang w:eastAsia="it-IT"/>
        </w:rPr>
        <w:t xml:space="preserve"> e </w:t>
      </w:r>
      <w:r w:rsidR="002F031A">
        <w:rPr>
          <w:rFonts w:ascii="Arial" w:hAnsi="Arial" w:cs="Arial"/>
          <w:color w:val="4E4E4E"/>
          <w:sz w:val="20"/>
          <w:szCs w:val="20"/>
          <w:lang w:eastAsia="it-IT"/>
        </w:rPr>
        <w:t>9</w:t>
      </w:r>
      <w:r w:rsidR="00F716E6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 w:rsidR="002F031A">
        <w:rPr>
          <w:rFonts w:ascii="Arial" w:hAnsi="Arial" w:cs="Arial"/>
          <w:color w:val="4E4E4E"/>
          <w:sz w:val="20"/>
          <w:szCs w:val="20"/>
          <w:lang w:eastAsia="it-IT"/>
        </w:rPr>
        <w:t xml:space="preserve">2.239.000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kWh di energia risparmiata e </w:t>
      </w:r>
      <w:r w:rsidR="002F031A">
        <w:rPr>
          <w:rFonts w:ascii="Arial" w:hAnsi="Arial" w:cs="Arial"/>
          <w:color w:val="4E4E4E"/>
          <w:sz w:val="20"/>
          <w:szCs w:val="20"/>
          <w:lang w:eastAsia="it-IT"/>
        </w:rPr>
        <w:t xml:space="preserve">23.030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02285A" w:rsidRDefault="0002285A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lastRenderedPageBreak/>
        <w:t>Calabria: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con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>1.843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>
        <w:rPr>
          <w:rFonts w:ascii="Arial" w:hAnsi="Arial" w:cs="Arial"/>
          <w:color w:val="4E4E4E"/>
          <w:sz w:val="20"/>
          <w:szCs w:val="20"/>
          <w:lang w:eastAsia="it-IT"/>
        </w:rPr>
        <w:t>894 tonnellate di R1, 944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 tonnellate di R2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 e 5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2.161.000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kWh di energia risparmiata e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 22.470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Pr="006E3250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Friuli- Venezia Giulia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: con</w:t>
      </w:r>
      <w:r w:rsidR="001F1699">
        <w:rPr>
          <w:rFonts w:ascii="Arial" w:hAnsi="Arial" w:cs="Arial"/>
          <w:color w:val="4E4E4E"/>
          <w:sz w:val="20"/>
          <w:szCs w:val="20"/>
          <w:lang w:eastAsia="it-IT"/>
        </w:rPr>
        <w:t xml:space="preserve"> 1.744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 w:rsidR="001F1699">
        <w:rPr>
          <w:rFonts w:ascii="Arial" w:hAnsi="Arial" w:cs="Arial"/>
          <w:color w:val="4E4E4E"/>
          <w:sz w:val="20"/>
          <w:szCs w:val="20"/>
          <w:lang w:eastAsia="it-IT"/>
        </w:rPr>
        <w:t xml:space="preserve">581 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1F1699">
        <w:rPr>
          <w:rFonts w:ascii="Arial" w:hAnsi="Arial" w:cs="Arial"/>
          <w:color w:val="4E4E4E"/>
          <w:sz w:val="20"/>
          <w:szCs w:val="20"/>
          <w:lang w:eastAsia="it-IT"/>
        </w:rPr>
        <w:t xml:space="preserve">1.131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 xml:space="preserve"> e  </w:t>
      </w:r>
      <w:r w:rsidR="001F1699">
        <w:rPr>
          <w:rFonts w:ascii="Arial" w:hAnsi="Arial" w:cs="Arial"/>
          <w:color w:val="4E4E4E"/>
          <w:sz w:val="20"/>
          <w:szCs w:val="20"/>
          <w:lang w:eastAsia="it-IT"/>
        </w:rPr>
        <w:t xml:space="preserve">32 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>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), pari a</w:t>
      </w:r>
      <w:r w:rsidR="001F1699">
        <w:rPr>
          <w:rFonts w:ascii="Arial" w:hAnsi="Arial" w:cs="Arial"/>
          <w:color w:val="4E4E4E"/>
          <w:sz w:val="20"/>
          <w:szCs w:val="20"/>
          <w:lang w:eastAsia="it-IT"/>
        </w:rPr>
        <w:t xml:space="preserve"> 1.790.000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kWh di energia risparmiata e </w:t>
      </w:r>
      <w:r w:rsidR="001F1699">
        <w:rPr>
          <w:rFonts w:ascii="Arial" w:hAnsi="Arial" w:cs="Arial"/>
          <w:color w:val="4E4E4E"/>
          <w:sz w:val="20"/>
          <w:szCs w:val="20"/>
          <w:lang w:eastAsia="it-IT"/>
        </w:rPr>
        <w:t xml:space="preserve">14.460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4272E3" w:rsidRPr="008D2C5E" w:rsidRDefault="004272E3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Abruzzo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: con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 1.279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769 tonnellate di R1, 493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>
        <w:rPr>
          <w:rFonts w:ascii="Arial" w:hAnsi="Arial" w:cs="Arial"/>
          <w:color w:val="4E4E4E"/>
          <w:sz w:val="20"/>
          <w:szCs w:val="20"/>
          <w:lang w:eastAsia="it-IT"/>
        </w:rPr>
        <w:t>, 3 tonnellate di R3 e 14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1.683.000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kWh di energia risparmiata e </w:t>
      </w:r>
      <w:r>
        <w:rPr>
          <w:rFonts w:ascii="Arial" w:hAnsi="Arial" w:cs="Arial"/>
          <w:color w:val="4E4E4E"/>
          <w:sz w:val="20"/>
          <w:szCs w:val="20"/>
          <w:lang w:eastAsia="it-IT"/>
        </w:rPr>
        <w:t xml:space="preserve">19.200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Umbria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: con</w:t>
      </w:r>
      <w:r w:rsidR="00083AE5">
        <w:rPr>
          <w:rFonts w:ascii="Arial" w:hAnsi="Arial" w:cs="Arial"/>
          <w:color w:val="4E4E4E"/>
          <w:sz w:val="20"/>
          <w:szCs w:val="20"/>
          <w:lang w:eastAsia="it-IT"/>
        </w:rPr>
        <w:t xml:space="preserve"> 1.242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 w:rsidR="00083AE5">
        <w:rPr>
          <w:rFonts w:ascii="Arial" w:hAnsi="Arial" w:cs="Arial"/>
          <w:color w:val="4E4E4E"/>
          <w:sz w:val="20"/>
          <w:szCs w:val="20"/>
          <w:lang w:eastAsia="it-IT"/>
        </w:rPr>
        <w:t>683 tonnellate di R1 e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 xml:space="preserve"> </w:t>
      </w:r>
      <w:r w:rsidR="00083AE5">
        <w:rPr>
          <w:rFonts w:ascii="Arial" w:hAnsi="Arial" w:cs="Arial"/>
          <w:color w:val="4E4E4E"/>
          <w:sz w:val="20"/>
          <w:szCs w:val="20"/>
          <w:lang w:eastAsia="it-IT"/>
        </w:rPr>
        <w:t>5</w:t>
      </w:r>
      <w:r w:rsidR="00B66A9B">
        <w:rPr>
          <w:rFonts w:ascii="Arial" w:hAnsi="Arial" w:cs="Arial"/>
          <w:color w:val="4E4E4E"/>
          <w:sz w:val="20"/>
          <w:szCs w:val="20"/>
          <w:lang w:eastAsia="it-IT"/>
        </w:rPr>
        <w:t>5</w:t>
      </w:r>
      <w:r w:rsidR="00083AE5">
        <w:rPr>
          <w:rFonts w:ascii="Arial" w:hAnsi="Arial" w:cs="Arial"/>
          <w:color w:val="4E4E4E"/>
          <w:sz w:val="20"/>
          <w:szCs w:val="20"/>
          <w:lang w:eastAsia="it-IT"/>
        </w:rPr>
        <w:t xml:space="preserve">9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R2), pari a </w:t>
      </w:r>
      <w:r w:rsidR="00083AE5">
        <w:rPr>
          <w:rFonts w:ascii="Arial" w:hAnsi="Arial" w:cs="Arial"/>
          <w:color w:val="4E4E4E"/>
          <w:sz w:val="20"/>
          <w:szCs w:val="20"/>
          <w:lang w:eastAsia="it-IT"/>
        </w:rPr>
        <w:t xml:space="preserve">1.539.000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kWh di energia risparmiata e</w:t>
      </w:r>
      <w:r w:rsidR="00083AE5">
        <w:rPr>
          <w:rFonts w:ascii="Arial" w:hAnsi="Arial" w:cs="Arial"/>
          <w:color w:val="4E4E4E"/>
          <w:sz w:val="20"/>
          <w:szCs w:val="20"/>
          <w:lang w:eastAsia="it-IT"/>
        </w:rPr>
        <w:t xml:space="preserve"> 17.110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Pr="008D2C5E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Valle d’Aosta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 w:rsidR="004272E3">
        <w:rPr>
          <w:rFonts w:ascii="Arial" w:hAnsi="Arial" w:cs="Arial"/>
          <w:color w:val="4E4E4E"/>
          <w:sz w:val="20"/>
          <w:szCs w:val="20"/>
          <w:lang w:eastAsia="it-IT"/>
        </w:rPr>
        <w:t>420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 w:rsidR="004272E3">
        <w:rPr>
          <w:rFonts w:ascii="Arial" w:hAnsi="Arial" w:cs="Arial"/>
          <w:color w:val="4E4E4E"/>
          <w:sz w:val="20"/>
          <w:szCs w:val="20"/>
          <w:lang w:eastAsia="it-IT"/>
        </w:rPr>
        <w:t xml:space="preserve">96 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>tonnellate di R1,</w:t>
      </w:r>
      <w:r w:rsidR="004272E3">
        <w:rPr>
          <w:rFonts w:ascii="Arial" w:hAnsi="Arial" w:cs="Arial"/>
          <w:color w:val="4E4E4E"/>
          <w:sz w:val="20"/>
          <w:szCs w:val="20"/>
          <w:lang w:eastAsia="it-IT"/>
        </w:rPr>
        <w:t xml:space="preserve"> 314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 xml:space="preserve">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 xml:space="preserve"> e</w:t>
      </w:r>
      <w:r w:rsidR="004272E3">
        <w:rPr>
          <w:rFonts w:ascii="Arial" w:hAnsi="Arial" w:cs="Arial"/>
          <w:color w:val="4E4E4E"/>
          <w:sz w:val="20"/>
          <w:szCs w:val="20"/>
          <w:lang w:eastAsia="it-IT"/>
        </w:rPr>
        <w:t xml:space="preserve"> 10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 xml:space="preserve">  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 w:rsidR="004272E3">
        <w:rPr>
          <w:rFonts w:ascii="Arial" w:hAnsi="Arial" w:cs="Arial"/>
          <w:color w:val="4E4E4E"/>
          <w:sz w:val="20"/>
          <w:szCs w:val="20"/>
          <w:lang w:eastAsia="it-IT"/>
        </w:rPr>
        <w:t>393.000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kWh energia risparmiata e </w:t>
      </w:r>
      <w:r w:rsidR="004272E3">
        <w:rPr>
          <w:rFonts w:ascii="Arial" w:hAnsi="Arial" w:cs="Arial"/>
          <w:color w:val="4E4E4E"/>
          <w:sz w:val="20"/>
          <w:szCs w:val="20"/>
          <w:lang w:eastAsia="it-IT"/>
        </w:rPr>
        <w:t xml:space="preserve">2.400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Pr="008D2C5E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Basilicata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>357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 xml:space="preserve">305 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 xml:space="preserve">tonnellate di R1, 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 xml:space="preserve">37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R2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>, 3 tonnellate di R3 e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 xml:space="preserve"> 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 xml:space="preserve">12 </w:t>
      </w:r>
      <w:r w:rsidR="00252ED0">
        <w:rPr>
          <w:rFonts w:ascii="Arial" w:hAnsi="Arial" w:cs="Arial"/>
          <w:color w:val="4E4E4E"/>
          <w:sz w:val="20"/>
          <w:szCs w:val="20"/>
          <w:lang w:eastAsia="it-IT"/>
        </w:rPr>
        <w:t>tonnellate di R4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), pari a 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 xml:space="preserve">581.000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kWh di energia risparmiata e 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 xml:space="preserve">7.650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nell’atmosfera;</w:t>
      </w:r>
    </w:p>
    <w:p w:rsidR="0056416B" w:rsidRDefault="0056416B" w:rsidP="008554C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  <w:r w:rsidRPr="008D2C5E">
        <w:rPr>
          <w:rFonts w:ascii="Arial" w:hAnsi="Arial" w:cs="Arial"/>
          <w:b/>
          <w:color w:val="4E4E4E"/>
          <w:sz w:val="20"/>
          <w:szCs w:val="20"/>
          <w:lang w:eastAsia="it-IT"/>
        </w:rPr>
        <w:t>Molise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: con 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>167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RAEE gestiti (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 xml:space="preserve">97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R1 e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 xml:space="preserve"> 70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tonnellate di R2), pari a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 xml:space="preserve"> 212.000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 kWh di energia risparmiata e </w:t>
      </w:r>
      <w:r w:rsidR="00243E12">
        <w:rPr>
          <w:rFonts w:ascii="Arial" w:hAnsi="Arial" w:cs="Arial"/>
          <w:color w:val="4E4E4E"/>
          <w:sz w:val="20"/>
          <w:szCs w:val="20"/>
          <w:lang w:eastAsia="it-IT"/>
        </w:rPr>
        <w:t xml:space="preserve">2.440 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>tonnellate di CO</w:t>
      </w:r>
      <w:r w:rsidRPr="00496F1C">
        <w:rPr>
          <w:rFonts w:ascii="Arial" w:hAnsi="Arial" w:cs="Arial"/>
          <w:color w:val="4E4E4E"/>
          <w:sz w:val="16"/>
          <w:szCs w:val="16"/>
          <w:lang w:eastAsia="it-IT"/>
        </w:rPr>
        <w:t>2</w:t>
      </w:r>
      <w:r w:rsidRPr="008D2C5E">
        <w:rPr>
          <w:rFonts w:ascii="Arial" w:hAnsi="Arial" w:cs="Arial"/>
          <w:color w:val="4E4E4E"/>
          <w:sz w:val="20"/>
          <w:szCs w:val="20"/>
          <w:lang w:eastAsia="it-IT"/>
        </w:rPr>
        <w:t xml:space="preserve"> non immesse nell’atmosfera.</w:t>
      </w:r>
    </w:p>
    <w:p w:rsidR="0056416B" w:rsidRPr="001001AA" w:rsidRDefault="0056416B" w:rsidP="0056416B">
      <w:pPr>
        <w:shd w:val="clear" w:color="auto" w:fill="FFFFFF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8229F9" w:rsidRDefault="008229F9" w:rsidP="0009527E">
      <w:pPr>
        <w:shd w:val="clear" w:color="auto" w:fill="FFFFFF"/>
        <w:ind w:left="709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56416B" w:rsidRDefault="0056416B" w:rsidP="008229F9">
      <w:pPr>
        <w:shd w:val="clear" w:color="auto" w:fill="FFFFFF"/>
        <w:ind w:left="709"/>
        <w:contextualSpacing/>
        <w:jc w:val="center"/>
        <w:rPr>
          <w:rFonts w:ascii="Arial" w:hAnsi="Arial" w:cs="Arial"/>
          <w:b/>
          <w:color w:val="4E4E4E"/>
          <w:sz w:val="32"/>
          <w:szCs w:val="32"/>
          <w:u w:val="single"/>
          <w:lang w:eastAsia="it-IT"/>
        </w:rPr>
      </w:pPr>
    </w:p>
    <w:sectPr w:rsidR="0056416B" w:rsidSect="006423BD">
      <w:headerReference w:type="default" r:id="rId8"/>
      <w:pgSz w:w="11906" w:h="16838" w:code="9"/>
      <w:pgMar w:top="2268" w:right="1134" w:bottom="2835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36" w:rsidRDefault="00C01136">
      <w:r>
        <w:separator/>
      </w:r>
    </w:p>
  </w:endnote>
  <w:endnote w:type="continuationSeparator" w:id="0">
    <w:p w:rsidR="00C01136" w:rsidRDefault="00C0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36" w:rsidRDefault="00C01136">
      <w:r>
        <w:separator/>
      </w:r>
    </w:p>
  </w:footnote>
  <w:footnote w:type="continuationSeparator" w:id="0">
    <w:p w:rsidR="00C01136" w:rsidRDefault="00C0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84" w:rsidRDefault="00DF5477" w:rsidP="00637E27">
    <w:pPr>
      <w:pStyle w:val="Intestazione"/>
    </w:pPr>
    <w:r>
      <w:rPr>
        <w:lang w:eastAsia="it-IT"/>
      </w:rPr>
      <w:drawing>
        <wp:inline distT="0" distB="0" distL="0" distR="0" wp14:anchorId="4E45E7DC" wp14:editId="6ADCD170">
          <wp:extent cx="1470660" cy="708660"/>
          <wp:effectExtent l="19050" t="0" r="0" b="0"/>
          <wp:docPr id="1" name="Immagine 3" descr="ECODOM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CODOM_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CCE"/>
    <w:multiLevelType w:val="hybridMultilevel"/>
    <w:tmpl w:val="26FA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F79"/>
    <w:multiLevelType w:val="multilevel"/>
    <w:tmpl w:val="B498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866196"/>
    <w:multiLevelType w:val="hybridMultilevel"/>
    <w:tmpl w:val="058AF7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D5459"/>
    <w:multiLevelType w:val="multilevel"/>
    <w:tmpl w:val="5FD2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A4D32"/>
    <w:multiLevelType w:val="hybridMultilevel"/>
    <w:tmpl w:val="C5DC38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78D4DE">
      <w:start w:val="368"/>
      <w:numFmt w:val="bullet"/>
      <w:lvlText w:val="-"/>
      <w:lvlJc w:val="left"/>
      <w:pPr>
        <w:ind w:left="1512" w:hanging="432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100C9"/>
    <w:multiLevelType w:val="hybridMultilevel"/>
    <w:tmpl w:val="BED6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027D"/>
    <w:multiLevelType w:val="hybridMultilevel"/>
    <w:tmpl w:val="962CB048"/>
    <w:lvl w:ilvl="0" w:tplc="DC58B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64391"/>
    <w:multiLevelType w:val="hybridMultilevel"/>
    <w:tmpl w:val="C5CCA254"/>
    <w:lvl w:ilvl="0" w:tplc="E0C6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E26C97"/>
    <w:multiLevelType w:val="multilevel"/>
    <w:tmpl w:val="4ED2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A21DF"/>
    <w:multiLevelType w:val="hybridMultilevel"/>
    <w:tmpl w:val="5E7E92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ienti Giorgio">
    <w15:presenceInfo w15:providerId="AD" w15:userId="S-1-5-21-1823356107-3237231822-2626189905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FE"/>
    <w:rsid w:val="000020A9"/>
    <w:rsid w:val="00006632"/>
    <w:rsid w:val="0001634F"/>
    <w:rsid w:val="00017438"/>
    <w:rsid w:val="0002285A"/>
    <w:rsid w:val="00023B91"/>
    <w:rsid w:val="00024631"/>
    <w:rsid w:val="00026ED6"/>
    <w:rsid w:val="000402A0"/>
    <w:rsid w:val="00043B85"/>
    <w:rsid w:val="0004732E"/>
    <w:rsid w:val="0005397B"/>
    <w:rsid w:val="000543F2"/>
    <w:rsid w:val="000570E9"/>
    <w:rsid w:val="00057571"/>
    <w:rsid w:val="00070F71"/>
    <w:rsid w:val="00073A60"/>
    <w:rsid w:val="00074C03"/>
    <w:rsid w:val="00074EC9"/>
    <w:rsid w:val="00081BED"/>
    <w:rsid w:val="00083AE5"/>
    <w:rsid w:val="000857F1"/>
    <w:rsid w:val="00094629"/>
    <w:rsid w:val="00094AED"/>
    <w:rsid w:val="0009527E"/>
    <w:rsid w:val="00096433"/>
    <w:rsid w:val="000A6BF0"/>
    <w:rsid w:val="000A7CE3"/>
    <w:rsid w:val="000B57F8"/>
    <w:rsid w:val="000D209D"/>
    <w:rsid w:val="000D2318"/>
    <w:rsid w:val="000D3D23"/>
    <w:rsid w:val="000D6A85"/>
    <w:rsid w:val="000F1914"/>
    <w:rsid w:val="000F713C"/>
    <w:rsid w:val="001001AA"/>
    <w:rsid w:val="00103361"/>
    <w:rsid w:val="001107B3"/>
    <w:rsid w:val="00112497"/>
    <w:rsid w:val="00113525"/>
    <w:rsid w:val="001145C7"/>
    <w:rsid w:val="00122E82"/>
    <w:rsid w:val="00122F3A"/>
    <w:rsid w:val="00126AC8"/>
    <w:rsid w:val="001420B7"/>
    <w:rsid w:val="00142749"/>
    <w:rsid w:val="00142CA4"/>
    <w:rsid w:val="001544D7"/>
    <w:rsid w:val="00171452"/>
    <w:rsid w:val="0017190B"/>
    <w:rsid w:val="0018353F"/>
    <w:rsid w:val="0019795C"/>
    <w:rsid w:val="001A5222"/>
    <w:rsid w:val="001B3B87"/>
    <w:rsid w:val="001B7064"/>
    <w:rsid w:val="001C438F"/>
    <w:rsid w:val="001C634F"/>
    <w:rsid w:val="001D4F39"/>
    <w:rsid w:val="001E05FD"/>
    <w:rsid w:val="001E2F26"/>
    <w:rsid w:val="001E6954"/>
    <w:rsid w:val="001F11C8"/>
    <w:rsid w:val="001F1699"/>
    <w:rsid w:val="001F602C"/>
    <w:rsid w:val="001F63E6"/>
    <w:rsid w:val="001F7767"/>
    <w:rsid w:val="0020683F"/>
    <w:rsid w:val="00207147"/>
    <w:rsid w:val="00214AB4"/>
    <w:rsid w:val="00222832"/>
    <w:rsid w:val="00226EFE"/>
    <w:rsid w:val="00236C72"/>
    <w:rsid w:val="00243E12"/>
    <w:rsid w:val="00250DAD"/>
    <w:rsid w:val="00252ED0"/>
    <w:rsid w:val="00253BE0"/>
    <w:rsid w:val="002564A5"/>
    <w:rsid w:val="002642A6"/>
    <w:rsid w:val="0026450B"/>
    <w:rsid w:val="00283279"/>
    <w:rsid w:val="00283375"/>
    <w:rsid w:val="002900C0"/>
    <w:rsid w:val="00290D7D"/>
    <w:rsid w:val="002910A1"/>
    <w:rsid w:val="002939E2"/>
    <w:rsid w:val="00297823"/>
    <w:rsid w:val="002A195B"/>
    <w:rsid w:val="002A1BCC"/>
    <w:rsid w:val="002A7538"/>
    <w:rsid w:val="002B09EA"/>
    <w:rsid w:val="002B34FF"/>
    <w:rsid w:val="002C34C5"/>
    <w:rsid w:val="002C39B2"/>
    <w:rsid w:val="002D1334"/>
    <w:rsid w:val="002E6ED2"/>
    <w:rsid w:val="002F031A"/>
    <w:rsid w:val="002F17EB"/>
    <w:rsid w:val="0030591A"/>
    <w:rsid w:val="00310506"/>
    <w:rsid w:val="0031232E"/>
    <w:rsid w:val="00316602"/>
    <w:rsid w:val="0031672E"/>
    <w:rsid w:val="0033010B"/>
    <w:rsid w:val="003349F2"/>
    <w:rsid w:val="003362DD"/>
    <w:rsid w:val="0036098B"/>
    <w:rsid w:val="00373586"/>
    <w:rsid w:val="0037405A"/>
    <w:rsid w:val="003838A3"/>
    <w:rsid w:val="00393B26"/>
    <w:rsid w:val="00394C0A"/>
    <w:rsid w:val="003A11E9"/>
    <w:rsid w:val="003A31AD"/>
    <w:rsid w:val="003A4470"/>
    <w:rsid w:val="003B54BC"/>
    <w:rsid w:val="003C7457"/>
    <w:rsid w:val="003D0D16"/>
    <w:rsid w:val="003D48CD"/>
    <w:rsid w:val="003E35BD"/>
    <w:rsid w:val="003E4084"/>
    <w:rsid w:val="003F0A80"/>
    <w:rsid w:val="003F58AC"/>
    <w:rsid w:val="00401A26"/>
    <w:rsid w:val="00411E6E"/>
    <w:rsid w:val="00414FFF"/>
    <w:rsid w:val="004272E3"/>
    <w:rsid w:val="004406CC"/>
    <w:rsid w:val="00440DDE"/>
    <w:rsid w:val="00450F49"/>
    <w:rsid w:val="004845E8"/>
    <w:rsid w:val="004905F4"/>
    <w:rsid w:val="00496803"/>
    <w:rsid w:val="00496F1C"/>
    <w:rsid w:val="004C353C"/>
    <w:rsid w:val="004E173C"/>
    <w:rsid w:val="005019A0"/>
    <w:rsid w:val="00506EFE"/>
    <w:rsid w:val="00513F21"/>
    <w:rsid w:val="00541E25"/>
    <w:rsid w:val="005435F9"/>
    <w:rsid w:val="0054623B"/>
    <w:rsid w:val="00550D54"/>
    <w:rsid w:val="0055261F"/>
    <w:rsid w:val="005573F5"/>
    <w:rsid w:val="005576DA"/>
    <w:rsid w:val="00560720"/>
    <w:rsid w:val="0056416B"/>
    <w:rsid w:val="00570B4A"/>
    <w:rsid w:val="0059214C"/>
    <w:rsid w:val="005A1F4A"/>
    <w:rsid w:val="005A41E7"/>
    <w:rsid w:val="005A7B92"/>
    <w:rsid w:val="005C256E"/>
    <w:rsid w:val="005C307A"/>
    <w:rsid w:val="005D086F"/>
    <w:rsid w:val="005E79F9"/>
    <w:rsid w:val="005F05D4"/>
    <w:rsid w:val="00600609"/>
    <w:rsid w:val="00623875"/>
    <w:rsid w:val="00627810"/>
    <w:rsid w:val="00637E27"/>
    <w:rsid w:val="006423BD"/>
    <w:rsid w:val="00643772"/>
    <w:rsid w:val="00651BDA"/>
    <w:rsid w:val="00656095"/>
    <w:rsid w:val="0065701B"/>
    <w:rsid w:val="0065776F"/>
    <w:rsid w:val="00657BC7"/>
    <w:rsid w:val="00666CD6"/>
    <w:rsid w:val="00667E7B"/>
    <w:rsid w:val="00670745"/>
    <w:rsid w:val="00691F93"/>
    <w:rsid w:val="006B479D"/>
    <w:rsid w:val="006B6D53"/>
    <w:rsid w:val="006D1A5E"/>
    <w:rsid w:val="006D5C86"/>
    <w:rsid w:val="006D7FF3"/>
    <w:rsid w:val="006E3250"/>
    <w:rsid w:val="006E401F"/>
    <w:rsid w:val="006F2ED6"/>
    <w:rsid w:val="007227E9"/>
    <w:rsid w:val="00731A6F"/>
    <w:rsid w:val="0073259E"/>
    <w:rsid w:val="00735FC6"/>
    <w:rsid w:val="0075012A"/>
    <w:rsid w:val="007502B1"/>
    <w:rsid w:val="007522F2"/>
    <w:rsid w:val="00763403"/>
    <w:rsid w:val="00765CA4"/>
    <w:rsid w:val="007845E9"/>
    <w:rsid w:val="007A48CD"/>
    <w:rsid w:val="007B12CF"/>
    <w:rsid w:val="007C0D99"/>
    <w:rsid w:val="007C7B43"/>
    <w:rsid w:val="007E049C"/>
    <w:rsid w:val="007E27AA"/>
    <w:rsid w:val="007F28C6"/>
    <w:rsid w:val="00803232"/>
    <w:rsid w:val="0080570D"/>
    <w:rsid w:val="0080696D"/>
    <w:rsid w:val="00806FD8"/>
    <w:rsid w:val="008229F9"/>
    <w:rsid w:val="0082518B"/>
    <w:rsid w:val="008336A3"/>
    <w:rsid w:val="00835D52"/>
    <w:rsid w:val="008554C3"/>
    <w:rsid w:val="00855F4F"/>
    <w:rsid w:val="008773F1"/>
    <w:rsid w:val="00886E56"/>
    <w:rsid w:val="008900D6"/>
    <w:rsid w:val="00895360"/>
    <w:rsid w:val="008A1DAE"/>
    <w:rsid w:val="008A5C06"/>
    <w:rsid w:val="008A5F79"/>
    <w:rsid w:val="008B0854"/>
    <w:rsid w:val="008C01E3"/>
    <w:rsid w:val="008C3702"/>
    <w:rsid w:val="008E5EB7"/>
    <w:rsid w:val="008E7930"/>
    <w:rsid w:val="008E7D2F"/>
    <w:rsid w:val="00906353"/>
    <w:rsid w:val="00906A0F"/>
    <w:rsid w:val="00923ABE"/>
    <w:rsid w:val="00940E6A"/>
    <w:rsid w:val="009619AE"/>
    <w:rsid w:val="009634B5"/>
    <w:rsid w:val="00971F42"/>
    <w:rsid w:val="00980ECE"/>
    <w:rsid w:val="00986501"/>
    <w:rsid w:val="009961AC"/>
    <w:rsid w:val="00997D21"/>
    <w:rsid w:val="009A4830"/>
    <w:rsid w:val="009B2E8D"/>
    <w:rsid w:val="009B5709"/>
    <w:rsid w:val="009C088D"/>
    <w:rsid w:val="009C171E"/>
    <w:rsid w:val="009C3EE4"/>
    <w:rsid w:val="009D1EB7"/>
    <w:rsid w:val="009E6C59"/>
    <w:rsid w:val="009F1C22"/>
    <w:rsid w:val="009F65FC"/>
    <w:rsid w:val="00A13179"/>
    <w:rsid w:val="00A149B8"/>
    <w:rsid w:val="00A267FD"/>
    <w:rsid w:val="00A27953"/>
    <w:rsid w:val="00A30955"/>
    <w:rsid w:val="00A34528"/>
    <w:rsid w:val="00A37DE3"/>
    <w:rsid w:val="00A57EDD"/>
    <w:rsid w:val="00A63E8A"/>
    <w:rsid w:val="00A65C44"/>
    <w:rsid w:val="00A67612"/>
    <w:rsid w:val="00A70097"/>
    <w:rsid w:val="00A726D4"/>
    <w:rsid w:val="00A804FA"/>
    <w:rsid w:val="00A83505"/>
    <w:rsid w:val="00A85622"/>
    <w:rsid w:val="00A96000"/>
    <w:rsid w:val="00AA34A9"/>
    <w:rsid w:val="00AA4672"/>
    <w:rsid w:val="00AA59BC"/>
    <w:rsid w:val="00AA5F3A"/>
    <w:rsid w:val="00AB2341"/>
    <w:rsid w:val="00AC38AE"/>
    <w:rsid w:val="00AD084D"/>
    <w:rsid w:val="00AD5CE3"/>
    <w:rsid w:val="00AE1115"/>
    <w:rsid w:val="00AE2A83"/>
    <w:rsid w:val="00AE36E7"/>
    <w:rsid w:val="00B045F7"/>
    <w:rsid w:val="00B30586"/>
    <w:rsid w:val="00B30614"/>
    <w:rsid w:val="00B35B01"/>
    <w:rsid w:val="00B4181C"/>
    <w:rsid w:val="00B433E4"/>
    <w:rsid w:val="00B466BC"/>
    <w:rsid w:val="00B5727F"/>
    <w:rsid w:val="00B63DDA"/>
    <w:rsid w:val="00B66A9B"/>
    <w:rsid w:val="00B673D3"/>
    <w:rsid w:val="00B70EF0"/>
    <w:rsid w:val="00B74457"/>
    <w:rsid w:val="00B813A8"/>
    <w:rsid w:val="00B92420"/>
    <w:rsid w:val="00B92F14"/>
    <w:rsid w:val="00B938A3"/>
    <w:rsid w:val="00B970E5"/>
    <w:rsid w:val="00BA0A49"/>
    <w:rsid w:val="00BB302C"/>
    <w:rsid w:val="00BB3FBA"/>
    <w:rsid w:val="00BB4D5C"/>
    <w:rsid w:val="00BC6AEC"/>
    <w:rsid w:val="00BE03C1"/>
    <w:rsid w:val="00BE1320"/>
    <w:rsid w:val="00BE7930"/>
    <w:rsid w:val="00BF0150"/>
    <w:rsid w:val="00BF0505"/>
    <w:rsid w:val="00BF07A0"/>
    <w:rsid w:val="00BF3BD7"/>
    <w:rsid w:val="00C01136"/>
    <w:rsid w:val="00C03A12"/>
    <w:rsid w:val="00C06272"/>
    <w:rsid w:val="00C14B16"/>
    <w:rsid w:val="00C168DA"/>
    <w:rsid w:val="00C21113"/>
    <w:rsid w:val="00C30B4B"/>
    <w:rsid w:val="00C36933"/>
    <w:rsid w:val="00C60E6B"/>
    <w:rsid w:val="00C65A2F"/>
    <w:rsid w:val="00C74449"/>
    <w:rsid w:val="00C756A8"/>
    <w:rsid w:val="00C7622E"/>
    <w:rsid w:val="00C83643"/>
    <w:rsid w:val="00C94FA9"/>
    <w:rsid w:val="00CC13D7"/>
    <w:rsid w:val="00CD735F"/>
    <w:rsid w:val="00CF2084"/>
    <w:rsid w:val="00D03715"/>
    <w:rsid w:val="00D03B0D"/>
    <w:rsid w:val="00D16A11"/>
    <w:rsid w:val="00D30F2A"/>
    <w:rsid w:val="00D31C10"/>
    <w:rsid w:val="00D37622"/>
    <w:rsid w:val="00D37FEC"/>
    <w:rsid w:val="00D54A5A"/>
    <w:rsid w:val="00D61FD7"/>
    <w:rsid w:val="00D74061"/>
    <w:rsid w:val="00D8743F"/>
    <w:rsid w:val="00D93694"/>
    <w:rsid w:val="00D948E1"/>
    <w:rsid w:val="00D97A45"/>
    <w:rsid w:val="00DA1D80"/>
    <w:rsid w:val="00DB5C6A"/>
    <w:rsid w:val="00DC2CFA"/>
    <w:rsid w:val="00DE075C"/>
    <w:rsid w:val="00DF5477"/>
    <w:rsid w:val="00E22E58"/>
    <w:rsid w:val="00E3506F"/>
    <w:rsid w:val="00E479B1"/>
    <w:rsid w:val="00E50898"/>
    <w:rsid w:val="00E5458B"/>
    <w:rsid w:val="00E56DD8"/>
    <w:rsid w:val="00E577D3"/>
    <w:rsid w:val="00E736A0"/>
    <w:rsid w:val="00E827BC"/>
    <w:rsid w:val="00EB04C1"/>
    <w:rsid w:val="00EB1A6C"/>
    <w:rsid w:val="00EB32E3"/>
    <w:rsid w:val="00EC15B3"/>
    <w:rsid w:val="00EC1E7A"/>
    <w:rsid w:val="00EC7AF2"/>
    <w:rsid w:val="00ED1174"/>
    <w:rsid w:val="00ED2D53"/>
    <w:rsid w:val="00EE39E1"/>
    <w:rsid w:val="00EE5C69"/>
    <w:rsid w:val="00EF2B61"/>
    <w:rsid w:val="00F000BC"/>
    <w:rsid w:val="00F05472"/>
    <w:rsid w:val="00F064AF"/>
    <w:rsid w:val="00F07C7D"/>
    <w:rsid w:val="00F202F9"/>
    <w:rsid w:val="00F23B0E"/>
    <w:rsid w:val="00F27F8E"/>
    <w:rsid w:val="00F30474"/>
    <w:rsid w:val="00F33FE7"/>
    <w:rsid w:val="00F34997"/>
    <w:rsid w:val="00F34F2E"/>
    <w:rsid w:val="00F357DA"/>
    <w:rsid w:val="00F410B0"/>
    <w:rsid w:val="00F45D0D"/>
    <w:rsid w:val="00F5233C"/>
    <w:rsid w:val="00F716E6"/>
    <w:rsid w:val="00F71C28"/>
    <w:rsid w:val="00F72AF2"/>
    <w:rsid w:val="00F740D6"/>
    <w:rsid w:val="00F7430B"/>
    <w:rsid w:val="00F75743"/>
    <w:rsid w:val="00F8058B"/>
    <w:rsid w:val="00F817EC"/>
    <w:rsid w:val="00F91783"/>
    <w:rsid w:val="00F948EB"/>
    <w:rsid w:val="00F95F68"/>
    <w:rsid w:val="00FA0317"/>
    <w:rsid w:val="00FA1347"/>
    <w:rsid w:val="00FA1C9D"/>
    <w:rsid w:val="00FB7FEE"/>
    <w:rsid w:val="00FC595D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F42"/>
    <w:rPr>
      <w:noProof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7D2F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610114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06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10114"/>
    <w:rPr>
      <w:noProof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506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10114"/>
    <w:rPr>
      <w:noProof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E7D2F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uiPriority w:val="99"/>
    <w:semiHidden/>
    <w:rsid w:val="00610114"/>
    <w:rPr>
      <w:noProof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8E7D2F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rsid w:val="00610114"/>
    <w:rPr>
      <w:noProof/>
      <w:sz w:val="16"/>
      <w:szCs w:val="16"/>
      <w:lang w:eastAsia="en-US"/>
    </w:rPr>
  </w:style>
  <w:style w:type="character" w:styleId="Collegamentoipertestuale">
    <w:name w:val="Hyperlink"/>
    <w:uiPriority w:val="99"/>
    <w:rsid w:val="00A726D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719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0114"/>
    <w:rPr>
      <w:noProof/>
      <w:sz w:val="0"/>
      <w:szCs w:val="0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666CD6"/>
    <w:rPr>
      <w:b/>
      <w:bCs/>
    </w:rPr>
  </w:style>
  <w:style w:type="table" w:styleId="Grigliatabella">
    <w:name w:val="Table Grid"/>
    <w:basedOn w:val="Tabellanormale"/>
    <w:uiPriority w:val="59"/>
    <w:rsid w:val="0082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F42"/>
    <w:rPr>
      <w:noProof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7D2F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610114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06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10114"/>
    <w:rPr>
      <w:noProof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506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10114"/>
    <w:rPr>
      <w:noProof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E7D2F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uiPriority w:val="99"/>
    <w:semiHidden/>
    <w:rsid w:val="00610114"/>
    <w:rPr>
      <w:noProof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8E7D2F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rsid w:val="00610114"/>
    <w:rPr>
      <w:noProof/>
      <w:sz w:val="16"/>
      <w:szCs w:val="16"/>
      <w:lang w:eastAsia="en-US"/>
    </w:rPr>
  </w:style>
  <w:style w:type="character" w:styleId="Collegamentoipertestuale">
    <w:name w:val="Hyperlink"/>
    <w:uiPriority w:val="99"/>
    <w:rsid w:val="00A726D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719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0114"/>
    <w:rPr>
      <w:noProof/>
      <w:sz w:val="0"/>
      <w:szCs w:val="0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666CD6"/>
    <w:rPr>
      <w:b/>
      <w:bCs/>
    </w:rPr>
  </w:style>
  <w:style w:type="table" w:styleId="Grigliatabella">
    <w:name w:val="Table Grid"/>
    <w:basedOn w:val="Tabellanormale"/>
    <w:uiPriority w:val="59"/>
    <w:rsid w:val="0082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7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52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8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1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2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2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2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2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anie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Arienti Giorgio</dc:creator>
  <cp:lastModifiedBy>e.mastroieni</cp:lastModifiedBy>
  <cp:revision>144</cp:revision>
  <cp:lastPrinted>2014-02-10T15:24:00Z</cp:lastPrinted>
  <dcterms:created xsi:type="dcterms:W3CDTF">2014-02-10T12:01:00Z</dcterms:created>
  <dcterms:modified xsi:type="dcterms:W3CDTF">2016-01-11T11:32:00Z</dcterms:modified>
</cp:coreProperties>
</file>