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14:paraId="5ADC5B9D" w14:textId="77777777" w:rsidTr="00624A03">
        <w:trPr>
          <w:trHeight w:val="433"/>
        </w:trPr>
        <w:tc>
          <w:tcPr>
            <w:tcW w:w="7621" w:type="dxa"/>
            <w:gridSpan w:val="2"/>
          </w:tcPr>
          <w:p w14:paraId="2D43A01F" w14:textId="77777777" w:rsidR="009924EC" w:rsidRPr="00B612A0" w:rsidRDefault="00B76447" w:rsidP="00B76447">
            <w:pPr>
              <w:rPr>
                <w:b/>
                <w:bCs/>
                <w:color w:val="00A0CB"/>
                <w:spacing w:val="38"/>
                <w:sz w:val="36"/>
                <w:szCs w:val="36"/>
                <w:lang w:val="nl-BE"/>
              </w:rPr>
            </w:pPr>
            <w:r>
              <w:rPr>
                <w:b/>
                <w:bCs/>
                <w:color w:val="00A0CB"/>
                <w:spacing w:val="38"/>
                <w:sz w:val="36"/>
                <w:szCs w:val="36"/>
                <w:lang w:val="nl-BE"/>
              </w:rPr>
              <w:t xml:space="preserve">Question à un </w:t>
            </w:r>
            <w:r w:rsidR="009924EC" w:rsidRPr="00B612A0">
              <w:rPr>
                <w:b/>
                <w:bCs/>
                <w:color w:val="00A0CB"/>
                <w:spacing w:val="38"/>
                <w:sz w:val="36"/>
                <w:szCs w:val="36"/>
                <w:lang w:val="nl-BE"/>
              </w:rPr>
              <w:t>expert</w:t>
            </w:r>
          </w:p>
        </w:tc>
        <w:tc>
          <w:tcPr>
            <w:tcW w:w="1902" w:type="dxa"/>
            <w:vMerge w:val="restart"/>
          </w:tcPr>
          <w:p w14:paraId="1662A001" w14:textId="79F45DBC" w:rsidR="00F61DAA" w:rsidRDefault="00CA2760" w:rsidP="00F61DAA">
            <w:pPr>
              <w:rPr>
                <w:rFonts w:cs="Arial"/>
                <w:sz w:val="18"/>
                <w:szCs w:val="18"/>
              </w:rPr>
            </w:pPr>
            <w:r w:rsidRPr="006C4017">
              <w:rPr>
                <w:rFonts w:cs="Arial"/>
                <w:noProof/>
                <w:color w:val="F6A500"/>
                <w:sz w:val="28"/>
                <w:szCs w:val="28"/>
              </w:rPr>
              <w:drawing>
                <wp:anchor distT="0" distB="0" distL="114300" distR="114300" simplePos="0" relativeHeight="251659776" behindDoc="1" locked="0" layoutInCell="1" allowOverlap="1" wp14:anchorId="54D32AD2" wp14:editId="1EF09387">
                  <wp:simplePos x="0" y="0"/>
                  <wp:positionH relativeFrom="column">
                    <wp:posOffset>-13335</wp:posOffset>
                  </wp:positionH>
                  <wp:positionV relativeFrom="paragraph">
                    <wp:posOffset>119380</wp:posOffset>
                  </wp:positionV>
                  <wp:extent cx="1047750" cy="13284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05 at 15.57.28.png"/>
                          <pic:cNvPicPr/>
                        </pic:nvPicPr>
                        <pic:blipFill>
                          <a:blip r:embed="rId9">
                            <a:extLst>
                              <a:ext uri="{28A0092B-C50C-407E-A947-70E740481C1C}">
                                <a14:useLocalDpi xmlns:a14="http://schemas.microsoft.com/office/drawing/2010/main" val="0"/>
                              </a:ext>
                            </a:extLst>
                          </a:blip>
                          <a:stretch>
                            <a:fillRect/>
                          </a:stretch>
                        </pic:blipFill>
                        <pic:spPr>
                          <a:xfrm>
                            <a:off x="0" y="0"/>
                            <a:ext cx="1047750" cy="1328420"/>
                          </a:xfrm>
                          <a:prstGeom prst="rect">
                            <a:avLst/>
                          </a:prstGeom>
                        </pic:spPr>
                      </pic:pic>
                    </a:graphicData>
                  </a:graphic>
                  <wp14:sizeRelH relativeFrom="page">
                    <wp14:pctWidth>0</wp14:pctWidth>
                  </wp14:sizeRelH>
                  <wp14:sizeRelV relativeFrom="page">
                    <wp14:pctHeight>0</wp14:pctHeight>
                  </wp14:sizeRelV>
                </wp:anchor>
              </w:drawing>
            </w:r>
          </w:p>
          <w:p w14:paraId="60A0F890" w14:textId="4A109A18" w:rsidR="00F61DAA" w:rsidRDefault="00F61DAA" w:rsidP="00F61DAA">
            <w:pPr>
              <w:rPr>
                <w:rFonts w:cs="Arial"/>
                <w:sz w:val="18"/>
                <w:szCs w:val="18"/>
              </w:rPr>
            </w:pPr>
          </w:p>
          <w:p w14:paraId="1A6CA0FA" w14:textId="77777777" w:rsidR="00F61DAA" w:rsidRDefault="00F61DAA" w:rsidP="00F61DAA">
            <w:pPr>
              <w:rPr>
                <w:rFonts w:cs="Arial"/>
                <w:sz w:val="18"/>
                <w:szCs w:val="18"/>
              </w:rPr>
            </w:pPr>
          </w:p>
          <w:p w14:paraId="5468698A" w14:textId="77777777" w:rsidR="00F61DAA" w:rsidRDefault="00F61DAA" w:rsidP="00F61DAA">
            <w:pPr>
              <w:rPr>
                <w:rFonts w:cs="Arial"/>
                <w:sz w:val="18"/>
                <w:szCs w:val="18"/>
              </w:rPr>
            </w:pPr>
          </w:p>
          <w:p w14:paraId="44A5C15A" w14:textId="33D91ED0" w:rsidR="00F61DAA" w:rsidRDefault="00F61DAA" w:rsidP="00F61DAA">
            <w:pPr>
              <w:rPr>
                <w:rFonts w:cs="Arial"/>
                <w:sz w:val="18"/>
                <w:szCs w:val="18"/>
              </w:rPr>
            </w:pPr>
          </w:p>
          <w:p w14:paraId="0E58590B" w14:textId="77777777" w:rsidR="00CA2760" w:rsidRDefault="00CA2760" w:rsidP="00F61DAA">
            <w:pPr>
              <w:rPr>
                <w:rFonts w:cs="Arial"/>
                <w:sz w:val="18"/>
                <w:szCs w:val="18"/>
              </w:rPr>
            </w:pPr>
          </w:p>
          <w:p w14:paraId="6E5CBAE8" w14:textId="77777777" w:rsidR="00CA2760" w:rsidRDefault="00CA2760" w:rsidP="00F61DAA">
            <w:pPr>
              <w:rPr>
                <w:rFonts w:cs="Arial"/>
                <w:sz w:val="18"/>
                <w:szCs w:val="18"/>
              </w:rPr>
            </w:pPr>
          </w:p>
          <w:p w14:paraId="745888BA" w14:textId="77777777" w:rsidR="00CA2760" w:rsidRDefault="00CA2760" w:rsidP="00F61DAA">
            <w:pPr>
              <w:rPr>
                <w:rFonts w:cs="Arial"/>
                <w:sz w:val="18"/>
                <w:szCs w:val="18"/>
              </w:rPr>
            </w:pPr>
          </w:p>
          <w:p w14:paraId="25F77AF4" w14:textId="77777777" w:rsidR="00F61DAA" w:rsidRPr="00B40816" w:rsidRDefault="00F61DAA" w:rsidP="00F61DAA">
            <w:pPr>
              <w:rPr>
                <w:rFonts w:cs="Arial"/>
                <w:sz w:val="18"/>
                <w:szCs w:val="18"/>
              </w:rPr>
            </w:pPr>
            <w:r>
              <w:rPr>
                <w:rFonts w:cs="Arial"/>
                <w:sz w:val="18"/>
                <w:szCs w:val="18"/>
              </w:rPr>
              <w:t>Lauréline Louvigny</w:t>
            </w:r>
          </w:p>
          <w:p w14:paraId="2234B3A4" w14:textId="77777777" w:rsidR="009924EC" w:rsidRDefault="00F61DAA" w:rsidP="00F61DAA">
            <w:pPr>
              <w:rPr>
                <w:rFonts w:ascii="Calibri" w:hAnsi="Calibri"/>
                <w:sz w:val="24"/>
                <w:lang w:val="nl-BE"/>
              </w:rPr>
            </w:pPr>
            <w:r>
              <w:rPr>
                <w:rFonts w:cs="Arial"/>
                <w:sz w:val="18"/>
                <w:szCs w:val="18"/>
              </w:rPr>
              <w:t>Legal Consultant</w:t>
            </w:r>
            <w:r w:rsidRPr="00B40816">
              <w:rPr>
                <w:rFonts w:cs="Arial"/>
                <w:sz w:val="18"/>
                <w:szCs w:val="18"/>
              </w:rPr>
              <w:t xml:space="preserve"> </w:t>
            </w:r>
            <w:r w:rsidRPr="00B40816">
              <w:rPr>
                <w:rFonts w:cs="Arial"/>
                <w:sz w:val="18"/>
                <w:szCs w:val="18"/>
              </w:rPr>
              <w:br/>
              <w:t>Partena Professional</w:t>
            </w:r>
          </w:p>
        </w:tc>
      </w:tr>
      <w:tr w:rsidR="005539DF" w:rsidRPr="00B846B4" w14:paraId="212E29A3" w14:textId="77777777" w:rsidTr="00D67C8A">
        <w:trPr>
          <w:trHeight w:val="1600"/>
        </w:trPr>
        <w:tc>
          <w:tcPr>
            <w:tcW w:w="5642" w:type="dxa"/>
          </w:tcPr>
          <w:p w14:paraId="52B38959" w14:textId="4D41A8BC" w:rsidR="005539DF" w:rsidRPr="00F61DAA" w:rsidRDefault="00D67C8A" w:rsidP="00B40816">
            <w:pPr>
              <w:spacing w:line="280" w:lineRule="exact"/>
              <w:jc w:val="both"/>
              <w:rPr>
                <w:rFonts w:cs="Arial"/>
                <w:color w:val="00B0F0"/>
                <w:sz w:val="28"/>
                <w:szCs w:val="28"/>
                <w:lang w:val="fr-BE"/>
              </w:rPr>
            </w:pPr>
            <w:r>
              <w:rPr>
                <w:rFonts w:cs="Arial"/>
                <w:color w:val="00B0F0"/>
                <w:sz w:val="28"/>
                <w:szCs w:val="28"/>
                <w:lang w:val="fr-BE"/>
              </w:rPr>
              <w:t>Quelles sont les conséquences d’un transfert d’entreprise pour l’employeur et le travailleur ?</w:t>
            </w:r>
          </w:p>
          <w:p w14:paraId="4CA90A13" w14:textId="77777777" w:rsidR="005539DF" w:rsidRPr="000D3292" w:rsidRDefault="005539DF" w:rsidP="00B40816">
            <w:pPr>
              <w:spacing w:line="280" w:lineRule="exact"/>
              <w:jc w:val="both"/>
              <w:rPr>
                <w:rFonts w:cs="Arial"/>
                <w:sz w:val="28"/>
                <w:szCs w:val="28"/>
                <w:lang w:val="fr-BE"/>
              </w:rPr>
            </w:pPr>
          </w:p>
          <w:p w14:paraId="0BF46694" w14:textId="77777777" w:rsidR="005539DF" w:rsidRPr="000D3292" w:rsidRDefault="005539DF" w:rsidP="00B40816">
            <w:pPr>
              <w:spacing w:line="280" w:lineRule="exact"/>
              <w:jc w:val="both"/>
              <w:rPr>
                <w:rFonts w:cs="Arial"/>
                <w:sz w:val="28"/>
                <w:szCs w:val="28"/>
                <w:lang w:val="fr-BE"/>
              </w:rPr>
            </w:pPr>
          </w:p>
          <w:p w14:paraId="3A0FEFEB" w14:textId="77777777" w:rsidR="005539DF" w:rsidRPr="000D3292" w:rsidRDefault="005539DF" w:rsidP="008D420F">
            <w:pPr>
              <w:spacing w:line="280" w:lineRule="exact"/>
              <w:jc w:val="center"/>
              <w:rPr>
                <w:rFonts w:cs="Arial"/>
                <w:sz w:val="28"/>
                <w:szCs w:val="28"/>
                <w:lang w:val="fr-BE"/>
              </w:rPr>
            </w:pPr>
          </w:p>
        </w:tc>
        <w:tc>
          <w:tcPr>
            <w:tcW w:w="1979" w:type="dxa"/>
            <w:vAlign w:val="bottom"/>
          </w:tcPr>
          <w:p w14:paraId="1073CE09" w14:textId="77777777" w:rsidR="005539DF" w:rsidRPr="00F61DAA" w:rsidRDefault="005539DF" w:rsidP="005539DF">
            <w:pPr>
              <w:jc w:val="right"/>
              <w:rPr>
                <w:rFonts w:cs="Arial"/>
                <w:sz w:val="28"/>
                <w:szCs w:val="28"/>
                <w:lang w:val="fr-BE"/>
              </w:rPr>
            </w:pPr>
          </w:p>
        </w:tc>
        <w:tc>
          <w:tcPr>
            <w:tcW w:w="1902" w:type="dxa"/>
            <w:vMerge/>
          </w:tcPr>
          <w:p w14:paraId="45B3E392" w14:textId="77777777" w:rsidR="005539DF" w:rsidRPr="00F61DAA" w:rsidRDefault="005539DF" w:rsidP="00B40816">
            <w:pPr>
              <w:jc w:val="center"/>
              <w:rPr>
                <w:rFonts w:ascii="Calibri" w:hAnsi="Calibri"/>
                <w:sz w:val="24"/>
                <w:lang w:val="fr-BE"/>
              </w:rPr>
            </w:pPr>
          </w:p>
        </w:tc>
      </w:tr>
    </w:tbl>
    <w:p w14:paraId="030024A4" w14:textId="6AF30F8F" w:rsidR="005A2BCF" w:rsidRPr="006C4017" w:rsidRDefault="00CA56A7" w:rsidP="00F61DAA">
      <w:pPr>
        <w:autoSpaceDE w:val="0"/>
        <w:autoSpaceDN w:val="0"/>
        <w:adjustRightInd w:val="0"/>
        <w:jc w:val="both"/>
        <w:rPr>
          <w:rFonts w:ascii="Calibri" w:hAnsi="Calibri" w:cs="Arial"/>
          <w:b/>
          <w:sz w:val="32"/>
          <w:lang w:val="fr-BE"/>
        </w:rPr>
      </w:pPr>
      <w:r>
        <w:rPr>
          <w:rFonts w:cs="Arial"/>
          <w:szCs w:val="20"/>
          <w:lang w:val="fr-FR"/>
        </w:rPr>
        <w:br/>
      </w:r>
      <w:r w:rsidR="000B3F0C" w:rsidRPr="006C4017">
        <w:rPr>
          <w:b/>
          <w:noProof/>
          <w:sz w:val="24"/>
        </w:rPr>
        <mc:AlternateContent>
          <mc:Choice Requires="wps">
            <w:drawing>
              <wp:anchor distT="4294967293" distB="4294967293" distL="114300" distR="114300" simplePos="0" relativeHeight="251658752" behindDoc="0" locked="0" layoutInCell="1" allowOverlap="1" wp14:anchorId="795FBE03" wp14:editId="69097325">
                <wp:simplePos x="0" y="0"/>
                <wp:positionH relativeFrom="column">
                  <wp:posOffset>-213360</wp:posOffset>
                </wp:positionH>
                <wp:positionV relativeFrom="paragraph">
                  <wp:posOffset>13648</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69C04C"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1.05pt" to="48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" strokecolor="#f6a500" strokeweight="1pt"/>
            </w:pict>
          </mc:Fallback>
        </mc:AlternateContent>
      </w:r>
      <w:r w:rsidR="005A2BCF" w:rsidRPr="006C4017">
        <w:rPr>
          <w:rFonts w:cs="Arial"/>
          <w:b/>
          <w:sz w:val="24"/>
          <w:szCs w:val="20"/>
          <w:lang w:val="fr-BE"/>
        </w:rPr>
        <w:t xml:space="preserve">De nombreux employeurs s’interrogent sur les </w:t>
      </w:r>
      <w:r w:rsidR="00F61DAA" w:rsidRPr="006C4017">
        <w:rPr>
          <w:rFonts w:cs="Arial"/>
          <w:b/>
          <w:sz w:val="24"/>
          <w:szCs w:val="20"/>
          <w:lang w:val="fr-BE"/>
        </w:rPr>
        <w:t xml:space="preserve">conséquences d’un transfert d’entreprise. Quelles sont </w:t>
      </w:r>
      <w:r w:rsidRPr="006C4017">
        <w:rPr>
          <w:rFonts w:cs="Arial"/>
          <w:b/>
          <w:sz w:val="24"/>
          <w:szCs w:val="20"/>
          <w:lang w:val="fr-BE"/>
        </w:rPr>
        <w:t xml:space="preserve">leurs obligations </w:t>
      </w:r>
      <w:r w:rsidR="00F61DAA" w:rsidRPr="006C4017">
        <w:rPr>
          <w:rFonts w:cs="Arial"/>
          <w:b/>
          <w:sz w:val="24"/>
          <w:szCs w:val="20"/>
          <w:lang w:val="fr-BE"/>
        </w:rPr>
        <w:t xml:space="preserve">? Quels sont les droits des travailleurs ? </w:t>
      </w:r>
    </w:p>
    <w:p w14:paraId="378A5390" w14:textId="77777777" w:rsidR="00F61DAA" w:rsidRPr="00F61DAA" w:rsidRDefault="00F61DAA" w:rsidP="005A2BCF">
      <w:pPr>
        <w:spacing w:line="280" w:lineRule="exact"/>
        <w:jc w:val="both"/>
        <w:rPr>
          <w:rFonts w:cs="Arial"/>
          <w:szCs w:val="20"/>
          <w:lang w:val="fr-BE"/>
        </w:rPr>
      </w:pPr>
    </w:p>
    <w:p w14:paraId="50B486B1" w14:textId="77777777" w:rsidR="00B846B4" w:rsidRPr="006C4017" w:rsidRDefault="00B846B4" w:rsidP="006C4017">
      <w:pPr>
        <w:jc w:val="both"/>
        <w:rPr>
          <w:rFonts w:cs="Arial"/>
          <w:b/>
          <w:color w:val="00A0CB"/>
          <w:sz w:val="24"/>
          <w:lang w:val="fr-FR"/>
        </w:rPr>
      </w:pPr>
      <w:r w:rsidRPr="006C4017">
        <w:rPr>
          <w:rFonts w:cs="Arial"/>
          <w:b/>
          <w:color w:val="00A0CB"/>
          <w:sz w:val="24"/>
          <w:lang w:val="fr-FR"/>
        </w:rPr>
        <w:t xml:space="preserve">De quoi s’agit-il ? </w:t>
      </w:r>
    </w:p>
    <w:p w14:paraId="38A01ACE" w14:textId="761DF720" w:rsidR="00590786" w:rsidRPr="006C4017" w:rsidRDefault="00B846B4">
      <w:pPr>
        <w:jc w:val="both"/>
        <w:rPr>
          <w:rFonts w:eastAsia="Calibri" w:cs="Arial"/>
          <w:sz w:val="22"/>
          <w:szCs w:val="22"/>
          <w:lang w:val="fr-BE"/>
        </w:rPr>
      </w:pPr>
      <w:r w:rsidRPr="006C4017">
        <w:rPr>
          <w:rFonts w:eastAsia="Calibri" w:cs="Arial"/>
          <w:sz w:val="22"/>
          <w:szCs w:val="22"/>
          <w:lang w:val="fr-BE"/>
        </w:rPr>
        <w:t xml:space="preserve">Le </w:t>
      </w:r>
      <w:r w:rsidR="00F61DAA" w:rsidRPr="006C4017">
        <w:rPr>
          <w:rFonts w:eastAsia="Calibri" w:cs="Arial"/>
          <w:sz w:val="22"/>
          <w:szCs w:val="22"/>
          <w:lang w:val="fr-BE"/>
        </w:rPr>
        <w:t xml:space="preserve">transfert d’entreprise </w:t>
      </w:r>
      <w:r w:rsidRPr="006C4017">
        <w:rPr>
          <w:rFonts w:eastAsia="Calibri" w:cs="Arial"/>
          <w:sz w:val="22"/>
          <w:szCs w:val="22"/>
          <w:lang w:val="fr-BE"/>
        </w:rPr>
        <w:t xml:space="preserve">est défini </w:t>
      </w:r>
      <w:r w:rsidR="00F61DAA" w:rsidRPr="006C4017">
        <w:rPr>
          <w:rFonts w:eastAsia="Calibri" w:cs="Arial"/>
          <w:sz w:val="22"/>
          <w:szCs w:val="22"/>
          <w:lang w:val="fr-BE"/>
        </w:rPr>
        <w:t>au sens de la convention collective de travail n°32 bis du 7 juin 1985 rendue obligatoire par l’arrêté royal du 25 juillet 1985 (</w:t>
      </w:r>
      <w:r w:rsidR="006C4017">
        <w:rPr>
          <w:rFonts w:eastAsia="Calibri" w:cs="Arial"/>
          <w:sz w:val="22"/>
          <w:szCs w:val="22"/>
          <w:lang w:val="fr-BE"/>
        </w:rPr>
        <w:t>M.B.</w:t>
      </w:r>
      <w:r w:rsidR="00F61DAA" w:rsidRPr="006C4017">
        <w:rPr>
          <w:rFonts w:eastAsia="Calibri" w:cs="Arial"/>
          <w:sz w:val="22"/>
          <w:szCs w:val="22"/>
          <w:lang w:val="fr-BE"/>
        </w:rPr>
        <w:t xml:space="preserve"> du 9 août 1985).</w:t>
      </w:r>
      <w:r w:rsidRPr="006C4017">
        <w:rPr>
          <w:rFonts w:eastAsia="Calibri" w:cs="Arial"/>
          <w:sz w:val="22"/>
          <w:szCs w:val="22"/>
          <w:lang w:val="fr-BE"/>
        </w:rPr>
        <w:t xml:space="preserve"> </w:t>
      </w:r>
      <w:r w:rsidR="004B180E" w:rsidRPr="006C4017">
        <w:rPr>
          <w:rFonts w:eastAsia="Calibri" w:cs="Arial"/>
          <w:sz w:val="22"/>
          <w:szCs w:val="22"/>
          <w:lang w:val="fr-BE"/>
        </w:rPr>
        <w:t>Celle-ci protège les travailleurs en cas de transfert (et notamment en cas de faillite) et leur assure le maintien de leur contrat de travail. Elle leur permet également de garantir leurs conditions de travail individuelles et collectives au-delà de ce dernier. En effet, tous les travailleurs devront être repris par le cessionnaire (repreneur) qui deviendra dès lors leur nouvel employeur.</w:t>
      </w:r>
    </w:p>
    <w:p w14:paraId="034822AA" w14:textId="244CCA43" w:rsidR="003C4CD3" w:rsidRPr="006C4017" w:rsidRDefault="009234C5">
      <w:pPr>
        <w:jc w:val="both"/>
        <w:rPr>
          <w:rFonts w:eastAsia="Calibri" w:cs="Arial"/>
          <w:sz w:val="22"/>
          <w:szCs w:val="22"/>
          <w:lang w:val="fr-FR"/>
        </w:rPr>
      </w:pPr>
      <w:r w:rsidRPr="006C4017">
        <w:rPr>
          <w:rFonts w:eastAsia="Calibri" w:cs="Arial"/>
          <w:sz w:val="22"/>
          <w:szCs w:val="22"/>
          <w:lang w:val="fr-BE"/>
        </w:rPr>
        <w:br/>
      </w:r>
      <w:r w:rsidR="00F61DAA" w:rsidRPr="006C4017">
        <w:rPr>
          <w:rFonts w:eastAsia="Calibri" w:cs="Arial"/>
          <w:sz w:val="22"/>
          <w:szCs w:val="22"/>
          <w:lang w:val="fr-FR"/>
        </w:rPr>
        <w:t>En effet, est considéré comme transfert</w:t>
      </w:r>
      <w:r w:rsidR="003C4CD3" w:rsidRPr="006C4017">
        <w:rPr>
          <w:rFonts w:eastAsia="Calibri" w:cs="Arial"/>
          <w:sz w:val="22"/>
          <w:szCs w:val="22"/>
          <w:lang w:val="fr-FR"/>
        </w:rPr>
        <w:t xml:space="preserve"> : </w:t>
      </w:r>
      <w:r w:rsidR="003C4CD3" w:rsidRPr="006C4017">
        <w:rPr>
          <w:rFonts w:eastAsia="Calibri" w:cs="Arial"/>
          <w:i/>
          <w:sz w:val="22"/>
          <w:szCs w:val="22"/>
          <w:lang w:val="fr-FR"/>
        </w:rPr>
        <w:t>« </w:t>
      </w:r>
      <w:r w:rsidR="00F61DAA" w:rsidRPr="006C4017">
        <w:rPr>
          <w:rFonts w:eastAsia="Calibri" w:cs="Arial"/>
          <w:i/>
          <w:sz w:val="22"/>
          <w:szCs w:val="22"/>
          <w:lang w:val="fr-FR"/>
        </w:rPr>
        <w:t>le transfert d'une entité économique maintenant son identité, entendue comme un ensemble organisé de moyens, en vue de la poursuite d'une activité économique, que celle-ci soit essentielle ou accessoire</w:t>
      </w:r>
      <w:r w:rsidR="003C4CD3" w:rsidRPr="006C4017">
        <w:rPr>
          <w:rFonts w:eastAsia="Calibri" w:cs="Arial"/>
          <w:i/>
          <w:sz w:val="22"/>
          <w:szCs w:val="22"/>
          <w:lang w:val="fr-FR"/>
        </w:rPr>
        <w:t> »</w:t>
      </w:r>
      <w:r w:rsidR="00F61DAA" w:rsidRPr="006C4017">
        <w:rPr>
          <w:rFonts w:eastAsia="Calibri" w:cs="Arial"/>
          <w:i/>
          <w:sz w:val="22"/>
          <w:szCs w:val="22"/>
          <w:lang w:val="fr-FR"/>
        </w:rPr>
        <w:t>.</w:t>
      </w:r>
      <w:r w:rsidR="00D67C8A" w:rsidRPr="006C4017">
        <w:rPr>
          <w:rFonts w:eastAsia="Calibri" w:cs="Arial"/>
          <w:sz w:val="22"/>
          <w:szCs w:val="22"/>
          <w:lang w:val="fr-FR"/>
        </w:rPr>
        <w:t xml:space="preserve"> </w:t>
      </w:r>
    </w:p>
    <w:p w14:paraId="57644331" w14:textId="77777777" w:rsidR="00F61DAA" w:rsidRPr="006C4017" w:rsidRDefault="00F61DAA">
      <w:pPr>
        <w:shd w:val="clear" w:color="auto" w:fill="FFFFFF"/>
        <w:jc w:val="both"/>
        <w:rPr>
          <w:rFonts w:eastAsia="Calibri" w:cs="Arial"/>
          <w:sz w:val="22"/>
          <w:szCs w:val="22"/>
          <w:lang w:val="fr-FR" w:eastAsia="fr-BE"/>
        </w:rPr>
      </w:pPr>
    </w:p>
    <w:p w14:paraId="3C72924D" w14:textId="34A744FD" w:rsidR="004B1AF5" w:rsidRPr="006C4017" w:rsidRDefault="00F61DAA">
      <w:pPr>
        <w:spacing w:after="160"/>
        <w:jc w:val="both"/>
        <w:rPr>
          <w:rFonts w:eastAsia="Calibri" w:cs="Arial"/>
          <w:sz w:val="22"/>
          <w:szCs w:val="22"/>
          <w:lang w:val="fr-BE"/>
        </w:rPr>
      </w:pPr>
      <w:r w:rsidRPr="006C4017">
        <w:rPr>
          <w:rFonts w:eastAsia="Calibri" w:cs="Arial"/>
          <w:sz w:val="22"/>
          <w:szCs w:val="22"/>
          <w:lang w:val="fr-FR"/>
        </w:rPr>
        <w:t xml:space="preserve">On conclut </w:t>
      </w:r>
      <w:r w:rsidRPr="006C4017">
        <w:rPr>
          <w:rFonts w:eastAsia="Calibri" w:cs="Arial"/>
          <w:sz w:val="22"/>
          <w:szCs w:val="22"/>
          <w:lang w:val="fr-BE"/>
        </w:rPr>
        <w:t xml:space="preserve">à l'existence d'un </w:t>
      </w:r>
      <w:r w:rsidRPr="006C4017">
        <w:rPr>
          <w:rFonts w:eastAsia="Calibri" w:cs="Arial"/>
          <w:i/>
          <w:sz w:val="22"/>
          <w:szCs w:val="22"/>
          <w:lang w:val="fr-BE"/>
        </w:rPr>
        <w:t>"</w:t>
      </w:r>
      <w:r w:rsidRPr="006C4017">
        <w:rPr>
          <w:rFonts w:eastAsia="Calibri" w:cs="Arial"/>
          <w:i/>
          <w:iCs/>
          <w:sz w:val="22"/>
          <w:szCs w:val="22"/>
          <w:lang w:val="fr-BE"/>
        </w:rPr>
        <w:t>transfert d'entreprise</w:t>
      </w:r>
      <w:r w:rsidRPr="006C4017">
        <w:rPr>
          <w:rFonts w:eastAsia="Calibri" w:cs="Arial"/>
          <w:i/>
          <w:sz w:val="22"/>
          <w:szCs w:val="22"/>
          <w:lang w:val="fr-BE"/>
        </w:rPr>
        <w:t>"</w:t>
      </w:r>
      <w:r w:rsidRPr="006C4017">
        <w:rPr>
          <w:rFonts w:eastAsia="Calibri" w:cs="Arial"/>
          <w:sz w:val="22"/>
          <w:szCs w:val="22"/>
          <w:lang w:val="fr-BE"/>
        </w:rPr>
        <w:t xml:space="preserve"> </w:t>
      </w:r>
      <w:r w:rsidR="004B180E" w:rsidRPr="006C4017">
        <w:rPr>
          <w:rFonts w:eastAsia="Calibri" w:cs="Arial"/>
          <w:sz w:val="22"/>
          <w:szCs w:val="22"/>
          <w:lang w:val="fr-BE"/>
        </w:rPr>
        <w:t>lorsque plusieurs éléments sont présents</w:t>
      </w:r>
      <w:r w:rsidR="002870E8" w:rsidRPr="006C4017">
        <w:rPr>
          <w:rFonts w:eastAsia="Calibri" w:cs="Arial"/>
          <w:sz w:val="22"/>
          <w:szCs w:val="22"/>
          <w:lang w:val="fr-BE"/>
        </w:rPr>
        <w:t xml:space="preserve">. </w:t>
      </w:r>
      <w:r w:rsidRPr="006C4017">
        <w:rPr>
          <w:rFonts w:eastAsia="Calibri" w:cs="Arial"/>
          <w:sz w:val="22"/>
          <w:szCs w:val="22"/>
          <w:lang w:val="fr-BE"/>
        </w:rPr>
        <w:t>Parmi ce</w:t>
      </w:r>
      <w:r w:rsidR="00BA751C" w:rsidRPr="006C4017">
        <w:rPr>
          <w:rFonts w:eastAsia="Calibri" w:cs="Arial"/>
          <w:sz w:val="22"/>
          <w:szCs w:val="22"/>
          <w:lang w:val="fr-BE"/>
        </w:rPr>
        <w:t xml:space="preserve">ux-ci </w:t>
      </w:r>
      <w:r w:rsidRPr="006C4017">
        <w:rPr>
          <w:rFonts w:eastAsia="Calibri" w:cs="Arial"/>
          <w:sz w:val="22"/>
          <w:szCs w:val="22"/>
          <w:lang w:val="fr-BE"/>
        </w:rPr>
        <w:t>figurent</w:t>
      </w:r>
      <w:r w:rsidR="004B1AF5" w:rsidRPr="006C4017">
        <w:rPr>
          <w:rFonts w:eastAsia="Calibri" w:cs="Arial"/>
          <w:sz w:val="22"/>
          <w:szCs w:val="22"/>
          <w:lang w:val="fr-BE"/>
        </w:rPr>
        <w:t xml:space="preserve"> la reprise : </w:t>
      </w:r>
    </w:p>
    <w:p w14:paraId="1263631A" w14:textId="100E5E47" w:rsidR="004B1AF5" w:rsidRPr="001521BF" w:rsidRDefault="00F61DAA" w:rsidP="006C4017">
      <w:pPr>
        <w:pStyle w:val="ListParagraph"/>
        <w:numPr>
          <w:ilvl w:val="0"/>
          <w:numId w:val="27"/>
        </w:numPr>
        <w:jc w:val="both"/>
        <w:rPr>
          <w:rFonts w:eastAsia="Calibri" w:cs="Arial"/>
          <w:lang w:val="fr-BE"/>
        </w:rPr>
      </w:pPr>
      <w:r w:rsidRPr="006C4017">
        <w:rPr>
          <w:rFonts w:ascii="Arial" w:eastAsia="Calibri" w:hAnsi="Arial" w:cs="Arial"/>
          <w:lang w:val="fr-BE"/>
        </w:rPr>
        <w:t>de tout ou partie des éléments corporels et incorporels</w:t>
      </w:r>
      <w:r w:rsidR="004B1AF5" w:rsidRPr="006C4017">
        <w:rPr>
          <w:rFonts w:ascii="Arial" w:eastAsia="Calibri" w:hAnsi="Arial" w:cs="Arial"/>
          <w:lang w:val="fr-BE"/>
        </w:rPr>
        <w:t> ;</w:t>
      </w:r>
    </w:p>
    <w:p w14:paraId="09DD88BB" w14:textId="45E90D69" w:rsidR="004B1AF5" w:rsidRPr="001521BF" w:rsidRDefault="00F61DAA" w:rsidP="006C4017">
      <w:pPr>
        <w:pStyle w:val="ListParagraph"/>
        <w:numPr>
          <w:ilvl w:val="0"/>
          <w:numId w:val="27"/>
        </w:numPr>
        <w:jc w:val="both"/>
        <w:rPr>
          <w:rFonts w:eastAsia="Calibri" w:cs="Arial"/>
          <w:lang w:val="fr-BE"/>
        </w:rPr>
      </w:pPr>
      <w:r w:rsidRPr="006C4017">
        <w:rPr>
          <w:rFonts w:ascii="Arial" w:eastAsia="Calibri" w:hAnsi="Arial" w:cs="Arial"/>
          <w:lang w:val="fr-BE"/>
        </w:rPr>
        <w:t>des contrats</w:t>
      </w:r>
      <w:r w:rsidR="004B1AF5" w:rsidRPr="006C4017">
        <w:rPr>
          <w:rFonts w:ascii="Arial" w:eastAsia="Calibri" w:hAnsi="Arial" w:cs="Arial"/>
          <w:lang w:val="fr-BE"/>
        </w:rPr>
        <w:t> ;</w:t>
      </w:r>
    </w:p>
    <w:p w14:paraId="12D32ED3" w14:textId="77777777" w:rsidR="004B1AF5" w:rsidRPr="001521BF" w:rsidRDefault="00F61DAA" w:rsidP="006C4017">
      <w:pPr>
        <w:pStyle w:val="ListParagraph"/>
        <w:numPr>
          <w:ilvl w:val="0"/>
          <w:numId w:val="27"/>
        </w:numPr>
        <w:jc w:val="both"/>
        <w:rPr>
          <w:rFonts w:eastAsia="Calibri" w:cs="Arial"/>
          <w:lang w:val="fr-BE"/>
        </w:rPr>
      </w:pPr>
      <w:r w:rsidRPr="006C4017">
        <w:rPr>
          <w:rFonts w:ascii="Arial" w:eastAsia="Calibri" w:hAnsi="Arial" w:cs="Arial"/>
          <w:lang w:val="fr-BE"/>
        </w:rPr>
        <w:t>des stocks</w:t>
      </w:r>
      <w:r w:rsidR="004B1AF5" w:rsidRPr="006C4017">
        <w:rPr>
          <w:rFonts w:ascii="Arial" w:eastAsia="Calibri" w:hAnsi="Arial" w:cs="Arial"/>
          <w:lang w:val="fr-BE"/>
        </w:rPr>
        <w:t> ;</w:t>
      </w:r>
    </w:p>
    <w:p w14:paraId="4AB813AB" w14:textId="18B448FE" w:rsidR="004B1AF5" w:rsidRPr="001521BF" w:rsidRDefault="00F61DAA" w:rsidP="006C4017">
      <w:pPr>
        <w:pStyle w:val="ListParagraph"/>
        <w:numPr>
          <w:ilvl w:val="0"/>
          <w:numId w:val="27"/>
        </w:numPr>
        <w:jc w:val="both"/>
        <w:rPr>
          <w:rFonts w:eastAsia="Calibri" w:cs="Arial"/>
          <w:lang w:val="fr-BE"/>
        </w:rPr>
      </w:pPr>
      <w:r w:rsidRPr="006C4017">
        <w:rPr>
          <w:rFonts w:ascii="Arial" w:eastAsia="Calibri" w:hAnsi="Arial" w:cs="Arial"/>
          <w:lang w:val="fr-BE"/>
        </w:rPr>
        <w:t>des matières premières</w:t>
      </w:r>
      <w:r w:rsidR="004B1AF5" w:rsidRPr="006C4017">
        <w:rPr>
          <w:rFonts w:ascii="Arial" w:eastAsia="Calibri" w:hAnsi="Arial" w:cs="Arial"/>
          <w:lang w:val="fr-BE"/>
        </w:rPr>
        <w:t> ;</w:t>
      </w:r>
    </w:p>
    <w:p w14:paraId="12D757BF" w14:textId="5760F590" w:rsidR="004B1AF5" w:rsidRPr="001521BF" w:rsidRDefault="00F61DAA" w:rsidP="006C4017">
      <w:pPr>
        <w:pStyle w:val="ListParagraph"/>
        <w:numPr>
          <w:ilvl w:val="0"/>
          <w:numId w:val="27"/>
        </w:numPr>
        <w:jc w:val="both"/>
        <w:rPr>
          <w:rFonts w:eastAsia="Calibri" w:cs="Arial"/>
          <w:lang w:val="fr-BE"/>
        </w:rPr>
      </w:pPr>
      <w:r w:rsidRPr="006C4017">
        <w:rPr>
          <w:rFonts w:ascii="Arial" w:eastAsia="Calibri" w:hAnsi="Arial" w:cs="Arial"/>
          <w:lang w:val="fr-BE"/>
        </w:rPr>
        <w:t>des activités</w:t>
      </w:r>
      <w:r w:rsidR="004B1AF5" w:rsidRPr="006C4017">
        <w:rPr>
          <w:rFonts w:ascii="Arial" w:eastAsia="Calibri" w:hAnsi="Arial" w:cs="Arial"/>
          <w:lang w:val="fr-BE"/>
        </w:rPr>
        <w:t> ;</w:t>
      </w:r>
    </w:p>
    <w:p w14:paraId="6A4DFEF2" w14:textId="3DB9857B" w:rsidR="004B1AF5" w:rsidRPr="001521BF" w:rsidRDefault="00F61DAA" w:rsidP="006C4017">
      <w:pPr>
        <w:pStyle w:val="ListParagraph"/>
        <w:numPr>
          <w:ilvl w:val="0"/>
          <w:numId w:val="27"/>
        </w:numPr>
        <w:jc w:val="both"/>
        <w:rPr>
          <w:rFonts w:eastAsia="Calibri" w:cs="Arial"/>
          <w:lang w:val="fr-BE"/>
        </w:rPr>
      </w:pPr>
      <w:r w:rsidRPr="006C4017">
        <w:rPr>
          <w:rFonts w:ascii="Arial" w:eastAsia="Calibri" w:hAnsi="Arial" w:cs="Arial"/>
          <w:lang w:val="fr-BE"/>
        </w:rPr>
        <w:t>des méthodes</w:t>
      </w:r>
      <w:r w:rsidR="004B1AF5" w:rsidRPr="006C4017">
        <w:rPr>
          <w:rFonts w:ascii="Arial" w:eastAsia="Calibri" w:hAnsi="Arial" w:cs="Arial"/>
          <w:lang w:val="fr-BE"/>
        </w:rPr>
        <w:t> ;</w:t>
      </w:r>
    </w:p>
    <w:p w14:paraId="4D3A6B78" w14:textId="1142964E" w:rsidR="004B1AF5" w:rsidRPr="001521BF" w:rsidRDefault="00F61DAA" w:rsidP="006C4017">
      <w:pPr>
        <w:pStyle w:val="ListParagraph"/>
        <w:numPr>
          <w:ilvl w:val="0"/>
          <w:numId w:val="27"/>
        </w:numPr>
        <w:jc w:val="both"/>
        <w:rPr>
          <w:rFonts w:eastAsia="Calibri" w:cs="Arial"/>
          <w:lang w:val="fr-BE"/>
        </w:rPr>
      </w:pPr>
      <w:r w:rsidRPr="006C4017">
        <w:rPr>
          <w:rFonts w:ascii="Arial" w:eastAsia="Calibri" w:hAnsi="Arial" w:cs="Arial"/>
          <w:lang w:val="fr-BE"/>
        </w:rPr>
        <w:t>des machines</w:t>
      </w:r>
      <w:r w:rsidR="004B1AF5" w:rsidRPr="006C4017">
        <w:rPr>
          <w:rFonts w:ascii="Arial" w:eastAsia="Calibri" w:hAnsi="Arial" w:cs="Arial"/>
          <w:lang w:val="fr-BE"/>
        </w:rPr>
        <w:t> ;</w:t>
      </w:r>
    </w:p>
    <w:p w14:paraId="5539C777" w14:textId="428CE0EA" w:rsidR="00134258" w:rsidRPr="001521BF" w:rsidRDefault="00F61DAA" w:rsidP="006C4017">
      <w:pPr>
        <w:pStyle w:val="ListParagraph"/>
        <w:numPr>
          <w:ilvl w:val="0"/>
          <w:numId w:val="27"/>
        </w:numPr>
        <w:jc w:val="both"/>
        <w:rPr>
          <w:rFonts w:eastAsia="Calibri" w:cs="Arial"/>
          <w:lang w:val="fr-BE"/>
        </w:rPr>
      </w:pPr>
      <w:r w:rsidRPr="006C4017">
        <w:rPr>
          <w:rFonts w:ascii="Arial" w:eastAsia="Calibri" w:hAnsi="Arial" w:cs="Arial"/>
          <w:lang w:val="fr-BE"/>
        </w:rPr>
        <w:t>de la majorité du personnel de l'exploitation transférée</w:t>
      </w:r>
      <w:r w:rsidR="00BA751C" w:rsidRPr="006C4017">
        <w:rPr>
          <w:rFonts w:ascii="Arial" w:eastAsia="Calibri" w:hAnsi="Arial" w:cs="Arial"/>
          <w:lang w:val="fr-BE"/>
        </w:rPr>
        <w:t>.</w:t>
      </w:r>
      <w:r w:rsidRPr="006C4017">
        <w:rPr>
          <w:rFonts w:ascii="Arial" w:eastAsia="Calibri" w:hAnsi="Arial" w:cs="Arial"/>
          <w:lang w:val="fr-BE"/>
        </w:rPr>
        <w:t xml:space="preserve"> </w:t>
      </w:r>
    </w:p>
    <w:p w14:paraId="24A5F726" w14:textId="780B727F" w:rsidR="00F61DAA" w:rsidRPr="006C4017" w:rsidRDefault="00134258" w:rsidP="006C4017">
      <w:pPr>
        <w:jc w:val="both"/>
        <w:rPr>
          <w:rFonts w:eastAsia="Calibri" w:cs="Arial"/>
          <w:sz w:val="22"/>
          <w:szCs w:val="22"/>
          <w:lang w:val="fr-BE"/>
        </w:rPr>
      </w:pPr>
      <w:r w:rsidRPr="006C4017">
        <w:rPr>
          <w:rFonts w:eastAsia="Calibri" w:cs="Arial"/>
          <w:sz w:val="22"/>
          <w:szCs w:val="22"/>
          <w:lang w:val="fr-BE"/>
        </w:rPr>
        <w:t>Il est également important de savoir</w:t>
      </w:r>
      <w:r w:rsidR="00F61DAA" w:rsidRPr="006C4017">
        <w:rPr>
          <w:rFonts w:eastAsia="Calibri" w:cs="Arial"/>
          <w:sz w:val="22"/>
          <w:szCs w:val="22"/>
          <w:lang w:val="fr-BE"/>
        </w:rPr>
        <w:t xml:space="preserve"> si l'exploitation transférée poursuivra, après le transfert, des activités identiques ou similaires à celles exercées avant </w:t>
      </w:r>
      <w:r w:rsidR="00CD7E57" w:rsidRPr="006C4017">
        <w:rPr>
          <w:rFonts w:eastAsia="Calibri" w:cs="Arial"/>
          <w:sz w:val="22"/>
          <w:szCs w:val="22"/>
          <w:lang w:val="fr-BE"/>
        </w:rPr>
        <w:t>celui-ci</w:t>
      </w:r>
      <w:r w:rsidR="00F61DAA" w:rsidRPr="006C4017">
        <w:rPr>
          <w:rFonts w:eastAsia="Calibri" w:cs="Arial"/>
          <w:sz w:val="22"/>
          <w:szCs w:val="22"/>
          <w:lang w:val="fr-BE"/>
        </w:rPr>
        <w:t>.</w:t>
      </w:r>
    </w:p>
    <w:p w14:paraId="0E073B42" w14:textId="77777777" w:rsidR="00BA751C" w:rsidRPr="006C4017" w:rsidRDefault="00BA751C" w:rsidP="006C4017">
      <w:pPr>
        <w:jc w:val="both"/>
        <w:rPr>
          <w:rFonts w:eastAsia="Calibri" w:cs="Arial"/>
          <w:sz w:val="22"/>
          <w:szCs w:val="22"/>
          <w:lang w:val="fr-BE"/>
        </w:rPr>
      </w:pPr>
    </w:p>
    <w:p w14:paraId="2CFEF60C" w14:textId="6A34623A" w:rsidR="00BA751C" w:rsidRPr="006C4017" w:rsidRDefault="004B180E" w:rsidP="006C4017">
      <w:pPr>
        <w:jc w:val="both"/>
        <w:rPr>
          <w:rFonts w:cs="Arial"/>
          <w:b/>
          <w:color w:val="00A0CB"/>
          <w:sz w:val="24"/>
          <w:lang w:val="fr-FR"/>
        </w:rPr>
      </w:pPr>
      <w:r w:rsidRPr="006C4017">
        <w:rPr>
          <w:rFonts w:cs="Arial"/>
          <w:b/>
          <w:color w:val="00A0CB"/>
          <w:sz w:val="24"/>
          <w:lang w:val="fr-FR"/>
        </w:rPr>
        <w:t>L</w:t>
      </w:r>
      <w:r w:rsidR="00BA751C" w:rsidRPr="006C4017">
        <w:rPr>
          <w:rFonts w:cs="Arial"/>
          <w:b/>
          <w:color w:val="00A0CB"/>
          <w:sz w:val="24"/>
          <w:lang w:val="fr-FR"/>
        </w:rPr>
        <w:t>es droits des travailleurs</w:t>
      </w:r>
      <w:r w:rsidRPr="006C4017">
        <w:rPr>
          <w:rFonts w:cs="Arial"/>
          <w:b/>
          <w:color w:val="00A0CB"/>
          <w:sz w:val="24"/>
          <w:lang w:val="fr-FR"/>
        </w:rPr>
        <w:t> : quelques questions fréquentes</w:t>
      </w:r>
      <w:r w:rsidR="00BA751C" w:rsidRPr="006C4017">
        <w:rPr>
          <w:rFonts w:cs="Arial"/>
          <w:b/>
          <w:color w:val="00A0CB"/>
          <w:sz w:val="24"/>
          <w:lang w:val="fr-FR"/>
        </w:rPr>
        <w:t xml:space="preserve"> </w:t>
      </w:r>
    </w:p>
    <w:p w14:paraId="31517E52" w14:textId="769E8ADF" w:rsidR="004B180E" w:rsidRPr="006C4017" w:rsidRDefault="004B180E">
      <w:pPr>
        <w:jc w:val="both"/>
        <w:rPr>
          <w:rFonts w:eastAsia="Calibri" w:cs="Arial"/>
          <w:sz w:val="22"/>
          <w:szCs w:val="22"/>
          <w:lang w:val="fr-BE"/>
        </w:rPr>
      </w:pPr>
      <w:r w:rsidRPr="006C4017">
        <w:rPr>
          <w:rFonts w:eastAsia="Calibri" w:cs="Arial"/>
          <w:sz w:val="22"/>
          <w:szCs w:val="22"/>
          <w:lang w:val="fr-BE"/>
        </w:rPr>
        <w:t xml:space="preserve">Comme expliqué précédemment, la CCT n°32 protège les travailleurs et leur assure le maintien de leur contrat de travail en cas de transfert d’entreprise. Elle permet également de garantir leurs conditions de travail individuelles et collectives au </w:t>
      </w:r>
      <w:r w:rsidR="006C4017" w:rsidRPr="006C4017">
        <w:rPr>
          <w:rFonts w:eastAsia="Calibri" w:cs="Arial"/>
          <w:sz w:val="22"/>
          <w:szCs w:val="22"/>
          <w:lang w:val="fr-BE"/>
        </w:rPr>
        <w:t>delà</w:t>
      </w:r>
      <w:r w:rsidRPr="006C4017">
        <w:rPr>
          <w:rFonts w:eastAsia="Calibri" w:cs="Arial"/>
          <w:sz w:val="22"/>
          <w:szCs w:val="22"/>
          <w:lang w:val="fr-BE"/>
        </w:rPr>
        <w:t xml:space="preserve"> de celui-ci. </w:t>
      </w:r>
    </w:p>
    <w:p w14:paraId="1E67CDFB" w14:textId="77777777" w:rsidR="004B180E" w:rsidRPr="006C4017" w:rsidRDefault="004B180E">
      <w:pPr>
        <w:jc w:val="both"/>
        <w:rPr>
          <w:rFonts w:eastAsia="Calibri" w:cs="Arial"/>
          <w:sz w:val="22"/>
          <w:szCs w:val="22"/>
          <w:lang w:val="fr-BE"/>
        </w:rPr>
      </w:pPr>
    </w:p>
    <w:p w14:paraId="6D8737A0" w14:textId="733EA7B2" w:rsidR="00FD4B87" w:rsidRPr="006C4017" w:rsidRDefault="00CD7E57">
      <w:pPr>
        <w:jc w:val="both"/>
        <w:rPr>
          <w:rFonts w:eastAsia="Calibri" w:cs="Arial"/>
          <w:sz w:val="22"/>
          <w:szCs w:val="22"/>
          <w:lang w:val="fr-BE"/>
        </w:rPr>
      </w:pPr>
      <w:r w:rsidRPr="006C4017">
        <w:rPr>
          <w:rFonts w:eastAsia="Calibri" w:cs="Arial"/>
          <w:sz w:val="22"/>
          <w:szCs w:val="22"/>
          <w:lang w:val="fr-BE"/>
        </w:rPr>
        <w:t>En ce qui concerne l</w:t>
      </w:r>
      <w:r w:rsidR="00134258" w:rsidRPr="006C4017">
        <w:rPr>
          <w:rFonts w:eastAsia="Calibri" w:cs="Arial"/>
          <w:sz w:val="22"/>
          <w:szCs w:val="22"/>
          <w:lang w:val="fr-BE"/>
        </w:rPr>
        <w:t>’</w:t>
      </w:r>
      <w:r w:rsidR="00F61DAA" w:rsidRPr="006C4017">
        <w:rPr>
          <w:rFonts w:eastAsia="Calibri" w:cs="Arial"/>
          <w:sz w:val="22"/>
          <w:szCs w:val="22"/>
          <w:lang w:val="fr-BE"/>
        </w:rPr>
        <w:t>employeur cédant</w:t>
      </w:r>
      <w:r w:rsidRPr="006C4017">
        <w:rPr>
          <w:rFonts w:eastAsia="Calibri" w:cs="Arial"/>
          <w:sz w:val="22"/>
          <w:szCs w:val="22"/>
          <w:lang w:val="fr-BE"/>
        </w:rPr>
        <w:t>, celui-ci</w:t>
      </w:r>
      <w:r w:rsidR="00134258" w:rsidRPr="006C4017">
        <w:rPr>
          <w:rFonts w:eastAsia="Calibri" w:cs="Arial"/>
          <w:sz w:val="22"/>
          <w:szCs w:val="22"/>
          <w:lang w:val="fr-BE"/>
        </w:rPr>
        <w:t xml:space="preserve"> </w:t>
      </w:r>
      <w:r w:rsidR="00FD4B87" w:rsidRPr="006C4017">
        <w:rPr>
          <w:rFonts w:eastAsia="Calibri" w:cs="Arial"/>
          <w:sz w:val="22"/>
          <w:szCs w:val="22"/>
          <w:lang w:val="fr-BE"/>
        </w:rPr>
        <w:t>se doit d’informer</w:t>
      </w:r>
      <w:r w:rsidR="00F61DAA" w:rsidRPr="006C4017">
        <w:rPr>
          <w:rFonts w:eastAsia="Calibri" w:cs="Arial"/>
          <w:sz w:val="22"/>
          <w:szCs w:val="22"/>
          <w:lang w:val="fr-BE"/>
        </w:rPr>
        <w:t xml:space="preserve"> préalablement </w:t>
      </w:r>
      <w:r w:rsidR="00FD4B87" w:rsidRPr="006C4017">
        <w:rPr>
          <w:rFonts w:eastAsia="Calibri" w:cs="Arial"/>
          <w:sz w:val="22"/>
          <w:szCs w:val="22"/>
          <w:lang w:val="fr-BE"/>
        </w:rPr>
        <w:t xml:space="preserve">les travailleurs </w:t>
      </w:r>
      <w:r w:rsidR="00F61DAA" w:rsidRPr="006C4017">
        <w:rPr>
          <w:rFonts w:eastAsia="Calibri" w:cs="Arial"/>
          <w:sz w:val="22"/>
          <w:szCs w:val="22"/>
          <w:lang w:val="fr-BE"/>
        </w:rPr>
        <w:t xml:space="preserve">du transfert de </w:t>
      </w:r>
      <w:r w:rsidR="00134258" w:rsidRPr="006C4017">
        <w:rPr>
          <w:rFonts w:eastAsia="Calibri" w:cs="Arial"/>
          <w:sz w:val="22"/>
          <w:szCs w:val="22"/>
          <w:lang w:val="fr-BE"/>
        </w:rPr>
        <w:t xml:space="preserve">la </w:t>
      </w:r>
      <w:r w:rsidR="00F61DAA" w:rsidRPr="006C4017">
        <w:rPr>
          <w:rFonts w:eastAsia="Calibri" w:cs="Arial"/>
          <w:sz w:val="22"/>
          <w:szCs w:val="22"/>
          <w:lang w:val="fr-BE"/>
        </w:rPr>
        <w:t xml:space="preserve">société et </w:t>
      </w:r>
      <w:r w:rsidR="00FD4B87" w:rsidRPr="006C4017">
        <w:rPr>
          <w:rFonts w:eastAsia="Calibri" w:cs="Arial"/>
          <w:sz w:val="22"/>
          <w:szCs w:val="22"/>
          <w:lang w:val="fr-BE"/>
        </w:rPr>
        <w:t xml:space="preserve">leur </w:t>
      </w:r>
      <w:r w:rsidR="00F61DAA" w:rsidRPr="006C4017">
        <w:rPr>
          <w:rFonts w:eastAsia="Calibri" w:cs="Arial"/>
          <w:sz w:val="22"/>
          <w:szCs w:val="22"/>
          <w:lang w:val="fr-BE"/>
        </w:rPr>
        <w:t>communiquer par écrit :</w:t>
      </w:r>
    </w:p>
    <w:p w14:paraId="50F3630E" w14:textId="77777777" w:rsidR="00F61DAA" w:rsidRPr="006C4017" w:rsidRDefault="00F61DAA">
      <w:pPr>
        <w:keepNext/>
        <w:numPr>
          <w:ilvl w:val="0"/>
          <w:numId w:val="25"/>
        </w:numPr>
        <w:ind w:left="357" w:hanging="357"/>
        <w:jc w:val="both"/>
        <w:rPr>
          <w:rFonts w:eastAsia="Calibri" w:cs="Arial"/>
          <w:sz w:val="22"/>
          <w:szCs w:val="22"/>
          <w:lang w:val="fr-BE"/>
        </w:rPr>
      </w:pPr>
      <w:r w:rsidRPr="006C4017">
        <w:rPr>
          <w:rFonts w:eastAsia="Calibri" w:cs="Arial"/>
          <w:sz w:val="22"/>
          <w:szCs w:val="22"/>
          <w:lang w:val="fr-BE"/>
        </w:rPr>
        <w:lastRenderedPageBreak/>
        <w:t>la date fixée ou proposée pour le transfert,</w:t>
      </w:r>
    </w:p>
    <w:p w14:paraId="242BEA87" w14:textId="77777777" w:rsidR="00F61DAA" w:rsidRPr="006C4017" w:rsidRDefault="00F61DAA">
      <w:pPr>
        <w:keepNext/>
        <w:numPr>
          <w:ilvl w:val="0"/>
          <w:numId w:val="25"/>
        </w:numPr>
        <w:ind w:left="357" w:hanging="357"/>
        <w:jc w:val="both"/>
        <w:rPr>
          <w:rFonts w:eastAsia="Calibri" w:cs="Arial"/>
          <w:sz w:val="22"/>
          <w:szCs w:val="22"/>
        </w:rPr>
      </w:pPr>
      <w:r w:rsidRPr="006C4017">
        <w:rPr>
          <w:rFonts w:eastAsia="Calibri" w:cs="Arial"/>
          <w:sz w:val="22"/>
          <w:szCs w:val="22"/>
        </w:rPr>
        <w:t>le motif du transfert,</w:t>
      </w:r>
    </w:p>
    <w:p w14:paraId="43D0F9BC" w14:textId="77777777" w:rsidR="00F61DAA" w:rsidRPr="006C4017" w:rsidRDefault="00F61DAA">
      <w:pPr>
        <w:keepNext/>
        <w:numPr>
          <w:ilvl w:val="0"/>
          <w:numId w:val="25"/>
        </w:numPr>
        <w:ind w:left="357" w:hanging="357"/>
        <w:jc w:val="both"/>
        <w:rPr>
          <w:rFonts w:eastAsia="Calibri" w:cs="Arial"/>
          <w:sz w:val="22"/>
          <w:szCs w:val="22"/>
          <w:lang w:val="fr-BE"/>
        </w:rPr>
      </w:pPr>
      <w:r w:rsidRPr="006C4017">
        <w:rPr>
          <w:rFonts w:eastAsia="Calibri" w:cs="Arial"/>
          <w:sz w:val="22"/>
          <w:szCs w:val="22"/>
          <w:lang w:val="fr-BE"/>
        </w:rPr>
        <w:t>les conséquences juridiques, économiques et sociales du transfert dans leur chef,</w:t>
      </w:r>
    </w:p>
    <w:p w14:paraId="43098015" w14:textId="77777777" w:rsidR="00FD4B87" w:rsidRPr="006C4017" w:rsidRDefault="00F61DAA">
      <w:pPr>
        <w:keepNext/>
        <w:numPr>
          <w:ilvl w:val="0"/>
          <w:numId w:val="25"/>
        </w:numPr>
        <w:ind w:left="357" w:hanging="357"/>
        <w:jc w:val="both"/>
        <w:rPr>
          <w:rFonts w:eastAsia="Calibri" w:cs="Arial"/>
          <w:sz w:val="22"/>
          <w:szCs w:val="22"/>
          <w:lang w:val="fr-BE"/>
        </w:rPr>
      </w:pPr>
      <w:r w:rsidRPr="006C4017">
        <w:rPr>
          <w:rFonts w:eastAsia="Calibri" w:cs="Arial"/>
          <w:sz w:val="22"/>
          <w:szCs w:val="22"/>
          <w:lang w:val="fr-BE"/>
        </w:rPr>
        <w:t xml:space="preserve">les mesures envisagées à leur égard. </w:t>
      </w:r>
    </w:p>
    <w:p w14:paraId="5E8376DA" w14:textId="77777777" w:rsidR="00FD4B87" w:rsidRPr="006C4017" w:rsidRDefault="00FD4B87" w:rsidP="006C4017">
      <w:pPr>
        <w:keepNext/>
        <w:jc w:val="both"/>
        <w:rPr>
          <w:rFonts w:eastAsia="Calibri" w:cs="Arial"/>
          <w:sz w:val="22"/>
          <w:szCs w:val="22"/>
          <w:lang w:val="fr-BE"/>
        </w:rPr>
      </w:pPr>
    </w:p>
    <w:p w14:paraId="1EF471C7" w14:textId="6911AA25" w:rsidR="00F61DAA" w:rsidRPr="006C4017" w:rsidRDefault="00CD7E57" w:rsidP="006C4017">
      <w:pPr>
        <w:keepNext/>
        <w:spacing w:after="160" w:line="259" w:lineRule="auto"/>
        <w:contextualSpacing/>
        <w:jc w:val="both"/>
        <w:rPr>
          <w:rFonts w:cs="Arial"/>
          <w:b/>
          <w:color w:val="00A0CB"/>
          <w:sz w:val="24"/>
          <w:lang w:val="fr-FR"/>
        </w:rPr>
      </w:pPr>
      <w:r w:rsidRPr="006C4017">
        <w:rPr>
          <w:rFonts w:cs="Arial"/>
          <w:b/>
          <w:color w:val="00A0CB"/>
          <w:sz w:val="24"/>
          <w:lang w:val="fr-FR"/>
        </w:rPr>
        <w:t>Les travailleurs devront-ils signer de nouveaux contrats de travail</w:t>
      </w:r>
      <w:r w:rsidR="009F0794" w:rsidRPr="006C4017">
        <w:rPr>
          <w:rFonts w:cs="Arial"/>
          <w:b/>
          <w:color w:val="00A0CB"/>
          <w:sz w:val="24"/>
          <w:lang w:val="fr-FR"/>
        </w:rPr>
        <w:t xml:space="preserve"> </w:t>
      </w:r>
      <w:r w:rsidR="00134258" w:rsidRPr="006C4017">
        <w:rPr>
          <w:rFonts w:cs="Arial"/>
          <w:b/>
          <w:color w:val="00A0CB"/>
          <w:sz w:val="24"/>
          <w:lang w:val="fr-FR"/>
        </w:rPr>
        <w:t>?</w:t>
      </w:r>
    </w:p>
    <w:p w14:paraId="2DF22DB6" w14:textId="65B94134" w:rsidR="00613107" w:rsidRPr="006C4017" w:rsidRDefault="00F61DAA">
      <w:pPr>
        <w:spacing w:after="200" w:line="276" w:lineRule="auto"/>
        <w:contextualSpacing/>
        <w:jc w:val="both"/>
        <w:rPr>
          <w:rFonts w:eastAsia="Calibri" w:cs="Arial"/>
          <w:sz w:val="22"/>
          <w:szCs w:val="22"/>
          <w:lang w:val="fr-BE"/>
        </w:rPr>
      </w:pPr>
      <w:r w:rsidRPr="006C4017">
        <w:rPr>
          <w:rFonts w:eastAsia="Calibri" w:cs="Arial"/>
          <w:sz w:val="22"/>
          <w:szCs w:val="22"/>
          <w:lang w:val="fr-BE"/>
        </w:rPr>
        <w:t xml:space="preserve">Les contrats de travail et les droits et obligations qui en découlent ne sont pas affectés par le changement d’employeur. Les contrats continuent à sortir leurs effets tant pour les travailleurs que pour le nouvel employeur. En d’autres termes, le transfert d’entreprise entraine le transfert automatique des contrats de travail concernés. </w:t>
      </w:r>
      <w:r w:rsidR="00C56885" w:rsidRPr="006C4017">
        <w:rPr>
          <w:rFonts w:eastAsia="Calibri" w:cs="Arial"/>
          <w:sz w:val="22"/>
          <w:szCs w:val="22"/>
          <w:lang w:val="fr-BE"/>
        </w:rPr>
        <w:t xml:space="preserve">Il ne faudra, dès lors, ni rompre les contrats initiaux, ni conclure de nouveaux contrats. </w:t>
      </w:r>
      <w:r w:rsidRPr="006C4017">
        <w:rPr>
          <w:rFonts w:eastAsia="Calibri" w:cs="Arial"/>
          <w:sz w:val="22"/>
          <w:szCs w:val="22"/>
          <w:lang w:val="fr-BE"/>
        </w:rPr>
        <w:t xml:space="preserve">Le cessionnaire </w:t>
      </w:r>
      <w:r w:rsidR="00613107">
        <w:rPr>
          <w:rFonts w:eastAsia="Calibri" w:cs="Arial"/>
          <w:sz w:val="22"/>
          <w:szCs w:val="22"/>
          <w:lang w:val="fr-BE"/>
        </w:rPr>
        <w:t xml:space="preserve">(nouvel employeur) </w:t>
      </w:r>
      <w:r w:rsidRPr="006C4017">
        <w:rPr>
          <w:rFonts w:eastAsia="Calibri" w:cs="Arial"/>
          <w:sz w:val="22"/>
          <w:szCs w:val="22"/>
          <w:lang w:val="fr-BE"/>
        </w:rPr>
        <w:t>est ainsi tenu de respecter toutes les conditions de travail et autres avantages dont les travailleurs bénéficiaient chez le cédant</w:t>
      </w:r>
      <w:r w:rsidR="00613107">
        <w:rPr>
          <w:rFonts w:eastAsia="Calibri" w:cs="Arial"/>
          <w:sz w:val="22"/>
          <w:szCs w:val="22"/>
          <w:lang w:val="fr-BE"/>
        </w:rPr>
        <w:t xml:space="preserve"> (l’ancien employeur)</w:t>
      </w:r>
      <w:r w:rsidRPr="006C4017">
        <w:rPr>
          <w:rFonts w:eastAsia="Calibri" w:cs="Arial"/>
          <w:sz w:val="22"/>
          <w:szCs w:val="22"/>
          <w:lang w:val="fr-BE"/>
        </w:rPr>
        <w:t xml:space="preserve">. </w:t>
      </w:r>
    </w:p>
    <w:p w14:paraId="53DA499B" w14:textId="77777777" w:rsidR="00C93B3C" w:rsidRPr="006C4017" w:rsidRDefault="00C93B3C">
      <w:pPr>
        <w:spacing w:after="200" w:line="276" w:lineRule="auto"/>
        <w:contextualSpacing/>
        <w:jc w:val="both"/>
        <w:rPr>
          <w:rFonts w:eastAsia="Calibri" w:cs="Arial"/>
          <w:sz w:val="22"/>
          <w:szCs w:val="22"/>
          <w:lang w:val="fr-BE"/>
        </w:rPr>
      </w:pPr>
    </w:p>
    <w:p w14:paraId="63E598EF" w14:textId="746F55B4" w:rsidR="00F61DAA" w:rsidRPr="006C4017" w:rsidRDefault="00F61DAA">
      <w:pPr>
        <w:snapToGrid w:val="0"/>
        <w:jc w:val="both"/>
        <w:rPr>
          <w:rFonts w:cs="Arial"/>
          <w:sz w:val="22"/>
          <w:szCs w:val="22"/>
          <w:lang w:val="fr-BE" w:eastAsia="fr-FR"/>
        </w:rPr>
      </w:pPr>
      <w:r w:rsidRPr="006C4017">
        <w:rPr>
          <w:rFonts w:cs="Arial"/>
          <w:sz w:val="22"/>
          <w:szCs w:val="22"/>
          <w:lang w:val="fr-BE" w:eastAsia="fr-FR"/>
        </w:rPr>
        <w:t>L</w:t>
      </w:r>
      <w:r w:rsidRPr="006C4017">
        <w:rPr>
          <w:rFonts w:cs="Arial"/>
          <w:sz w:val="22"/>
          <w:szCs w:val="22"/>
          <w:lang w:val="fr-FR" w:eastAsia="fr-FR"/>
        </w:rPr>
        <w:t>e cessionnaire ne peut pas unilatéralement modifier les conditions de travail des travailleurs</w:t>
      </w:r>
      <w:r w:rsidR="007A5502" w:rsidRPr="006C4017">
        <w:rPr>
          <w:rFonts w:cs="Arial"/>
          <w:sz w:val="22"/>
          <w:szCs w:val="22"/>
          <w:lang w:val="fr-FR" w:eastAsia="fr-FR"/>
        </w:rPr>
        <w:t>.</w:t>
      </w:r>
      <w:r w:rsidRPr="006C4017">
        <w:rPr>
          <w:rFonts w:cs="Arial"/>
          <w:sz w:val="22"/>
          <w:szCs w:val="22"/>
          <w:lang w:val="fr-FR" w:eastAsia="fr-FR"/>
        </w:rPr>
        <w:t xml:space="preserve"> </w:t>
      </w:r>
      <w:r w:rsidR="007A5502" w:rsidRPr="006C4017">
        <w:rPr>
          <w:rFonts w:cs="Arial"/>
          <w:sz w:val="22"/>
          <w:szCs w:val="22"/>
          <w:lang w:val="fr-FR" w:eastAsia="fr-FR"/>
        </w:rPr>
        <w:t xml:space="preserve">De plus, il </w:t>
      </w:r>
      <w:r w:rsidRPr="006C4017">
        <w:rPr>
          <w:rFonts w:eastAsia="Calibri" w:cs="Arial"/>
          <w:sz w:val="22"/>
          <w:szCs w:val="22"/>
          <w:lang w:val="fr-BE"/>
        </w:rPr>
        <w:t>devra donc</w:t>
      </w:r>
      <w:r w:rsidR="007A5502" w:rsidRPr="006C4017">
        <w:rPr>
          <w:rFonts w:eastAsia="Calibri" w:cs="Arial"/>
          <w:sz w:val="22"/>
          <w:szCs w:val="22"/>
          <w:lang w:val="fr-BE"/>
        </w:rPr>
        <w:t>, dès lors,</w:t>
      </w:r>
      <w:r w:rsidRPr="006C4017">
        <w:rPr>
          <w:rFonts w:eastAsia="Calibri" w:cs="Arial"/>
          <w:sz w:val="22"/>
          <w:szCs w:val="22"/>
          <w:lang w:val="fr-BE"/>
        </w:rPr>
        <w:t xml:space="preserve"> veiller non seulement au maintien des conditions de travail mais aussi au maintien des avantages dont les travailleurs bénéficiaient dans le cadre de leur relation de travail avec le cédant.</w:t>
      </w:r>
    </w:p>
    <w:p w14:paraId="7A28FF95" w14:textId="77777777" w:rsidR="00D67C8A" w:rsidRPr="006C4017" w:rsidRDefault="00D67C8A">
      <w:pPr>
        <w:snapToGrid w:val="0"/>
        <w:jc w:val="both"/>
        <w:rPr>
          <w:rFonts w:cs="Arial"/>
          <w:sz w:val="22"/>
          <w:szCs w:val="22"/>
          <w:lang w:val="fr-BE" w:eastAsia="fr-FR"/>
        </w:rPr>
      </w:pPr>
    </w:p>
    <w:p w14:paraId="11E1F383" w14:textId="6E37CEC0" w:rsidR="00F61DAA" w:rsidRPr="006C4017" w:rsidRDefault="00AE4107" w:rsidP="006C4017">
      <w:pPr>
        <w:spacing w:after="160" w:line="276" w:lineRule="auto"/>
        <w:contextualSpacing/>
        <w:jc w:val="both"/>
        <w:rPr>
          <w:rFonts w:eastAsia="Calibri" w:cs="Arial"/>
          <w:sz w:val="22"/>
          <w:szCs w:val="22"/>
          <w:lang w:val="fr-BE"/>
        </w:rPr>
      </w:pPr>
      <w:r w:rsidRPr="006C4017">
        <w:rPr>
          <w:rFonts w:cs="Arial"/>
          <w:b/>
          <w:color w:val="00A0CB"/>
          <w:sz w:val="24"/>
          <w:lang w:val="fr-FR"/>
        </w:rPr>
        <w:t xml:space="preserve">Le travailleur </w:t>
      </w:r>
      <w:r w:rsidR="00CD7E57" w:rsidRPr="006C4017">
        <w:rPr>
          <w:rFonts w:cs="Arial"/>
          <w:b/>
          <w:color w:val="00A0CB"/>
          <w:sz w:val="24"/>
          <w:lang w:val="fr-FR"/>
        </w:rPr>
        <w:t>peut-il</w:t>
      </w:r>
      <w:r w:rsidRPr="006C4017">
        <w:rPr>
          <w:rFonts w:cs="Arial"/>
          <w:b/>
          <w:color w:val="00A0CB"/>
          <w:sz w:val="24"/>
          <w:lang w:val="fr-FR"/>
        </w:rPr>
        <w:t xml:space="preserve"> prétendre à</w:t>
      </w:r>
      <w:r w:rsidR="00134258" w:rsidRPr="006C4017">
        <w:rPr>
          <w:rFonts w:cs="Arial"/>
          <w:b/>
          <w:color w:val="00A0CB"/>
          <w:sz w:val="24"/>
          <w:lang w:val="fr-FR"/>
        </w:rPr>
        <w:t xml:space="preserve"> un p</w:t>
      </w:r>
      <w:r w:rsidR="00F61DAA" w:rsidRPr="006C4017">
        <w:rPr>
          <w:rFonts w:cs="Arial"/>
          <w:b/>
          <w:color w:val="00A0CB"/>
          <w:sz w:val="24"/>
          <w:lang w:val="fr-FR"/>
        </w:rPr>
        <w:t>écule de sortie</w:t>
      </w:r>
      <w:r w:rsidR="00134258" w:rsidRPr="006C4017">
        <w:rPr>
          <w:rFonts w:cs="Arial"/>
          <w:b/>
          <w:color w:val="00A0CB"/>
          <w:sz w:val="24"/>
          <w:lang w:val="fr-FR"/>
        </w:rPr>
        <w:t> ?</w:t>
      </w:r>
    </w:p>
    <w:p w14:paraId="6D3D6730" w14:textId="6E039F66" w:rsidR="00F61DAA" w:rsidRPr="006C4017" w:rsidRDefault="00F61DAA">
      <w:pPr>
        <w:spacing w:after="120" w:line="259" w:lineRule="auto"/>
        <w:jc w:val="both"/>
        <w:rPr>
          <w:rFonts w:eastAsia="Calibri" w:cs="Arial"/>
          <w:b/>
          <w:sz w:val="22"/>
          <w:szCs w:val="22"/>
          <w:u w:val="single"/>
          <w:lang w:val="fr-BE"/>
        </w:rPr>
      </w:pPr>
      <w:r w:rsidRPr="006C4017">
        <w:rPr>
          <w:rFonts w:eastAsia="Calibri" w:cs="Arial"/>
          <w:sz w:val="22"/>
          <w:szCs w:val="22"/>
          <w:lang w:val="fr-BE"/>
        </w:rPr>
        <w:t xml:space="preserve">Lorsque le contrat de travail d’un employé prend fin, son employeur </w:t>
      </w:r>
      <w:r w:rsidR="00CD7E57" w:rsidRPr="006C4017">
        <w:rPr>
          <w:rFonts w:eastAsia="Calibri" w:cs="Arial"/>
          <w:sz w:val="22"/>
          <w:szCs w:val="22"/>
          <w:lang w:val="fr-BE"/>
        </w:rPr>
        <w:t xml:space="preserve">est dans l’obligation de </w:t>
      </w:r>
      <w:r w:rsidRPr="006C4017">
        <w:rPr>
          <w:rFonts w:eastAsia="Calibri" w:cs="Arial"/>
          <w:sz w:val="22"/>
          <w:szCs w:val="22"/>
          <w:lang w:val="fr-BE"/>
        </w:rPr>
        <w:t>lui payer le simple et le double pécule de vacances sous la forme de pécules de départ.</w:t>
      </w:r>
    </w:p>
    <w:p w14:paraId="67AC7DEB" w14:textId="1C06EB71" w:rsidR="00F61DAA" w:rsidRPr="006C4017" w:rsidRDefault="00F61DAA">
      <w:pPr>
        <w:spacing w:after="160" w:line="259" w:lineRule="auto"/>
        <w:jc w:val="both"/>
        <w:rPr>
          <w:rFonts w:eastAsia="Calibri" w:cs="Arial"/>
          <w:sz w:val="22"/>
          <w:szCs w:val="22"/>
          <w:lang w:val="fr-BE"/>
        </w:rPr>
      </w:pPr>
      <w:r w:rsidRPr="006C4017">
        <w:rPr>
          <w:rFonts w:eastAsia="Calibri" w:cs="Arial"/>
          <w:sz w:val="22"/>
          <w:szCs w:val="22"/>
          <w:lang w:val="fr-BE"/>
        </w:rPr>
        <w:t xml:space="preserve">Un transfert qui s’inscrit dans le cadre de la convention collective n°32 bis n’entraîne pas la fin des relations de travail. Le cédant n’a </w:t>
      </w:r>
      <w:r w:rsidR="00AB66D9" w:rsidRPr="006C4017">
        <w:rPr>
          <w:rFonts w:eastAsia="Calibri" w:cs="Arial"/>
          <w:sz w:val="22"/>
          <w:szCs w:val="22"/>
          <w:lang w:val="fr-BE"/>
        </w:rPr>
        <w:t xml:space="preserve">donc </w:t>
      </w:r>
      <w:r w:rsidRPr="006C4017">
        <w:rPr>
          <w:rFonts w:eastAsia="Calibri" w:cs="Arial"/>
          <w:sz w:val="22"/>
          <w:szCs w:val="22"/>
          <w:lang w:val="fr-BE"/>
        </w:rPr>
        <w:t>pas à payer aux employés transférés les pécules de départ</w:t>
      </w:r>
      <w:r w:rsidR="00AB66D9" w:rsidRPr="006C4017">
        <w:rPr>
          <w:rFonts w:eastAsia="Calibri" w:cs="Arial"/>
          <w:sz w:val="22"/>
          <w:szCs w:val="22"/>
          <w:lang w:val="fr-BE"/>
        </w:rPr>
        <w:t>.</w:t>
      </w:r>
      <w:r w:rsidR="00D67C8A" w:rsidRPr="006C4017">
        <w:rPr>
          <w:rFonts w:eastAsia="Calibri" w:cs="Arial"/>
          <w:sz w:val="22"/>
          <w:szCs w:val="22"/>
          <w:lang w:val="fr-BE"/>
        </w:rPr>
        <w:t xml:space="preserve"> </w:t>
      </w:r>
      <w:r w:rsidRPr="006C4017">
        <w:rPr>
          <w:rFonts w:eastAsia="Calibri" w:cs="Arial"/>
          <w:sz w:val="22"/>
          <w:szCs w:val="22"/>
          <w:lang w:val="fr-BE"/>
        </w:rPr>
        <w:t>C’est au cessionnaire qu’il appartiendra de verser aux employés transférés un pécule de vacances calculé au prorata des prestations effectuées l’année précédente.</w:t>
      </w:r>
      <w:r w:rsidR="00D67C8A" w:rsidRPr="006C4017">
        <w:rPr>
          <w:rFonts w:eastAsia="Calibri" w:cs="Arial"/>
          <w:sz w:val="22"/>
          <w:szCs w:val="22"/>
          <w:lang w:val="fr-BE"/>
        </w:rPr>
        <w:t xml:space="preserve"> </w:t>
      </w:r>
      <w:r w:rsidRPr="006C4017">
        <w:rPr>
          <w:rFonts w:eastAsia="Calibri" w:cs="Arial"/>
          <w:sz w:val="22"/>
          <w:szCs w:val="22"/>
          <w:lang w:val="fr-BE"/>
        </w:rPr>
        <w:t>Il paiera le simple pécule de vacances à la date habituelle de paie et le double pécule au moment de la prise des vacances principales.</w:t>
      </w:r>
    </w:p>
    <w:p w14:paraId="5F678659" w14:textId="77777777" w:rsidR="00F61DAA" w:rsidRPr="006C4017" w:rsidRDefault="00F61DAA">
      <w:pPr>
        <w:spacing w:line="259" w:lineRule="auto"/>
        <w:jc w:val="both"/>
        <w:rPr>
          <w:rFonts w:eastAsia="Calibri" w:cs="Arial"/>
          <w:sz w:val="22"/>
          <w:szCs w:val="22"/>
          <w:lang w:val="fr-BE"/>
        </w:rPr>
      </w:pPr>
      <w:r w:rsidRPr="006C4017">
        <w:rPr>
          <w:rFonts w:eastAsia="Calibri" w:cs="Arial"/>
          <w:sz w:val="22"/>
          <w:szCs w:val="22"/>
          <w:lang w:val="fr-BE"/>
        </w:rPr>
        <w:t>Un raisonnement identique peut être suivi en ce qui concerne le paiement de la prime de fin d’année : le travailleur ne peut en réclamer le paiement, même partiel, à l’employeur cédant. En outre, aucune indemnité de rupture n’est due et aucun C4 ne sera remis.</w:t>
      </w:r>
    </w:p>
    <w:p w14:paraId="2199E657" w14:textId="77777777" w:rsidR="00F61DAA" w:rsidRPr="006C4017" w:rsidRDefault="00F61DAA">
      <w:pPr>
        <w:jc w:val="both"/>
        <w:rPr>
          <w:rFonts w:eastAsia="Calibri" w:cs="Arial"/>
          <w:sz w:val="22"/>
          <w:szCs w:val="22"/>
          <w:lang w:val="fr-BE"/>
        </w:rPr>
      </w:pPr>
    </w:p>
    <w:p w14:paraId="28266190" w14:textId="4E319A74" w:rsidR="00F61DAA" w:rsidRPr="006C4017" w:rsidRDefault="00AB66D9" w:rsidP="006C4017">
      <w:pPr>
        <w:spacing w:after="160" w:line="259" w:lineRule="auto"/>
        <w:contextualSpacing/>
        <w:jc w:val="both"/>
        <w:rPr>
          <w:rFonts w:cs="Arial"/>
          <w:b/>
          <w:color w:val="00A0CB"/>
          <w:sz w:val="24"/>
          <w:lang w:val="fr-FR"/>
        </w:rPr>
      </w:pPr>
      <w:r w:rsidRPr="006C4017">
        <w:rPr>
          <w:rFonts w:cs="Arial"/>
          <w:b/>
          <w:color w:val="00A0CB"/>
          <w:sz w:val="24"/>
          <w:lang w:val="fr-FR"/>
        </w:rPr>
        <w:t xml:space="preserve">Que faire si </w:t>
      </w:r>
      <w:r w:rsidR="00D27B2E" w:rsidRPr="006C4017">
        <w:rPr>
          <w:rFonts w:cs="Arial"/>
          <w:b/>
          <w:color w:val="00A0CB"/>
          <w:sz w:val="24"/>
          <w:lang w:val="fr-FR"/>
        </w:rPr>
        <w:t>l’entreprise cessionnaire ne relève pas</w:t>
      </w:r>
      <w:r w:rsidRPr="006C4017">
        <w:rPr>
          <w:rFonts w:cs="Arial"/>
          <w:b/>
          <w:color w:val="00A0CB"/>
          <w:sz w:val="24"/>
          <w:lang w:val="fr-FR"/>
        </w:rPr>
        <w:t xml:space="preserve"> de la même C</w:t>
      </w:r>
      <w:r w:rsidR="00F61DAA" w:rsidRPr="006C4017">
        <w:rPr>
          <w:rFonts w:cs="Arial"/>
          <w:b/>
          <w:color w:val="00A0CB"/>
          <w:sz w:val="24"/>
          <w:lang w:val="fr-FR"/>
        </w:rPr>
        <w:t xml:space="preserve">ommission </w:t>
      </w:r>
      <w:r w:rsidRPr="006C4017">
        <w:rPr>
          <w:rFonts w:cs="Arial"/>
          <w:b/>
          <w:color w:val="00A0CB"/>
          <w:sz w:val="24"/>
          <w:lang w:val="fr-FR"/>
        </w:rPr>
        <w:t>P</w:t>
      </w:r>
      <w:r w:rsidR="00F61DAA" w:rsidRPr="006C4017">
        <w:rPr>
          <w:rFonts w:cs="Arial"/>
          <w:b/>
          <w:color w:val="00A0CB"/>
          <w:sz w:val="24"/>
          <w:lang w:val="fr-FR"/>
        </w:rPr>
        <w:t>aritaire</w:t>
      </w:r>
      <w:r w:rsidRPr="006C4017">
        <w:rPr>
          <w:rFonts w:cs="Arial"/>
          <w:b/>
          <w:color w:val="00A0CB"/>
          <w:sz w:val="24"/>
          <w:lang w:val="fr-FR"/>
        </w:rPr>
        <w:t> </w:t>
      </w:r>
      <w:r w:rsidR="00D27B2E" w:rsidRPr="006C4017">
        <w:rPr>
          <w:rFonts w:cs="Arial"/>
          <w:b/>
          <w:color w:val="00A0CB"/>
          <w:sz w:val="24"/>
          <w:lang w:val="fr-FR"/>
        </w:rPr>
        <w:t xml:space="preserve">que l’entreprise cédante </w:t>
      </w:r>
      <w:r w:rsidRPr="006C4017">
        <w:rPr>
          <w:rFonts w:cs="Arial"/>
          <w:b/>
          <w:color w:val="00A0CB"/>
          <w:sz w:val="24"/>
          <w:lang w:val="fr-FR"/>
        </w:rPr>
        <w:t>?</w:t>
      </w:r>
    </w:p>
    <w:p w14:paraId="49831890" w14:textId="3B692474" w:rsidR="00F61DAA" w:rsidRPr="006C4017" w:rsidRDefault="00D27B2E">
      <w:pPr>
        <w:spacing w:after="160"/>
        <w:jc w:val="both"/>
        <w:rPr>
          <w:rFonts w:eastAsia="Calibri" w:cs="Arial"/>
          <w:b/>
          <w:sz w:val="22"/>
          <w:szCs w:val="22"/>
          <w:u w:val="single"/>
          <w:lang w:val="fr-BE"/>
        </w:rPr>
      </w:pPr>
      <w:r w:rsidRPr="006C4017">
        <w:rPr>
          <w:rFonts w:eastAsia="Calibri" w:cs="Arial"/>
          <w:sz w:val="22"/>
          <w:szCs w:val="22"/>
          <w:lang w:val="fr-BE"/>
        </w:rPr>
        <w:t>Dans ce cas, l</w:t>
      </w:r>
      <w:r w:rsidR="00F61DAA" w:rsidRPr="006C4017">
        <w:rPr>
          <w:rFonts w:eastAsia="Calibri" w:cs="Arial"/>
          <w:sz w:val="22"/>
          <w:szCs w:val="22"/>
          <w:lang w:val="fr-BE"/>
        </w:rPr>
        <w:t xml:space="preserve">’employeur cessionnaire est tenu d’appliquer les dispositions les plus favorables des conventions collectives en vigueur tant au sein de la commission paritaire dont relève son entreprise qu’au sein de la commission paritaire dont relevait l’entreprise cédée. </w:t>
      </w:r>
    </w:p>
    <w:p w14:paraId="455217D7" w14:textId="4BA859F2" w:rsidR="00134258" w:rsidRPr="006C4017" w:rsidRDefault="00F61DAA">
      <w:pPr>
        <w:spacing w:line="259" w:lineRule="auto"/>
        <w:jc w:val="both"/>
        <w:rPr>
          <w:rFonts w:eastAsia="Calibri" w:cs="Arial"/>
          <w:sz w:val="22"/>
          <w:szCs w:val="22"/>
          <w:lang w:val="fr-BE"/>
        </w:rPr>
      </w:pPr>
      <w:r w:rsidRPr="006C4017">
        <w:rPr>
          <w:rFonts w:eastAsia="Calibri" w:cs="Arial"/>
          <w:sz w:val="22"/>
          <w:szCs w:val="22"/>
          <w:lang w:val="fr-BE"/>
        </w:rPr>
        <w:t>Selon la Cour de Cassation, bien que l’article 20 de la loi du 5 décembre 1968 tend uniquement à la protection des travailleurs en cas de cession et lui garantit le maintien des droits prévus par la convention collective de travail qui liait son ancien employeur jusqu’à ce qu’elle cesse de produire ses effets, elle n’exclut pas que le nouvel employeur doi</w:t>
      </w:r>
      <w:r w:rsidR="009F25C6" w:rsidRPr="006C4017">
        <w:rPr>
          <w:rFonts w:eastAsia="Calibri" w:cs="Arial"/>
          <w:sz w:val="22"/>
          <w:szCs w:val="22"/>
          <w:lang w:val="fr-BE"/>
        </w:rPr>
        <w:t>ve</w:t>
      </w:r>
      <w:r w:rsidRPr="006C4017">
        <w:rPr>
          <w:rFonts w:eastAsia="Calibri" w:cs="Arial"/>
          <w:sz w:val="22"/>
          <w:szCs w:val="22"/>
          <w:lang w:val="fr-BE"/>
        </w:rPr>
        <w:t xml:space="preserve"> accorder des conditions de travail plus favorables sur la base de la convention collective valable dans son entreprise. </w:t>
      </w:r>
    </w:p>
    <w:p w14:paraId="7969708A" w14:textId="77777777" w:rsidR="00F61DAA" w:rsidRPr="006C4017" w:rsidRDefault="00F61DAA">
      <w:pPr>
        <w:spacing w:line="259" w:lineRule="auto"/>
        <w:jc w:val="both"/>
        <w:rPr>
          <w:rFonts w:eastAsia="Calibri" w:cs="Arial"/>
          <w:sz w:val="22"/>
          <w:szCs w:val="22"/>
          <w:lang w:val="fr-BE"/>
        </w:rPr>
      </w:pPr>
    </w:p>
    <w:p w14:paraId="5D0F4B60" w14:textId="77777777" w:rsidR="00F61DAA" w:rsidRPr="006C4017" w:rsidRDefault="001F74DC" w:rsidP="006C4017">
      <w:pPr>
        <w:spacing w:after="160" w:line="259" w:lineRule="auto"/>
        <w:contextualSpacing/>
        <w:jc w:val="both"/>
        <w:rPr>
          <w:rFonts w:cs="Arial"/>
          <w:b/>
          <w:color w:val="00A0CB"/>
          <w:sz w:val="24"/>
          <w:lang w:val="fr-FR"/>
        </w:rPr>
      </w:pPr>
      <w:r w:rsidRPr="006C4017">
        <w:rPr>
          <w:rFonts w:cs="Arial"/>
          <w:b/>
          <w:color w:val="00A0CB"/>
          <w:sz w:val="24"/>
          <w:lang w:val="fr-FR"/>
        </w:rPr>
        <w:t xml:space="preserve">L’employeur cédant doit-il établir une déclaration </w:t>
      </w:r>
      <w:r w:rsidR="00F61DAA" w:rsidRPr="006C4017">
        <w:rPr>
          <w:rFonts w:cs="Arial"/>
          <w:b/>
          <w:color w:val="00A0CB"/>
          <w:sz w:val="24"/>
          <w:lang w:val="fr-FR"/>
        </w:rPr>
        <w:t>Dimona</w:t>
      </w:r>
      <w:r w:rsidRPr="006C4017">
        <w:rPr>
          <w:rFonts w:cs="Arial"/>
          <w:b/>
          <w:color w:val="00A0CB"/>
          <w:sz w:val="24"/>
          <w:lang w:val="fr-FR"/>
        </w:rPr>
        <w:t> ?</w:t>
      </w:r>
    </w:p>
    <w:p w14:paraId="0C30D3C4" w14:textId="43561EA6" w:rsidR="00590786" w:rsidRPr="006C4017" w:rsidRDefault="001F74DC" w:rsidP="006C4017">
      <w:pPr>
        <w:spacing w:line="280" w:lineRule="exact"/>
        <w:jc w:val="both"/>
        <w:rPr>
          <w:rFonts w:eastAsia="Calibri" w:cs="Arial"/>
          <w:sz w:val="22"/>
          <w:szCs w:val="22"/>
          <w:lang w:val="fr-BE"/>
        </w:rPr>
      </w:pPr>
      <w:r w:rsidRPr="006C4017">
        <w:rPr>
          <w:rFonts w:eastAsia="Calibri" w:cs="Arial"/>
          <w:sz w:val="22"/>
          <w:szCs w:val="22"/>
          <w:lang w:val="fr-BE"/>
        </w:rPr>
        <w:t>Ce dernier devra établir</w:t>
      </w:r>
      <w:r w:rsidR="00F61DAA" w:rsidRPr="006C4017">
        <w:rPr>
          <w:rFonts w:eastAsia="Calibri" w:cs="Arial"/>
          <w:sz w:val="22"/>
          <w:szCs w:val="22"/>
          <w:lang w:val="fr-BE"/>
        </w:rPr>
        <w:t xml:space="preserve">, au plus tard le premier jour ouvrable qui suit le transfert, une déclaration </w:t>
      </w:r>
      <w:r w:rsidR="005E054F">
        <w:rPr>
          <w:rFonts w:eastAsia="Calibri" w:cs="Arial"/>
          <w:sz w:val="22"/>
          <w:szCs w:val="22"/>
          <w:lang w:val="fr-BE"/>
        </w:rPr>
        <w:t>Dimona</w:t>
      </w:r>
      <w:r w:rsidR="00090CF3">
        <w:rPr>
          <w:rFonts w:eastAsia="Calibri" w:cs="Arial"/>
          <w:sz w:val="22"/>
          <w:szCs w:val="22"/>
          <w:lang w:val="fr-BE"/>
        </w:rPr>
        <w:t xml:space="preserve"> </w:t>
      </w:r>
      <w:r w:rsidR="00F61DAA" w:rsidRPr="006C4017">
        <w:rPr>
          <w:rFonts w:eastAsia="Calibri" w:cs="Arial"/>
          <w:sz w:val="22"/>
          <w:szCs w:val="22"/>
          <w:lang w:val="fr-BE"/>
        </w:rPr>
        <w:t xml:space="preserve">de sortie. </w:t>
      </w:r>
      <w:r w:rsidRPr="006C4017">
        <w:rPr>
          <w:rFonts w:eastAsia="Calibri" w:cs="Arial"/>
          <w:sz w:val="22"/>
          <w:szCs w:val="22"/>
          <w:lang w:val="fr-BE"/>
        </w:rPr>
        <w:t>De son côté, l</w:t>
      </w:r>
      <w:r w:rsidR="00F61DAA" w:rsidRPr="006C4017">
        <w:rPr>
          <w:rFonts w:eastAsia="Calibri" w:cs="Arial"/>
          <w:sz w:val="22"/>
          <w:szCs w:val="22"/>
          <w:lang w:val="fr-BE"/>
        </w:rPr>
        <w:t>’employeur cessionnaire établira, le jour du transfert, une déclaration D</w:t>
      </w:r>
      <w:r w:rsidR="00090CF3">
        <w:rPr>
          <w:rFonts w:eastAsia="Calibri" w:cs="Arial"/>
          <w:sz w:val="22"/>
          <w:szCs w:val="22"/>
          <w:lang w:val="fr-BE"/>
        </w:rPr>
        <w:t>imona</w:t>
      </w:r>
      <w:bookmarkStart w:id="0" w:name="_GoBack"/>
      <w:bookmarkEnd w:id="0"/>
      <w:r w:rsidR="00F61DAA" w:rsidRPr="006C4017">
        <w:rPr>
          <w:rFonts w:eastAsia="Calibri" w:cs="Arial"/>
          <w:sz w:val="22"/>
          <w:szCs w:val="22"/>
          <w:lang w:val="fr-BE"/>
        </w:rPr>
        <w:t xml:space="preserve"> d’entrée et afin d’indiquer le changement d’employeur aux organismes de sécurité sociale.</w:t>
      </w:r>
      <w:r w:rsidR="00590786" w:rsidRPr="006C4017" w:rsidDel="00590786">
        <w:rPr>
          <w:rFonts w:eastAsia="Calibri" w:cs="Arial"/>
          <w:sz w:val="22"/>
          <w:szCs w:val="22"/>
          <w:lang w:val="fr-BE"/>
        </w:rPr>
        <w:t xml:space="preserve"> </w:t>
      </w:r>
    </w:p>
    <w:p w14:paraId="4838B4F5" w14:textId="77777777" w:rsidR="00590786" w:rsidRDefault="00590786" w:rsidP="007D2BBB">
      <w:pPr>
        <w:spacing w:line="280" w:lineRule="exact"/>
        <w:rPr>
          <w:rFonts w:eastAsia="Calibri" w:cs="Arial"/>
          <w:szCs w:val="20"/>
          <w:lang w:val="fr-BE"/>
        </w:rPr>
      </w:pPr>
    </w:p>
    <w:p w14:paraId="42830208" w14:textId="77777777" w:rsidR="00590786" w:rsidRDefault="00590786" w:rsidP="007D2BBB">
      <w:pPr>
        <w:spacing w:line="280" w:lineRule="exact"/>
        <w:rPr>
          <w:rFonts w:eastAsia="Calibri" w:cs="Arial"/>
          <w:szCs w:val="20"/>
          <w:lang w:val="fr-BE"/>
        </w:rPr>
      </w:pPr>
    </w:p>
    <w:p w14:paraId="36F1BD61" w14:textId="6D0D9982" w:rsidR="00A420DF" w:rsidRPr="00451984" w:rsidRDefault="00A420DF" w:rsidP="00A420DF">
      <w:pPr>
        <w:rPr>
          <w:rFonts w:cs="Arial"/>
          <w:color w:val="F6A500"/>
          <w:sz w:val="28"/>
          <w:szCs w:val="28"/>
          <w:lang w:val="fr-FR"/>
        </w:rPr>
      </w:pPr>
      <w:r>
        <w:rPr>
          <w:rFonts w:cs="Arial"/>
          <w:color w:val="F6A500"/>
          <w:sz w:val="28"/>
          <w:szCs w:val="28"/>
          <w:lang w:val="fr-FR"/>
        </w:rPr>
        <w:t>A propos de</w:t>
      </w:r>
      <w:r w:rsidRPr="00451984">
        <w:rPr>
          <w:rFonts w:cs="Arial"/>
          <w:color w:val="F6A500"/>
          <w:sz w:val="28"/>
          <w:szCs w:val="28"/>
          <w:lang w:val="fr-FR"/>
        </w:rPr>
        <w:t xml:space="preserve"> Partena Professional</w:t>
      </w:r>
    </w:p>
    <w:p w14:paraId="72FB0F39" w14:textId="77777777" w:rsidR="00A420DF" w:rsidRPr="00451984" w:rsidRDefault="00A420DF" w:rsidP="00A420DF">
      <w:pPr>
        <w:jc w:val="both"/>
        <w:rPr>
          <w:sz w:val="18"/>
          <w:szCs w:val="18"/>
          <w:lang w:val="fr-FR"/>
        </w:rPr>
      </w:pPr>
      <w:r w:rsidRPr="00BB3EF6">
        <w:rPr>
          <w:szCs w:val="18"/>
          <w:lang w:val="fr-FR"/>
        </w:rPr>
        <w:t xml:space="preserve">Partena Professional est un prestataire de services qui met résolument l’accent sur l’entrepreneuriat et la gestion du personnel. Partena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divers types de consultance (RH, juridique…). 1500 collaborateurs y sont au service de plus de 200.000 entreprises et indépendants et réalisent 150 millions d’euros de chiffre d’affaires par an. Pour de plus amples informations, consultez </w:t>
      </w:r>
      <w:hyperlink r:id="rId10" w:history="1">
        <w:r w:rsidRPr="00BB3EF6">
          <w:rPr>
            <w:rStyle w:val="Hyperlink"/>
            <w:szCs w:val="18"/>
            <w:lang w:val="fr-FR"/>
          </w:rPr>
          <w:t>www.partena-professional.be</w:t>
        </w:r>
      </w:hyperlink>
      <w:r w:rsidRPr="00BB3EF6">
        <w:rPr>
          <w:rStyle w:val="Hyperlink"/>
          <w:color w:val="auto"/>
          <w:szCs w:val="18"/>
          <w:u w:val="none"/>
          <w:lang w:val="fr-FR"/>
        </w:rPr>
        <w:t>.</w:t>
      </w:r>
    </w:p>
    <w:p w14:paraId="2C48A146" w14:textId="5471E358" w:rsidR="007D2BBB" w:rsidRPr="007E4A20" w:rsidRDefault="007D2BBB" w:rsidP="006C4017">
      <w:pPr>
        <w:spacing w:line="280" w:lineRule="exact"/>
        <w:rPr>
          <w:rFonts w:cs="Arial"/>
          <w:szCs w:val="20"/>
          <w:lang w:val="de-DE"/>
        </w:rPr>
      </w:pPr>
    </w:p>
    <w:sectPr w:rsidR="007D2BBB" w:rsidRPr="007E4A20" w:rsidSect="00F13C96">
      <w:headerReference w:type="default" r:id="rId11"/>
      <w:footerReference w:type="default" r:id="rId12"/>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09C59" w14:textId="77777777" w:rsidR="00987B1F" w:rsidRDefault="00987B1F">
      <w:r>
        <w:separator/>
      </w:r>
    </w:p>
  </w:endnote>
  <w:endnote w:type="continuationSeparator" w:id="0">
    <w:p w14:paraId="0006B1F7" w14:textId="77777777" w:rsidR="00987B1F" w:rsidRDefault="0098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0BB45" w14:textId="302B853B" w:rsidR="00987B1F" w:rsidRPr="00CB07BB" w:rsidRDefault="00987B1F">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345DCF94" wp14:editId="0DF130CB">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E7A2E"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78E98EEB" wp14:editId="331CCFE6">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06E36" w14:textId="10A2EF3E" w:rsidR="00987B1F" w:rsidRDefault="00987B1F">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090CF3">
                            <w:rPr>
                              <w:rStyle w:val="PageNumber"/>
                              <w:rFonts w:cs="Arial"/>
                              <w:noProof/>
                              <w:sz w:val="16"/>
                            </w:rPr>
                            <w:t>3</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090CF3">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73606E36" w14:textId="10A2EF3E" w:rsidR="00987B1F" w:rsidRDefault="00987B1F">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090CF3">
                      <w:rPr>
                        <w:rStyle w:val="PageNumber"/>
                        <w:rFonts w:cs="Arial"/>
                        <w:noProof/>
                        <w:sz w:val="16"/>
                      </w:rPr>
                      <w:t>3</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090CF3">
                      <w:rPr>
                        <w:rStyle w:val="PageNumber"/>
                        <w:rFonts w:cs="Arial"/>
                        <w:noProof/>
                        <w:sz w:val="16"/>
                      </w:rPr>
                      <w:t>3</w:t>
                    </w:r>
                    <w:r w:rsidRPr="00513D1D">
                      <w:rPr>
                        <w:rStyle w:val="PageNumber"/>
                        <w:rFonts w:cs="Arial"/>
                        <w:sz w:val="16"/>
                      </w:rPr>
                      <w:fldChar w:fldCharType="end"/>
                    </w:r>
                  </w:p>
                </w:txbxContent>
              </v:textbox>
            </v:shape>
          </w:pict>
        </mc:Fallback>
      </mc:AlternateContent>
    </w:r>
    <w:r>
      <w:rPr>
        <w:rFonts w:ascii="Arial" w:hAnsi="Arial" w:cs="Arial"/>
        <w:sz w:val="16"/>
        <w:lang w:val="nl-BE"/>
      </w:rPr>
      <w:t>Septembre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34E99" w14:textId="77777777" w:rsidR="00987B1F" w:rsidRDefault="00987B1F">
      <w:r>
        <w:separator/>
      </w:r>
    </w:p>
  </w:footnote>
  <w:footnote w:type="continuationSeparator" w:id="0">
    <w:p w14:paraId="26C4EB55" w14:textId="77777777" w:rsidR="00987B1F" w:rsidRDefault="00987B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606C" w14:textId="77777777" w:rsidR="00987B1F" w:rsidRDefault="00987B1F" w:rsidP="00CC3F32">
    <w:pPr>
      <w:pStyle w:val="Header"/>
      <w:jc w:val="center"/>
    </w:pPr>
    <w:r>
      <w:rPr>
        <w:noProof/>
      </w:rPr>
      <w:drawing>
        <wp:inline distT="0" distB="0" distL="0" distR="0" wp14:anchorId="33FBBA2A" wp14:editId="5B21A257">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2EF0021A" w14:textId="77777777" w:rsidR="00987B1F" w:rsidRDefault="00987B1F"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2251AF8"/>
    <w:multiLevelType w:val="hybridMultilevel"/>
    <w:tmpl w:val="BA76FB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5BF4BA8"/>
    <w:multiLevelType w:val="hybridMultilevel"/>
    <w:tmpl w:val="5A722E6C"/>
    <w:lvl w:ilvl="0" w:tplc="08130001">
      <w:start w:val="1"/>
      <w:numFmt w:val="bullet"/>
      <w:lvlText w:val=""/>
      <w:lvlJc w:val="left"/>
      <w:pPr>
        <w:ind w:left="771" w:hanging="360"/>
      </w:pPr>
      <w:rPr>
        <w:rFonts w:ascii="Symbol" w:hAnsi="Symbol" w:hint="default"/>
      </w:rPr>
    </w:lvl>
    <w:lvl w:ilvl="1" w:tplc="08130003" w:tentative="1">
      <w:start w:val="1"/>
      <w:numFmt w:val="bullet"/>
      <w:lvlText w:val="o"/>
      <w:lvlJc w:val="left"/>
      <w:pPr>
        <w:ind w:left="1491" w:hanging="360"/>
      </w:pPr>
      <w:rPr>
        <w:rFonts w:ascii="Courier New" w:hAnsi="Courier New" w:cs="Courier New" w:hint="default"/>
      </w:rPr>
    </w:lvl>
    <w:lvl w:ilvl="2" w:tplc="08130005" w:tentative="1">
      <w:start w:val="1"/>
      <w:numFmt w:val="bullet"/>
      <w:lvlText w:val=""/>
      <w:lvlJc w:val="left"/>
      <w:pPr>
        <w:ind w:left="2211" w:hanging="360"/>
      </w:pPr>
      <w:rPr>
        <w:rFonts w:ascii="Wingdings" w:hAnsi="Wingdings" w:hint="default"/>
      </w:rPr>
    </w:lvl>
    <w:lvl w:ilvl="3" w:tplc="08130001" w:tentative="1">
      <w:start w:val="1"/>
      <w:numFmt w:val="bullet"/>
      <w:lvlText w:val=""/>
      <w:lvlJc w:val="left"/>
      <w:pPr>
        <w:ind w:left="2931" w:hanging="360"/>
      </w:pPr>
      <w:rPr>
        <w:rFonts w:ascii="Symbol" w:hAnsi="Symbol" w:hint="default"/>
      </w:rPr>
    </w:lvl>
    <w:lvl w:ilvl="4" w:tplc="08130003" w:tentative="1">
      <w:start w:val="1"/>
      <w:numFmt w:val="bullet"/>
      <w:lvlText w:val="o"/>
      <w:lvlJc w:val="left"/>
      <w:pPr>
        <w:ind w:left="3651" w:hanging="360"/>
      </w:pPr>
      <w:rPr>
        <w:rFonts w:ascii="Courier New" w:hAnsi="Courier New" w:cs="Courier New" w:hint="default"/>
      </w:rPr>
    </w:lvl>
    <w:lvl w:ilvl="5" w:tplc="08130005" w:tentative="1">
      <w:start w:val="1"/>
      <w:numFmt w:val="bullet"/>
      <w:lvlText w:val=""/>
      <w:lvlJc w:val="left"/>
      <w:pPr>
        <w:ind w:left="4371" w:hanging="360"/>
      </w:pPr>
      <w:rPr>
        <w:rFonts w:ascii="Wingdings" w:hAnsi="Wingdings" w:hint="default"/>
      </w:rPr>
    </w:lvl>
    <w:lvl w:ilvl="6" w:tplc="08130001" w:tentative="1">
      <w:start w:val="1"/>
      <w:numFmt w:val="bullet"/>
      <w:lvlText w:val=""/>
      <w:lvlJc w:val="left"/>
      <w:pPr>
        <w:ind w:left="5091" w:hanging="360"/>
      </w:pPr>
      <w:rPr>
        <w:rFonts w:ascii="Symbol" w:hAnsi="Symbol" w:hint="default"/>
      </w:rPr>
    </w:lvl>
    <w:lvl w:ilvl="7" w:tplc="08130003" w:tentative="1">
      <w:start w:val="1"/>
      <w:numFmt w:val="bullet"/>
      <w:lvlText w:val="o"/>
      <w:lvlJc w:val="left"/>
      <w:pPr>
        <w:ind w:left="5811" w:hanging="360"/>
      </w:pPr>
      <w:rPr>
        <w:rFonts w:ascii="Courier New" w:hAnsi="Courier New" w:cs="Courier New" w:hint="default"/>
      </w:rPr>
    </w:lvl>
    <w:lvl w:ilvl="8" w:tplc="08130005" w:tentative="1">
      <w:start w:val="1"/>
      <w:numFmt w:val="bullet"/>
      <w:lvlText w:val=""/>
      <w:lvlJc w:val="left"/>
      <w:pPr>
        <w:ind w:left="6531" w:hanging="360"/>
      </w:pPr>
      <w:rPr>
        <w:rFonts w:ascii="Wingdings" w:hAnsi="Wingdings" w:hint="default"/>
      </w:rPr>
    </w:lvl>
  </w:abstractNum>
  <w:abstractNum w:abstractNumId="10">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D429F5"/>
    <w:multiLevelType w:val="hybridMultilevel"/>
    <w:tmpl w:val="79181F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F872629"/>
    <w:multiLevelType w:val="hybridMultilevel"/>
    <w:tmpl w:val="4E00A74A"/>
    <w:lvl w:ilvl="0" w:tplc="08130001">
      <w:start w:val="1"/>
      <w:numFmt w:val="bullet"/>
      <w:lvlText w:val=""/>
      <w:lvlJc w:val="left"/>
      <w:pPr>
        <w:ind w:left="771" w:hanging="360"/>
      </w:pPr>
      <w:rPr>
        <w:rFonts w:ascii="Symbol" w:hAnsi="Symbol" w:hint="default"/>
      </w:rPr>
    </w:lvl>
    <w:lvl w:ilvl="1" w:tplc="08130003" w:tentative="1">
      <w:start w:val="1"/>
      <w:numFmt w:val="bullet"/>
      <w:lvlText w:val="o"/>
      <w:lvlJc w:val="left"/>
      <w:pPr>
        <w:ind w:left="1491" w:hanging="360"/>
      </w:pPr>
      <w:rPr>
        <w:rFonts w:ascii="Courier New" w:hAnsi="Courier New" w:cs="Courier New" w:hint="default"/>
      </w:rPr>
    </w:lvl>
    <w:lvl w:ilvl="2" w:tplc="08130005" w:tentative="1">
      <w:start w:val="1"/>
      <w:numFmt w:val="bullet"/>
      <w:lvlText w:val=""/>
      <w:lvlJc w:val="left"/>
      <w:pPr>
        <w:ind w:left="2211" w:hanging="360"/>
      </w:pPr>
      <w:rPr>
        <w:rFonts w:ascii="Wingdings" w:hAnsi="Wingdings" w:hint="default"/>
      </w:rPr>
    </w:lvl>
    <w:lvl w:ilvl="3" w:tplc="08130001" w:tentative="1">
      <w:start w:val="1"/>
      <w:numFmt w:val="bullet"/>
      <w:lvlText w:val=""/>
      <w:lvlJc w:val="left"/>
      <w:pPr>
        <w:ind w:left="2931" w:hanging="360"/>
      </w:pPr>
      <w:rPr>
        <w:rFonts w:ascii="Symbol" w:hAnsi="Symbol" w:hint="default"/>
      </w:rPr>
    </w:lvl>
    <w:lvl w:ilvl="4" w:tplc="08130003" w:tentative="1">
      <w:start w:val="1"/>
      <w:numFmt w:val="bullet"/>
      <w:lvlText w:val="o"/>
      <w:lvlJc w:val="left"/>
      <w:pPr>
        <w:ind w:left="3651" w:hanging="360"/>
      </w:pPr>
      <w:rPr>
        <w:rFonts w:ascii="Courier New" w:hAnsi="Courier New" w:cs="Courier New" w:hint="default"/>
      </w:rPr>
    </w:lvl>
    <w:lvl w:ilvl="5" w:tplc="08130005" w:tentative="1">
      <w:start w:val="1"/>
      <w:numFmt w:val="bullet"/>
      <w:lvlText w:val=""/>
      <w:lvlJc w:val="left"/>
      <w:pPr>
        <w:ind w:left="4371" w:hanging="360"/>
      </w:pPr>
      <w:rPr>
        <w:rFonts w:ascii="Wingdings" w:hAnsi="Wingdings" w:hint="default"/>
      </w:rPr>
    </w:lvl>
    <w:lvl w:ilvl="6" w:tplc="08130001" w:tentative="1">
      <w:start w:val="1"/>
      <w:numFmt w:val="bullet"/>
      <w:lvlText w:val=""/>
      <w:lvlJc w:val="left"/>
      <w:pPr>
        <w:ind w:left="5091" w:hanging="360"/>
      </w:pPr>
      <w:rPr>
        <w:rFonts w:ascii="Symbol" w:hAnsi="Symbol" w:hint="default"/>
      </w:rPr>
    </w:lvl>
    <w:lvl w:ilvl="7" w:tplc="08130003" w:tentative="1">
      <w:start w:val="1"/>
      <w:numFmt w:val="bullet"/>
      <w:lvlText w:val="o"/>
      <w:lvlJc w:val="left"/>
      <w:pPr>
        <w:ind w:left="5811" w:hanging="360"/>
      </w:pPr>
      <w:rPr>
        <w:rFonts w:ascii="Courier New" w:hAnsi="Courier New" w:cs="Courier New" w:hint="default"/>
      </w:rPr>
    </w:lvl>
    <w:lvl w:ilvl="8" w:tplc="08130005" w:tentative="1">
      <w:start w:val="1"/>
      <w:numFmt w:val="bullet"/>
      <w:lvlText w:val=""/>
      <w:lvlJc w:val="left"/>
      <w:pPr>
        <w:ind w:left="6531" w:hanging="360"/>
      </w:pPr>
      <w:rPr>
        <w:rFonts w:ascii="Wingdings" w:hAnsi="Wingdings" w:hint="default"/>
      </w:rPr>
    </w:lvl>
  </w:abstractNum>
  <w:abstractNum w:abstractNumId="17">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83AF5"/>
    <w:multiLevelType w:val="hybridMultilevel"/>
    <w:tmpl w:val="0188F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4CA419A"/>
    <w:multiLevelType w:val="hybridMultilevel"/>
    <w:tmpl w:val="EA08FD4A"/>
    <w:lvl w:ilvl="0" w:tplc="0813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nsid w:val="7568796F"/>
    <w:multiLevelType w:val="hybridMultilevel"/>
    <w:tmpl w:val="D17409CE"/>
    <w:lvl w:ilvl="0" w:tplc="9BBAC0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2867AD"/>
    <w:multiLevelType w:val="hybridMultilevel"/>
    <w:tmpl w:val="3BB05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0"/>
  </w:num>
  <w:num w:numId="4">
    <w:abstractNumId w:val="8"/>
  </w:num>
  <w:num w:numId="5">
    <w:abstractNumId w:val="1"/>
  </w:num>
  <w:num w:numId="6">
    <w:abstractNumId w:val="6"/>
  </w:num>
  <w:num w:numId="7">
    <w:abstractNumId w:val="2"/>
  </w:num>
  <w:num w:numId="8">
    <w:abstractNumId w:val="4"/>
  </w:num>
  <w:num w:numId="9">
    <w:abstractNumId w:val="21"/>
  </w:num>
  <w:num w:numId="10">
    <w:abstractNumId w:val="12"/>
  </w:num>
  <w:num w:numId="11">
    <w:abstractNumId w:val="13"/>
  </w:num>
  <w:num w:numId="12">
    <w:abstractNumId w:val="3"/>
  </w:num>
  <w:num w:numId="13">
    <w:abstractNumId w:val="24"/>
  </w:num>
  <w:num w:numId="14">
    <w:abstractNumId w:val="10"/>
  </w:num>
  <w:num w:numId="15">
    <w:abstractNumId w:val="11"/>
  </w:num>
  <w:num w:numId="16">
    <w:abstractNumId w:val="27"/>
  </w:num>
  <w:num w:numId="17">
    <w:abstractNumId w:val="17"/>
  </w:num>
  <w:num w:numId="18">
    <w:abstractNumId w:val="18"/>
  </w:num>
  <w:num w:numId="19">
    <w:abstractNumId w:val="26"/>
  </w:num>
  <w:num w:numId="20">
    <w:abstractNumId w:val="5"/>
  </w:num>
  <w:num w:numId="21">
    <w:abstractNumId w:val="7"/>
  </w:num>
  <w:num w:numId="22">
    <w:abstractNumId w:val="16"/>
  </w:num>
  <w:num w:numId="23">
    <w:abstractNumId w:val="9"/>
  </w:num>
  <w:num w:numId="24">
    <w:abstractNumId w:val="15"/>
  </w:num>
  <w:num w:numId="25">
    <w:abstractNumId w:val="22"/>
  </w:num>
  <w:num w:numId="26">
    <w:abstractNumId w:val="23"/>
  </w:num>
  <w:num w:numId="27">
    <w:abstractNumId w:val="19"/>
  </w:num>
  <w:num w:numId="28">
    <w:abstractNumId w:val="2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386"/>
    <w:rsid w:val="000066F1"/>
    <w:rsid w:val="00006A68"/>
    <w:rsid w:val="00006C6F"/>
    <w:rsid w:val="0003119A"/>
    <w:rsid w:val="0003362C"/>
    <w:rsid w:val="00033975"/>
    <w:rsid w:val="00037320"/>
    <w:rsid w:val="00037DBF"/>
    <w:rsid w:val="00037F58"/>
    <w:rsid w:val="00043B84"/>
    <w:rsid w:val="000500ED"/>
    <w:rsid w:val="00050ABC"/>
    <w:rsid w:val="000562B4"/>
    <w:rsid w:val="00062525"/>
    <w:rsid w:val="00063A7A"/>
    <w:rsid w:val="00066118"/>
    <w:rsid w:val="000679D9"/>
    <w:rsid w:val="00067EF7"/>
    <w:rsid w:val="00071D95"/>
    <w:rsid w:val="00072460"/>
    <w:rsid w:val="000800C2"/>
    <w:rsid w:val="00084AE7"/>
    <w:rsid w:val="00085622"/>
    <w:rsid w:val="00090CF3"/>
    <w:rsid w:val="00092A5D"/>
    <w:rsid w:val="00096AE0"/>
    <w:rsid w:val="000A2C4A"/>
    <w:rsid w:val="000A417D"/>
    <w:rsid w:val="000A4D91"/>
    <w:rsid w:val="000A7189"/>
    <w:rsid w:val="000A7B84"/>
    <w:rsid w:val="000B0717"/>
    <w:rsid w:val="000B0E86"/>
    <w:rsid w:val="000B287A"/>
    <w:rsid w:val="000B3D6C"/>
    <w:rsid w:val="000B3F0C"/>
    <w:rsid w:val="000B4E82"/>
    <w:rsid w:val="000B5F0E"/>
    <w:rsid w:val="000B75B5"/>
    <w:rsid w:val="000B79ED"/>
    <w:rsid w:val="000C0582"/>
    <w:rsid w:val="000C3B4C"/>
    <w:rsid w:val="000D0FFC"/>
    <w:rsid w:val="000D1133"/>
    <w:rsid w:val="000D2124"/>
    <w:rsid w:val="000D305B"/>
    <w:rsid w:val="000D3292"/>
    <w:rsid w:val="000E17DF"/>
    <w:rsid w:val="000E2C81"/>
    <w:rsid w:val="000E3173"/>
    <w:rsid w:val="000E592C"/>
    <w:rsid w:val="000F21B0"/>
    <w:rsid w:val="000F231C"/>
    <w:rsid w:val="000F384D"/>
    <w:rsid w:val="000F4C96"/>
    <w:rsid w:val="0010043C"/>
    <w:rsid w:val="00101A19"/>
    <w:rsid w:val="00101B91"/>
    <w:rsid w:val="00102733"/>
    <w:rsid w:val="00104823"/>
    <w:rsid w:val="00105CC6"/>
    <w:rsid w:val="00105FE8"/>
    <w:rsid w:val="00106177"/>
    <w:rsid w:val="00112946"/>
    <w:rsid w:val="0012086F"/>
    <w:rsid w:val="00125155"/>
    <w:rsid w:val="001312F8"/>
    <w:rsid w:val="001325CE"/>
    <w:rsid w:val="00133D2C"/>
    <w:rsid w:val="00134258"/>
    <w:rsid w:val="00136198"/>
    <w:rsid w:val="00136C40"/>
    <w:rsid w:val="001375AB"/>
    <w:rsid w:val="00143379"/>
    <w:rsid w:val="00143F6F"/>
    <w:rsid w:val="0015160D"/>
    <w:rsid w:val="001520CA"/>
    <w:rsid w:val="001521BF"/>
    <w:rsid w:val="001537DB"/>
    <w:rsid w:val="00153C97"/>
    <w:rsid w:val="0015756A"/>
    <w:rsid w:val="001601C9"/>
    <w:rsid w:val="00160B36"/>
    <w:rsid w:val="0016242A"/>
    <w:rsid w:val="0017505D"/>
    <w:rsid w:val="00176F1B"/>
    <w:rsid w:val="001805C7"/>
    <w:rsid w:val="00187E6F"/>
    <w:rsid w:val="0019700E"/>
    <w:rsid w:val="001A0394"/>
    <w:rsid w:val="001A19A9"/>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7C16"/>
    <w:rsid w:val="001F24D4"/>
    <w:rsid w:val="001F2561"/>
    <w:rsid w:val="001F3E08"/>
    <w:rsid w:val="001F74DC"/>
    <w:rsid w:val="001F7D87"/>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CCF"/>
    <w:rsid w:val="00260AD8"/>
    <w:rsid w:val="00262F71"/>
    <w:rsid w:val="00275BEC"/>
    <w:rsid w:val="0027610F"/>
    <w:rsid w:val="00281109"/>
    <w:rsid w:val="00281D48"/>
    <w:rsid w:val="00282A40"/>
    <w:rsid w:val="002870E8"/>
    <w:rsid w:val="002902A9"/>
    <w:rsid w:val="00290EF5"/>
    <w:rsid w:val="002960B1"/>
    <w:rsid w:val="002963DE"/>
    <w:rsid w:val="002971E3"/>
    <w:rsid w:val="002A0503"/>
    <w:rsid w:val="002A08D0"/>
    <w:rsid w:val="002A3A4D"/>
    <w:rsid w:val="002A451B"/>
    <w:rsid w:val="002B31FC"/>
    <w:rsid w:val="002C0532"/>
    <w:rsid w:val="002C0F73"/>
    <w:rsid w:val="002C1C53"/>
    <w:rsid w:val="002C2322"/>
    <w:rsid w:val="002C351C"/>
    <w:rsid w:val="002C59CA"/>
    <w:rsid w:val="002C6179"/>
    <w:rsid w:val="002C6CD9"/>
    <w:rsid w:val="002C7E4C"/>
    <w:rsid w:val="002D44B9"/>
    <w:rsid w:val="002D5C10"/>
    <w:rsid w:val="002E1070"/>
    <w:rsid w:val="002E60CC"/>
    <w:rsid w:val="002E6354"/>
    <w:rsid w:val="002F79FB"/>
    <w:rsid w:val="002F7B36"/>
    <w:rsid w:val="0030464C"/>
    <w:rsid w:val="00304C97"/>
    <w:rsid w:val="0030570C"/>
    <w:rsid w:val="00310BAF"/>
    <w:rsid w:val="00310D25"/>
    <w:rsid w:val="00314EEF"/>
    <w:rsid w:val="00321CE5"/>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51CD"/>
    <w:rsid w:val="00356146"/>
    <w:rsid w:val="003561D9"/>
    <w:rsid w:val="0036158C"/>
    <w:rsid w:val="00363740"/>
    <w:rsid w:val="00364A6C"/>
    <w:rsid w:val="00366C35"/>
    <w:rsid w:val="0037037E"/>
    <w:rsid w:val="003706F6"/>
    <w:rsid w:val="00370C5B"/>
    <w:rsid w:val="003763E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4CD3"/>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3FC0"/>
    <w:rsid w:val="003F6949"/>
    <w:rsid w:val="00401562"/>
    <w:rsid w:val="004028DE"/>
    <w:rsid w:val="00402CC6"/>
    <w:rsid w:val="00403541"/>
    <w:rsid w:val="0040497D"/>
    <w:rsid w:val="004106B1"/>
    <w:rsid w:val="00422FFB"/>
    <w:rsid w:val="00432F5D"/>
    <w:rsid w:val="00433113"/>
    <w:rsid w:val="004352AE"/>
    <w:rsid w:val="00441D35"/>
    <w:rsid w:val="00445677"/>
    <w:rsid w:val="004524A7"/>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6E43"/>
    <w:rsid w:val="004A7EC0"/>
    <w:rsid w:val="004B180E"/>
    <w:rsid w:val="004B1AF5"/>
    <w:rsid w:val="004B287C"/>
    <w:rsid w:val="004B2CAA"/>
    <w:rsid w:val="004B3726"/>
    <w:rsid w:val="004B4EF3"/>
    <w:rsid w:val="004B6590"/>
    <w:rsid w:val="004B7187"/>
    <w:rsid w:val="004C09D6"/>
    <w:rsid w:val="004C1CAF"/>
    <w:rsid w:val="004C2A3D"/>
    <w:rsid w:val="004C515F"/>
    <w:rsid w:val="004C6721"/>
    <w:rsid w:val="004C7BA7"/>
    <w:rsid w:val="004C7CEE"/>
    <w:rsid w:val="004D56BE"/>
    <w:rsid w:val="004D5F3B"/>
    <w:rsid w:val="004E2569"/>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0EBB"/>
    <w:rsid w:val="005416A7"/>
    <w:rsid w:val="00541F6B"/>
    <w:rsid w:val="00542575"/>
    <w:rsid w:val="00542CE1"/>
    <w:rsid w:val="00543C47"/>
    <w:rsid w:val="00545EDE"/>
    <w:rsid w:val="0054660F"/>
    <w:rsid w:val="00546BC7"/>
    <w:rsid w:val="00552884"/>
    <w:rsid w:val="005539DF"/>
    <w:rsid w:val="00554B57"/>
    <w:rsid w:val="0056220C"/>
    <w:rsid w:val="0056455F"/>
    <w:rsid w:val="005665A5"/>
    <w:rsid w:val="00567080"/>
    <w:rsid w:val="00567595"/>
    <w:rsid w:val="005677F8"/>
    <w:rsid w:val="005720BC"/>
    <w:rsid w:val="005729CA"/>
    <w:rsid w:val="00573DFB"/>
    <w:rsid w:val="00575AF1"/>
    <w:rsid w:val="00576084"/>
    <w:rsid w:val="00581AAD"/>
    <w:rsid w:val="005831AA"/>
    <w:rsid w:val="0058399E"/>
    <w:rsid w:val="00584582"/>
    <w:rsid w:val="005862DE"/>
    <w:rsid w:val="00586361"/>
    <w:rsid w:val="005869B3"/>
    <w:rsid w:val="00590786"/>
    <w:rsid w:val="00594AC8"/>
    <w:rsid w:val="00597396"/>
    <w:rsid w:val="005A252B"/>
    <w:rsid w:val="005A29F4"/>
    <w:rsid w:val="005A2BCF"/>
    <w:rsid w:val="005A344E"/>
    <w:rsid w:val="005A3D83"/>
    <w:rsid w:val="005B4223"/>
    <w:rsid w:val="005B54DE"/>
    <w:rsid w:val="005B5EC5"/>
    <w:rsid w:val="005B6C5E"/>
    <w:rsid w:val="005D11A9"/>
    <w:rsid w:val="005D1FDA"/>
    <w:rsid w:val="005D2E5C"/>
    <w:rsid w:val="005D2ED3"/>
    <w:rsid w:val="005D6A12"/>
    <w:rsid w:val="005D7BC7"/>
    <w:rsid w:val="005E054F"/>
    <w:rsid w:val="005E0964"/>
    <w:rsid w:val="005E0CB6"/>
    <w:rsid w:val="005E1DC3"/>
    <w:rsid w:val="005E5741"/>
    <w:rsid w:val="005E5A0F"/>
    <w:rsid w:val="005E5FC7"/>
    <w:rsid w:val="005E7BF4"/>
    <w:rsid w:val="005F1719"/>
    <w:rsid w:val="005F2904"/>
    <w:rsid w:val="005F507A"/>
    <w:rsid w:val="005F6469"/>
    <w:rsid w:val="00602D93"/>
    <w:rsid w:val="006061AE"/>
    <w:rsid w:val="0061160F"/>
    <w:rsid w:val="00613107"/>
    <w:rsid w:val="00616AB2"/>
    <w:rsid w:val="006206E5"/>
    <w:rsid w:val="006210E4"/>
    <w:rsid w:val="006228F6"/>
    <w:rsid w:val="0062290C"/>
    <w:rsid w:val="00623C1C"/>
    <w:rsid w:val="00624A03"/>
    <w:rsid w:val="00627428"/>
    <w:rsid w:val="00630667"/>
    <w:rsid w:val="00631FF8"/>
    <w:rsid w:val="00632F90"/>
    <w:rsid w:val="0063591B"/>
    <w:rsid w:val="00636F72"/>
    <w:rsid w:val="00637B9A"/>
    <w:rsid w:val="0064458A"/>
    <w:rsid w:val="0064548A"/>
    <w:rsid w:val="00647226"/>
    <w:rsid w:val="00647290"/>
    <w:rsid w:val="00650DF9"/>
    <w:rsid w:val="0065130C"/>
    <w:rsid w:val="0065243F"/>
    <w:rsid w:val="00653252"/>
    <w:rsid w:val="006565A3"/>
    <w:rsid w:val="00657F89"/>
    <w:rsid w:val="00661BC9"/>
    <w:rsid w:val="006637E0"/>
    <w:rsid w:val="006639B1"/>
    <w:rsid w:val="00671D35"/>
    <w:rsid w:val="00681007"/>
    <w:rsid w:val="00684B83"/>
    <w:rsid w:val="00690B88"/>
    <w:rsid w:val="00690F93"/>
    <w:rsid w:val="00692830"/>
    <w:rsid w:val="006928D1"/>
    <w:rsid w:val="00696071"/>
    <w:rsid w:val="006A42F7"/>
    <w:rsid w:val="006A6D08"/>
    <w:rsid w:val="006A733D"/>
    <w:rsid w:val="006B24DB"/>
    <w:rsid w:val="006B2A7B"/>
    <w:rsid w:val="006B4810"/>
    <w:rsid w:val="006B5402"/>
    <w:rsid w:val="006B6761"/>
    <w:rsid w:val="006B6CF2"/>
    <w:rsid w:val="006B730A"/>
    <w:rsid w:val="006B7C48"/>
    <w:rsid w:val="006C4017"/>
    <w:rsid w:val="006D15E3"/>
    <w:rsid w:val="006D2D2E"/>
    <w:rsid w:val="006D33D8"/>
    <w:rsid w:val="006D5884"/>
    <w:rsid w:val="006D5C7C"/>
    <w:rsid w:val="006E144F"/>
    <w:rsid w:val="006E5756"/>
    <w:rsid w:val="006E68F3"/>
    <w:rsid w:val="006F2E7B"/>
    <w:rsid w:val="006F4BE7"/>
    <w:rsid w:val="006F4E11"/>
    <w:rsid w:val="006F4FDC"/>
    <w:rsid w:val="007006F2"/>
    <w:rsid w:val="007065B0"/>
    <w:rsid w:val="007133F8"/>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54592"/>
    <w:rsid w:val="00760905"/>
    <w:rsid w:val="00760A5C"/>
    <w:rsid w:val="00761265"/>
    <w:rsid w:val="0076420A"/>
    <w:rsid w:val="00770A53"/>
    <w:rsid w:val="00774826"/>
    <w:rsid w:val="00781692"/>
    <w:rsid w:val="00784560"/>
    <w:rsid w:val="00785087"/>
    <w:rsid w:val="00786128"/>
    <w:rsid w:val="00787007"/>
    <w:rsid w:val="007913C0"/>
    <w:rsid w:val="00793C31"/>
    <w:rsid w:val="00795789"/>
    <w:rsid w:val="0079583B"/>
    <w:rsid w:val="00795A70"/>
    <w:rsid w:val="00796BD2"/>
    <w:rsid w:val="007A11A6"/>
    <w:rsid w:val="007A3644"/>
    <w:rsid w:val="007A3C41"/>
    <w:rsid w:val="007A5502"/>
    <w:rsid w:val="007A627A"/>
    <w:rsid w:val="007B11E0"/>
    <w:rsid w:val="007B7D40"/>
    <w:rsid w:val="007B7DAA"/>
    <w:rsid w:val="007C1BB2"/>
    <w:rsid w:val="007C3189"/>
    <w:rsid w:val="007C3EE8"/>
    <w:rsid w:val="007C6AB8"/>
    <w:rsid w:val="007D2BBB"/>
    <w:rsid w:val="007D4278"/>
    <w:rsid w:val="007E20E9"/>
    <w:rsid w:val="007E3927"/>
    <w:rsid w:val="007E4A20"/>
    <w:rsid w:val="007E4C0B"/>
    <w:rsid w:val="007E4E11"/>
    <w:rsid w:val="007E5A31"/>
    <w:rsid w:val="007E6744"/>
    <w:rsid w:val="007E72A2"/>
    <w:rsid w:val="007E7565"/>
    <w:rsid w:val="007F1C30"/>
    <w:rsid w:val="007F29A2"/>
    <w:rsid w:val="007F2E1A"/>
    <w:rsid w:val="007F3680"/>
    <w:rsid w:val="00803E50"/>
    <w:rsid w:val="008051A9"/>
    <w:rsid w:val="00814E85"/>
    <w:rsid w:val="008153D0"/>
    <w:rsid w:val="00816AC0"/>
    <w:rsid w:val="008231DE"/>
    <w:rsid w:val="00824EF7"/>
    <w:rsid w:val="0082747F"/>
    <w:rsid w:val="00827821"/>
    <w:rsid w:val="00831645"/>
    <w:rsid w:val="00831AAE"/>
    <w:rsid w:val="00833398"/>
    <w:rsid w:val="00846235"/>
    <w:rsid w:val="00850EAC"/>
    <w:rsid w:val="008654C4"/>
    <w:rsid w:val="008721CB"/>
    <w:rsid w:val="00873120"/>
    <w:rsid w:val="00874DB2"/>
    <w:rsid w:val="008752FE"/>
    <w:rsid w:val="00875834"/>
    <w:rsid w:val="008803C5"/>
    <w:rsid w:val="00883D4D"/>
    <w:rsid w:val="00886FD9"/>
    <w:rsid w:val="00890F26"/>
    <w:rsid w:val="008911A2"/>
    <w:rsid w:val="0089213A"/>
    <w:rsid w:val="0089293C"/>
    <w:rsid w:val="00893589"/>
    <w:rsid w:val="0089438C"/>
    <w:rsid w:val="00894D24"/>
    <w:rsid w:val="008A0B84"/>
    <w:rsid w:val="008A296E"/>
    <w:rsid w:val="008A7A52"/>
    <w:rsid w:val="008B14FD"/>
    <w:rsid w:val="008B2A2B"/>
    <w:rsid w:val="008B3F19"/>
    <w:rsid w:val="008B75F4"/>
    <w:rsid w:val="008C0900"/>
    <w:rsid w:val="008C0CA4"/>
    <w:rsid w:val="008C15E5"/>
    <w:rsid w:val="008D0DD1"/>
    <w:rsid w:val="008D15FA"/>
    <w:rsid w:val="008D4174"/>
    <w:rsid w:val="008D420F"/>
    <w:rsid w:val="008E5A31"/>
    <w:rsid w:val="008E756B"/>
    <w:rsid w:val="008E7C93"/>
    <w:rsid w:val="008F73A0"/>
    <w:rsid w:val="00900F8B"/>
    <w:rsid w:val="00902ADB"/>
    <w:rsid w:val="0090487F"/>
    <w:rsid w:val="009103A8"/>
    <w:rsid w:val="0091077F"/>
    <w:rsid w:val="00911D59"/>
    <w:rsid w:val="009127C2"/>
    <w:rsid w:val="00913F93"/>
    <w:rsid w:val="0091484C"/>
    <w:rsid w:val="00914A95"/>
    <w:rsid w:val="00915E2D"/>
    <w:rsid w:val="00916110"/>
    <w:rsid w:val="00923112"/>
    <w:rsid w:val="009234C5"/>
    <w:rsid w:val="00925119"/>
    <w:rsid w:val="009337E5"/>
    <w:rsid w:val="00934714"/>
    <w:rsid w:val="00940CF0"/>
    <w:rsid w:val="00941E42"/>
    <w:rsid w:val="0094219F"/>
    <w:rsid w:val="00942408"/>
    <w:rsid w:val="009432CC"/>
    <w:rsid w:val="00944F10"/>
    <w:rsid w:val="009457FA"/>
    <w:rsid w:val="00946F13"/>
    <w:rsid w:val="00947AA8"/>
    <w:rsid w:val="00947AD0"/>
    <w:rsid w:val="00950D11"/>
    <w:rsid w:val="00951937"/>
    <w:rsid w:val="0095403D"/>
    <w:rsid w:val="00956F71"/>
    <w:rsid w:val="00964E6F"/>
    <w:rsid w:val="00965732"/>
    <w:rsid w:val="00965C11"/>
    <w:rsid w:val="009660F7"/>
    <w:rsid w:val="0096700B"/>
    <w:rsid w:val="00970C42"/>
    <w:rsid w:val="0097120A"/>
    <w:rsid w:val="009717DA"/>
    <w:rsid w:val="009727F0"/>
    <w:rsid w:val="00972E22"/>
    <w:rsid w:val="009735DD"/>
    <w:rsid w:val="009739D5"/>
    <w:rsid w:val="00973D2A"/>
    <w:rsid w:val="00975B31"/>
    <w:rsid w:val="00983B5E"/>
    <w:rsid w:val="00984733"/>
    <w:rsid w:val="009870C4"/>
    <w:rsid w:val="009873D6"/>
    <w:rsid w:val="00987B1F"/>
    <w:rsid w:val="00987D68"/>
    <w:rsid w:val="00990E59"/>
    <w:rsid w:val="009924EC"/>
    <w:rsid w:val="00992786"/>
    <w:rsid w:val="00992A96"/>
    <w:rsid w:val="00996569"/>
    <w:rsid w:val="009A1244"/>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8EB"/>
    <w:rsid w:val="009F0794"/>
    <w:rsid w:val="009F1287"/>
    <w:rsid w:val="009F25C6"/>
    <w:rsid w:val="009F2E99"/>
    <w:rsid w:val="009F480B"/>
    <w:rsid w:val="009F7CF3"/>
    <w:rsid w:val="00A008EB"/>
    <w:rsid w:val="00A035CE"/>
    <w:rsid w:val="00A06B0D"/>
    <w:rsid w:val="00A07663"/>
    <w:rsid w:val="00A07CA2"/>
    <w:rsid w:val="00A14FAF"/>
    <w:rsid w:val="00A15FF5"/>
    <w:rsid w:val="00A20313"/>
    <w:rsid w:val="00A23116"/>
    <w:rsid w:val="00A27632"/>
    <w:rsid w:val="00A27E44"/>
    <w:rsid w:val="00A32831"/>
    <w:rsid w:val="00A3623E"/>
    <w:rsid w:val="00A4205B"/>
    <w:rsid w:val="00A420DF"/>
    <w:rsid w:val="00A44F98"/>
    <w:rsid w:val="00A45B99"/>
    <w:rsid w:val="00A503F8"/>
    <w:rsid w:val="00A50959"/>
    <w:rsid w:val="00A577C8"/>
    <w:rsid w:val="00A61B73"/>
    <w:rsid w:val="00A62820"/>
    <w:rsid w:val="00A634BE"/>
    <w:rsid w:val="00A65C7F"/>
    <w:rsid w:val="00A677C5"/>
    <w:rsid w:val="00A73F5E"/>
    <w:rsid w:val="00A74755"/>
    <w:rsid w:val="00A74D7E"/>
    <w:rsid w:val="00A7562D"/>
    <w:rsid w:val="00A77529"/>
    <w:rsid w:val="00A8106B"/>
    <w:rsid w:val="00A82220"/>
    <w:rsid w:val="00A82374"/>
    <w:rsid w:val="00A82FB6"/>
    <w:rsid w:val="00A83E41"/>
    <w:rsid w:val="00A854BA"/>
    <w:rsid w:val="00A875D2"/>
    <w:rsid w:val="00A9036A"/>
    <w:rsid w:val="00A9672D"/>
    <w:rsid w:val="00AA4348"/>
    <w:rsid w:val="00AA5697"/>
    <w:rsid w:val="00AA6452"/>
    <w:rsid w:val="00AA7BD1"/>
    <w:rsid w:val="00AB3F5C"/>
    <w:rsid w:val="00AB5CD7"/>
    <w:rsid w:val="00AB66D9"/>
    <w:rsid w:val="00AB6AEF"/>
    <w:rsid w:val="00AC031F"/>
    <w:rsid w:val="00AC44F5"/>
    <w:rsid w:val="00AC6812"/>
    <w:rsid w:val="00AC7FEA"/>
    <w:rsid w:val="00AD081A"/>
    <w:rsid w:val="00AD0F86"/>
    <w:rsid w:val="00AD640B"/>
    <w:rsid w:val="00AD6A40"/>
    <w:rsid w:val="00AE1B70"/>
    <w:rsid w:val="00AE2288"/>
    <w:rsid w:val="00AE2559"/>
    <w:rsid w:val="00AE2D88"/>
    <w:rsid w:val="00AE4107"/>
    <w:rsid w:val="00AF6BD7"/>
    <w:rsid w:val="00B068FA"/>
    <w:rsid w:val="00B073D4"/>
    <w:rsid w:val="00B107FB"/>
    <w:rsid w:val="00B1170D"/>
    <w:rsid w:val="00B13C0D"/>
    <w:rsid w:val="00B171DC"/>
    <w:rsid w:val="00B20059"/>
    <w:rsid w:val="00B21CCE"/>
    <w:rsid w:val="00B230A4"/>
    <w:rsid w:val="00B247F3"/>
    <w:rsid w:val="00B24DC4"/>
    <w:rsid w:val="00B25D11"/>
    <w:rsid w:val="00B31B71"/>
    <w:rsid w:val="00B322CE"/>
    <w:rsid w:val="00B40816"/>
    <w:rsid w:val="00B42202"/>
    <w:rsid w:val="00B4227F"/>
    <w:rsid w:val="00B44041"/>
    <w:rsid w:val="00B4473F"/>
    <w:rsid w:val="00B5627E"/>
    <w:rsid w:val="00B572B4"/>
    <w:rsid w:val="00B57784"/>
    <w:rsid w:val="00B612A0"/>
    <w:rsid w:val="00B62A44"/>
    <w:rsid w:val="00B64859"/>
    <w:rsid w:val="00B649C6"/>
    <w:rsid w:val="00B7113B"/>
    <w:rsid w:val="00B73B2E"/>
    <w:rsid w:val="00B75A02"/>
    <w:rsid w:val="00B76447"/>
    <w:rsid w:val="00B81F08"/>
    <w:rsid w:val="00B834FC"/>
    <w:rsid w:val="00B846B4"/>
    <w:rsid w:val="00B854D9"/>
    <w:rsid w:val="00B9068D"/>
    <w:rsid w:val="00B9156A"/>
    <w:rsid w:val="00B93888"/>
    <w:rsid w:val="00B95629"/>
    <w:rsid w:val="00B95D5A"/>
    <w:rsid w:val="00B97884"/>
    <w:rsid w:val="00BA23A9"/>
    <w:rsid w:val="00BA4569"/>
    <w:rsid w:val="00BA70AD"/>
    <w:rsid w:val="00BA751C"/>
    <w:rsid w:val="00BA7874"/>
    <w:rsid w:val="00BB71C4"/>
    <w:rsid w:val="00BC3F79"/>
    <w:rsid w:val="00BC444D"/>
    <w:rsid w:val="00BC4DAD"/>
    <w:rsid w:val="00BC5FD5"/>
    <w:rsid w:val="00BC667D"/>
    <w:rsid w:val="00BC697F"/>
    <w:rsid w:val="00BC6B1C"/>
    <w:rsid w:val="00BE0595"/>
    <w:rsid w:val="00BE6ADE"/>
    <w:rsid w:val="00BF1832"/>
    <w:rsid w:val="00BF1D48"/>
    <w:rsid w:val="00C0542E"/>
    <w:rsid w:val="00C06BC0"/>
    <w:rsid w:val="00C07182"/>
    <w:rsid w:val="00C07F38"/>
    <w:rsid w:val="00C122C9"/>
    <w:rsid w:val="00C13067"/>
    <w:rsid w:val="00C16288"/>
    <w:rsid w:val="00C16AFA"/>
    <w:rsid w:val="00C20EBA"/>
    <w:rsid w:val="00C24F2A"/>
    <w:rsid w:val="00C25A91"/>
    <w:rsid w:val="00C31EB6"/>
    <w:rsid w:val="00C35F89"/>
    <w:rsid w:val="00C3628D"/>
    <w:rsid w:val="00C3796F"/>
    <w:rsid w:val="00C41C01"/>
    <w:rsid w:val="00C46147"/>
    <w:rsid w:val="00C501FC"/>
    <w:rsid w:val="00C50882"/>
    <w:rsid w:val="00C50B0E"/>
    <w:rsid w:val="00C53845"/>
    <w:rsid w:val="00C56885"/>
    <w:rsid w:val="00C61245"/>
    <w:rsid w:val="00C6190D"/>
    <w:rsid w:val="00C70297"/>
    <w:rsid w:val="00C70889"/>
    <w:rsid w:val="00C72B36"/>
    <w:rsid w:val="00C72E36"/>
    <w:rsid w:val="00C82919"/>
    <w:rsid w:val="00C931BC"/>
    <w:rsid w:val="00C93924"/>
    <w:rsid w:val="00C93B3C"/>
    <w:rsid w:val="00C9561E"/>
    <w:rsid w:val="00C9688B"/>
    <w:rsid w:val="00CA2760"/>
    <w:rsid w:val="00CA28F5"/>
    <w:rsid w:val="00CA384D"/>
    <w:rsid w:val="00CA56A7"/>
    <w:rsid w:val="00CA5F69"/>
    <w:rsid w:val="00CA708F"/>
    <w:rsid w:val="00CB07BB"/>
    <w:rsid w:val="00CB1144"/>
    <w:rsid w:val="00CB4519"/>
    <w:rsid w:val="00CB771C"/>
    <w:rsid w:val="00CC3F32"/>
    <w:rsid w:val="00CC619D"/>
    <w:rsid w:val="00CD34A3"/>
    <w:rsid w:val="00CD6B40"/>
    <w:rsid w:val="00CD6D2F"/>
    <w:rsid w:val="00CD7E57"/>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16F1B"/>
    <w:rsid w:val="00D24290"/>
    <w:rsid w:val="00D25FFF"/>
    <w:rsid w:val="00D27B2E"/>
    <w:rsid w:val="00D32F37"/>
    <w:rsid w:val="00D335D3"/>
    <w:rsid w:val="00D34963"/>
    <w:rsid w:val="00D40592"/>
    <w:rsid w:val="00D42584"/>
    <w:rsid w:val="00D44E5F"/>
    <w:rsid w:val="00D47209"/>
    <w:rsid w:val="00D47365"/>
    <w:rsid w:val="00D50203"/>
    <w:rsid w:val="00D50882"/>
    <w:rsid w:val="00D52258"/>
    <w:rsid w:val="00D53F76"/>
    <w:rsid w:val="00D5505B"/>
    <w:rsid w:val="00D56317"/>
    <w:rsid w:val="00D56D32"/>
    <w:rsid w:val="00D60FBB"/>
    <w:rsid w:val="00D6305A"/>
    <w:rsid w:val="00D65DCB"/>
    <w:rsid w:val="00D67C8A"/>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B299B"/>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F0D"/>
    <w:rsid w:val="00E01357"/>
    <w:rsid w:val="00E02008"/>
    <w:rsid w:val="00E15798"/>
    <w:rsid w:val="00E17D25"/>
    <w:rsid w:val="00E21483"/>
    <w:rsid w:val="00E223C0"/>
    <w:rsid w:val="00E22819"/>
    <w:rsid w:val="00E2376F"/>
    <w:rsid w:val="00E27676"/>
    <w:rsid w:val="00E27791"/>
    <w:rsid w:val="00E325DE"/>
    <w:rsid w:val="00E3440E"/>
    <w:rsid w:val="00E3515D"/>
    <w:rsid w:val="00E36288"/>
    <w:rsid w:val="00E37B4D"/>
    <w:rsid w:val="00E37E12"/>
    <w:rsid w:val="00E41B0A"/>
    <w:rsid w:val="00E46A3E"/>
    <w:rsid w:val="00E478F3"/>
    <w:rsid w:val="00E47B1E"/>
    <w:rsid w:val="00E47C34"/>
    <w:rsid w:val="00E54FD7"/>
    <w:rsid w:val="00E558F4"/>
    <w:rsid w:val="00E564FF"/>
    <w:rsid w:val="00E56901"/>
    <w:rsid w:val="00E571A7"/>
    <w:rsid w:val="00E66C98"/>
    <w:rsid w:val="00E675CC"/>
    <w:rsid w:val="00E743F9"/>
    <w:rsid w:val="00E762C3"/>
    <w:rsid w:val="00E77F88"/>
    <w:rsid w:val="00E81F41"/>
    <w:rsid w:val="00E82CEB"/>
    <w:rsid w:val="00E876BA"/>
    <w:rsid w:val="00E87C03"/>
    <w:rsid w:val="00E93521"/>
    <w:rsid w:val="00E97C19"/>
    <w:rsid w:val="00E97C1B"/>
    <w:rsid w:val="00EA193F"/>
    <w:rsid w:val="00EA35A7"/>
    <w:rsid w:val="00EA3D22"/>
    <w:rsid w:val="00EA496D"/>
    <w:rsid w:val="00EA6AD7"/>
    <w:rsid w:val="00EA6B3D"/>
    <w:rsid w:val="00EA7751"/>
    <w:rsid w:val="00EB2711"/>
    <w:rsid w:val="00EB6F09"/>
    <w:rsid w:val="00EC16CB"/>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2D72"/>
    <w:rsid w:val="00F131A5"/>
    <w:rsid w:val="00F133C4"/>
    <w:rsid w:val="00F13C96"/>
    <w:rsid w:val="00F15774"/>
    <w:rsid w:val="00F21470"/>
    <w:rsid w:val="00F2346C"/>
    <w:rsid w:val="00F2720E"/>
    <w:rsid w:val="00F35C41"/>
    <w:rsid w:val="00F37B7F"/>
    <w:rsid w:val="00F40C14"/>
    <w:rsid w:val="00F43408"/>
    <w:rsid w:val="00F43B31"/>
    <w:rsid w:val="00F448DC"/>
    <w:rsid w:val="00F536FC"/>
    <w:rsid w:val="00F53870"/>
    <w:rsid w:val="00F5439D"/>
    <w:rsid w:val="00F54BC7"/>
    <w:rsid w:val="00F57289"/>
    <w:rsid w:val="00F57AFF"/>
    <w:rsid w:val="00F61417"/>
    <w:rsid w:val="00F61DAA"/>
    <w:rsid w:val="00F61F2B"/>
    <w:rsid w:val="00F64E6C"/>
    <w:rsid w:val="00F65B25"/>
    <w:rsid w:val="00F72FE2"/>
    <w:rsid w:val="00F76264"/>
    <w:rsid w:val="00F767C8"/>
    <w:rsid w:val="00F773E3"/>
    <w:rsid w:val="00F77553"/>
    <w:rsid w:val="00F8150E"/>
    <w:rsid w:val="00F83F4C"/>
    <w:rsid w:val="00F84BFA"/>
    <w:rsid w:val="00F857B2"/>
    <w:rsid w:val="00F86C66"/>
    <w:rsid w:val="00F87534"/>
    <w:rsid w:val="00F87BAB"/>
    <w:rsid w:val="00F90E09"/>
    <w:rsid w:val="00F921C8"/>
    <w:rsid w:val="00F92856"/>
    <w:rsid w:val="00F9353B"/>
    <w:rsid w:val="00FA0501"/>
    <w:rsid w:val="00FA11EC"/>
    <w:rsid w:val="00FA3047"/>
    <w:rsid w:val="00FA620B"/>
    <w:rsid w:val="00FB1BDA"/>
    <w:rsid w:val="00FB2ED7"/>
    <w:rsid w:val="00FB6C51"/>
    <w:rsid w:val="00FB77A0"/>
    <w:rsid w:val="00FC1AC7"/>
    <w:rsid w:val="00FC2B57"/>
    <w:rsid w:val="00FC323E"/>
    <w:rsid w:val="00FC44A0"/>
    <w:rsid w:val="00FC7A4F"/>
    <w:rsid w:val="00FD4B87"/>
    <w:rsid w:val="00FD5B38"/>
    <w:rsid w:val="00FD72E0"/>
    <w:rsid w:val="00FD7DD0"/>
    <w:rsid w:val="00FE059B"/>
    <w:rsid w:val="00FE50AB"/>
    <w:rsid w:val="00FE79DA"/>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14:docId w14:val="1118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uiPriority w:val="99"/>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5A2BCF"/>
    <w:pPr>
      <w:spacing w:after="160" w:line="259" w:lineRule="auto"/>
      <w:ind w:left="720"/>
      <w:contextualSpacing/>
    </w:pPr>
    <w:rPr>
      <w:rFonts w:asciiTheme="minorHAnsi" w:eastAsiaTheme="minorHAnsi" w:hAnsiTheme="minorHAnsi" w:cstheme="minorBidi"/>
      <w:sz w:val="22"/>
      <w:szCs w:val="22"/>
      <w:lang w:val="nl-BE"/>
    </w:rPr>
  </w:style>
  <w:style w:type="character" w:styleId="CommentReference">
    <w:name w:val="annotation reference"/>
    <w:basedOn w:val="DefaultParagraphFont"/>
    <w:semiHidden/>
    <w:unhideWhenUsed/>
    <w:rsid w:val="005E054F"/>
    <w:rPr>
      <w:sz w:val="18"/>
      <w:szCs w:val="18"/>
    </w:rPr>
  </w:style>
  <w:style w:type="paragraph" w:styleId="CommentText">
    <w:name w:val="annotation text"/>
    <w:basedOn w:val="Normal"/>
    <w:link w:val="CommentTextChar"/>
    <w:semiHidden/>
    <w:unhideWhenUsed/>
    <w:rsid w:val="005E054F"/>
    <w:rPr>
      <w:sz w:val="24"/>
    </w:rPr>
  </w:style>
  <w:style w:type="character" w:customStyle="1" w:styleId="CommentTextChar">
    <w:name w:val="Comment Text Char"/>
    <w:basedOn w:val="DefaultParagraphFont"/>
    <w:link w:val="CommentText"/>
    <w:semiHidden/>
    <w:rsid w:val="005E054F"/>
    <w:rPr>
      <w:rFonts w:ascii="Arial" w:hAnsi="Arial"/>
      <w:sz w:val="24"/>
      <w:szCs w:val="24"/>
    </w:rPr>
  </w:style>
  <w:style w:type="paragraph" w:styleId="CommentSubject">
    <w:name w:val="annotation subject"/>
    <w:basedOn w:val="CommentText"/>
    <w:next w:val="CommentText"/>
    <w:link w:val="CommentSubjectChar"/>
    <w:semiHidden/>
    <w:unhideWhenUsed/>
    <w:rsid w:val="005E054F"/>
    <w:rPr>
      <w:b/>
      <w:bCs/>
      <w:sz w:val="20"/>
      <w:szCs w:val="20"/>
    </w:rPr>
  </w:style>
  <w:style w:type="character" w:customStyle="1" w:styleId="CommentSubjectChar">
    <w:name w:val="Comment Subject Char"/>
    <w:basedOn w:val="CommentTextChar"/>
    <w:link w:val="CommentSubject"/>
    <w:semiHidden/>
    <w:rsid w:val="005E054F"/>
    <w:rPr>
      <w:rFonts w:ascii="Arial" w:hAnsi="Arial"/>
      <w:b/>
      <w:bCs/>
      <w:sz w:val="24"/>
      <w:szCs w:val="24"/>
    </w:rPr>
  </w:style>
  <w:style w:type="paragraph" w:styleId="Revision">
    <w:name w:val="Revision"/>
    <w:hidden/>
    <w:uiPriority w:val="99"/>
    <w:semiHidden/>
    <w:rsid w:val="005E054F"/>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uiPriority w:val="99"/>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5A2BCF"/>
    <w:pPr>
      <w:spacing w:after="160" w:line="259" w:lineRule="auto"/>
      <w:ind w:left="720"/>
      <w:contextualSpacing/>
    </w:pPr>
    <w:rPr>
      <w:rFonts w:asciiTheme="minorHAnsi" w:eastAsiaTheme="minorHAnsi" w:hAnsiTheme="minorHAnsi" w:cstheme="minorBidi"/>
      <w:sz w:val="22"/>
      <w:szCs w:val="22"/>
      <w:lang w:val="nl-BE"/>
    </w:rPr>
  </w:style>
  <w:style w:type="character" w:styleId="CommentReference">
    <w:name w:val="annotation reference"/>
    <w:basedOn w:val="DefaultParagraphFont"/>
    <w:semiHidden/>
    <w:unhideWhenUsed/>
    <w:rsid w:val="005E054F"/>
    <w:rPr>
      <w:sz w:val="18"/>
      <w:szCs w:val="18"/>
    </w:rPr>
  </w:style>
  <w:style w:type="paragraph" w:styleId="CommentText">
    <w:name w:val="annotation text"/>
    <w:basedOn w:val="Normal"/>
    <w:link w:val="CommentTextChar"/>
    <w:semiHidden/>
    <w:unhideWhenUsed/>
    <w:rsid w:val="005E054F"/>
    <w:rPr>
      <w:sz w:val="24"/>
    </w:rPr>
  </w:style>
  <w:style w:type="character" w:customStyle="1" w:styleId="CommentTextChar">
    <w:name w:val="Comment Text Char"/>
    <w:basedOn w:val="DefaultParagraphFont"/>
    <w:link w:val="CommentText"/>
    <w:semiHidden/>
    <w:rsid w:val="005E054F"/>
    <w:rPr>
      <w:rFonts w:ascii="Arial" w:hAnsi="Arial"/>
      <w:sz w:val="24"/>
      <w:szCs w:val="24"/>
    </w:rPr>
  </w:style>
  <w:style w:type="paragraph" w:styleId="CommentSubject">
    <w:name w:val="annotation subject"/>
    <w:basedOn w:val="CommentText"/>
    <w:next w:val="CommentText"/>
    <w:link w:val="CommentSubjectChar"/>
    <w:semiHidden/>
    <w:unhideWhenUsed/>
    <w:rsid w:val="005E054F"/>
    <w:rPr>
      <w:b/>
      <w:bCs/>
      <w:sz w:val="20"/>
      <w:szCs w:val="20"/>
    </w:rPr>
  </w:style>
  <w:style w:type="character" w:customStyle="1" w:styleId="CommentSubjectChar">
    <w:name w:val="Comment Subject Char"/>
    <w:basedOn w:val="CommentTextChar"/>
    <w:link w:val="CommentSubject"/>
    <w:semiHidden/>
    <w:rsid w:val="005E054F"/>
    <w:rPr>
      <w:rFonts w:ascii="Arial" w:hAnsi="Arial"/>
      <w:b/>
      <w:bCs/>
      <w:sz w:val="24"/>
      <w:szCs w:val="24"/>
    </w:rPr>
  </w:style>
  <w:style w:type="paragraph" w:styleId="Revision">
    <w:name w:val="Revision"/>
    <w:hidden/>
    <w:uiPriority w:val="99"/>
    <w:semiHidden/>
    <w:rsid w:val="005E054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037393279">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 w:id="20371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artena-professiona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914D-7C6F-7048-9866-017A0E59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976</Words>
  <Characters>5569</Characters>
  <Application>Microsoft Macintosh Word</Application>
  <DocSecurity>0</DocSecurity>
  <Lines>46</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Enquête</vt:lpstr>
      <vt:lpstr>Enquête</vt:lpstr>
      <vt:lpstr>Enquête</vt:lpstr>
    </vt:vector>
  </TitlesOfParts>
  <Company>ARISTA</Company>
  <LinksUpToDate>false</LinksUpToDate>
  <CharactersWithSpaces>6532</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6</cp:revision>
  <cp:lastPrinted>2016-09-05T14:10:00Z</cp:lastPrinted>
  <dcterms:created xsi:type="dcterms:W3CDTF">2016-09-06T10:24:00Z</dcterms:created>
  <dcterms:modified xsi:type="dcterms:W3CDTF">2016-09-13T07:53:00Z</dcterms:modified>
</cp:coreProperties>
</file>