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</w:t>
      </w:r>
      <w:r w:rsidDel="00000000" w:rsidR="00000000" w:rsidRPr="00000000">
        <w:rPr>
          <w:b w:val="1"/>
          <w:sz w:val="36"/>
          <w:szCs w:val="36"/>
          <w:rtl w:val="0"/>
        </w:rPr>
        <w:t xml:space="preserve">-commerce: ¿cuál es su papel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en tiempos </w:t>
      </w:r>
      <w:r w:rsidDel="00000000" w:rsidR="00000000" w:rsidRPr="00000000">
        <w:rPr>
          <w:b w:val="1"/>
          <w:sz w:val="36"/>
          <w:szCs w:val="36"/>
          <w:rtl w:val="0"/>
        </w:rPr>
        <w:t xml:space="preserve">de emergencias globales?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Por: Erick McKinney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México. 15 de abril de 2020.- </w:t>
      </w:r>
      <w:r w:rsidDel="00000000" w:rsidR="00000000" w:rsidRPr="00000000">
        <w:rPr>
          <w:rtl w:val="0"/>
        </w:rPr>
        <w:t xml:space="preserve">El comercio electrónico se ha convertido en una herramienta relevante para los negocios y retailers de diversas partes del mundo en tiempos en los que las personas deben adaptarse ante </w:t>
      </w:r>
      <w:r w:rsidDel="00000000" w:rsidR="00000000" w:rsidRPr="00000000">
        <w:rPr>
          <w:rtl w:val="0"/>
        </w:rPr>
        <w:t xml:space="preserve">contingencias</w:t>
      </w:r>
      <w:r w:rsidDel="00000000" w:rsidR="00000000" w:rsidRPr="00000000">
        <w:rPr>
          <w:rtl w:val="0"/>
        </w:rPr>
        <w:t xml:space="preserve"> o situaciones imprevistas.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Debido los retos globales que se han presentado este año, es importante que las compañías se encuentren preparadas para apoyar a sus consumidores ya que la colaboración de toda la sociedad es clave en este tipo de contextos. A continuación compartimos algunos consejos que pueden ser útiles para las empresas que mantienen su operación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 perder de vista los inventarios</w:t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Ante tal escenario es diseñar un plan en el que determinen qué productos de primera necesidad pueden presentar mayor demanda, para realizar una constante revisión de inventarios y precios.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Una vez atendido este punto, se requiere de una infraestructura digital optimizada y segura para proteger a los clientes y generar una buena experiencia de compra en línea para el consumidor.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Adaptar la estrategia de pagos a las emergencias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Los negocios y retailers necesitan de soluciones de pago que faciliten el proceso de compra para los clientes, especialmente cuando </w:t>
      </w:r>
      <w:r w:rsidDel="00000000" w:rsidR="00000000" w:rsidRPr="00000000">
        <w:rPr>
          <w:rtl w:val="0"/>
        </w:rPr>
        <w:t xml:space="preserve">los compradores no pueden salir de su casa a adquirir los productos en los puntos de venta físicos.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De acuerdo con la plataforma de pagos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Adyen</w:t>
        </w:r>
      </w:hyperlink>
      <w:r w:rsidDel="00000000" w:rsidR="00000000" w:rsidRPr="00000000">
        <w:rPr>
          <w:rtl w:val="0"/>
        </w:rPr>
        <w:t xml:space="preserve">, la compra online en un clic y el pago vía app son tecnologías que los retailers pueden aprovechar y poner en marcha  en momentos de incremento de interés en las compra en línea.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Integración de pagos digitales para evitar el fraude</w:t>
      </w:r>
    </w:p>
    <w:p w:rsidR="00000000" w:rsidDel="00000000" w:rsidP="00000000" w:rsidRDefault="00000000" w:rsidRPr="00000000" w14:paraId="0000001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En escenarios inesperados, el flujo de operaciones en línea incrementará considerablemente, una recomendación importante para abordar el riesgo de operaciones fraudulentas online es </w:t>
      </w:r>
      <w:r w:rsidDel="00000000" w:rsidR="00000000" w:rsidRPr="00000000">
        <w:rPr>
          <w:rtl w:val="0"/>
        </w:rPr>
        <w:t xml:space="preserve">contar con la tecnologías cómo </w:t>
      </w:r>
      <w:r w:rsidDel="00000000" w:rsidR="00000000" w:rsidRPr="00000000">
        <w:rPr>
          <w:rtl w:val="0"/>
        </w:rPr>
        <w:t xml:space="preserve">machine learning, capables de detectar a los defraudadores y bloquearlos sin afectar a los clientes recurrentes quienes necesitan estar respaldados en situaciones sensibles.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Es muy pronto para saber en qué medida se incrementarán las ventas en línea en épocas de contingencias y emergencias globales, </w:t>
      </w:r>
      <w:r w:rsidDel="00000000" w:rsidR="00000000" w:rsidRPr="00000000">
        <w:rPr>
          <w:rtl w:val="0"/>
        </w:rPr>
        <w:t xml:space="preserve">pero es importante saber que en situaciones como esta, más que nunca, los comercios electrónicos deben estar disponibles en todo momento para generar un beneficio al consumidor.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Open Sans" w:cs="Open Sans" w:eastAsia="Open Sans" w:hAnsi="Open Sans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highlight w:val="white"/>
          <w:rtl w:val="0"/>
        </w:rPr>
        <w:t xml:space="preserve">Acerca de Adyen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Adyen (AMS: ADYEN) es la plataforma de pagos preferida por las compañías de mayor crecimiento alrededor del mundo, ofrece una moderna infraestructura de punta a punta que elimina  fronteras y entrega la mejor experiencia de compra para los consumidores, sin importar el lugar o momento tiempo. Adyen integra los servicios de  entrada , software anti fraude y adquirente, abriendo así la “caja negra” con los insights que las empresas necesitan para alcanzar una mayor tasa de conversión.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Con oficinas alrededor del mundo Adyen cuenta con clientes como Uber, eBay, Spotify y Cabify, entre otras, impactando a millones de consumidores a lo largo del mundo y más de xxx tan solo en el mercado mexicano.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highlight w:val="white"/>
          <w:rtl w:val="0"/>
        </w:rPr>
        <w:t xml:space="preserve">Síguenos: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Facebook: </w:t>
      </w:r>
      <w:hyperlink r:id="rId7">
        <w:r w:rsidDel="00000000" w:rsidR="00000000" w:rsidRPr="00000000">
          <w:rPr>
            <w:rFonts w:ascii="Open Sans" w:cs="Open Sans" w:eastAsia="Open Sans" w:hAnsi="Open Sans"/>
            <w:sz w:val="20"/>
            <w:szCs w:val="20"/>
            <w:u w:val="single"/>
            <w:rtl w:val="0"/>
          </w:rPr>
          <w:t xml:space="preserve">https://www.facebook.com/AdyenPayments/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Twitter: </w:t>
      </w:r>
      <w:hyperlink r:id="rId8">
        <w:r w:rsidDel="00000000" w:rsidR="00000000" w:rsidRPr="00000000">
          <w:rPr>
            <w:rFonts w:ascii="Open Sans" w:cs="Open Sans" w:eastAsia="Open Sans" w:hAnsi="Open Sans"/>
            <w:sz w:val="20"/>
            <w:szCs w:val="20"/>
            <w:u w:val="single"/>
            <w:rtl w:val="0"/>
          </w:rPr>
          <w:t xml:space="preserve">https://twitter.com/Adyen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LinkedIn: </w:t>
      </w:r>
      <w:hyperlink r:id="rId9">
        <w:r w:rsidDel="00000000" w:rsidR="00000000" w:rsidRPr="00000000">
          <w:rPr>
            <w:rFonts w:ascii="Open Sans" w:cs="Open Sans" w:eastAsia="Open Sans" w:hAnsi="Open Sans"/>
            <w:sz w:val="20"/>
            <w:szCs w:val="20"/>
            <w:u w:val="single"/>
            <w:rtl w:val="0"/>
          </w:rPr>
          <w:t xml:space="preserve">https://www.linkedin.com/company/adyen/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Contacto para prensa: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Another Company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Salvador Sánchez/ Ejecutivo de cuenta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Cel: (+52 1) 55 4582 7151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hyperlink r:id="rId10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salvador.sanchez@another.co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1943100</wp:posOffset>
          </wp:positionH>
          <wp:positionV relativeFrom="paragraph">
            <wp:posOffset>9526</wp:posOffset>
          </wp:positionV>
          <wp:extent cx="1952764" cy="74771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4839" l="0" r="0" t="4839"/>
                  <a:stretch>
                    <a:fillRect/>
                  </a:stretch>
                </pic:blipFill>
                <pic:spPr>
                  <a:xfrm>
                    <a:off x="0" y="0"/>
                    <a:ext cx="1952764" cy="7477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salvador.sanchez@another.co" TargetMode="External"/><Relationship Id="rId9" Type="http://schemas.openxmlformats.org/officeDocument/2006/relationships/hyperlink" Target="https://www.linkedin.com/company/adyen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dyen.com/es_ES/blog/2020-el-ano-de-la-digitalizacion-de-los-retailers-espanoles" TargetMode="External"/><Relationship Id="rId7" Type="http://schemas.openxmlformats.org/officeDocument/2006/relationships/hyperlink" Target="https://www.facebook.com/AdyenPayments/" TargetMode="External"/><Relationship Id="rId8" Type="http://schemas.openxmlformats.org/officeDocument/2006/relationships/hyperlink" Target="https://twitter.com/Adye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