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6834" w:firstLine="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</w:rPr>
        <w:drawing>
          <wp:inline distB="0" distT="0" distL="0" distR="0">
            <wp:extent cx="2348644" cy="471011"/>
            <wp:effectExtent b="0" l="0" r="0" t="0"/>
            <wp:docPr id="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48644" cy="47101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" w:lineRule="auto"/>
        <w:rPr>
          <w:rFonts w:ascii="Times New Roman" w:cs="Times New Roman" w:eastAsia="Times New Roman" w:hAnsi="Times New Roman"/>
          <w:color w:val="000000"/>
          <w:sz w:val="15"/>
          <w:szCs w:val="15"/>
        </w:rPr>
      </w:pPr>
      <w:r w:rsidDel="00000000" w:rsidR="00000000" w:rsidRPr="00000000">
        <w:rPr>
          <w:rFonts w:ascii="Times New Roman" w:cs="Times New Roman" w:eastAsia="Times New Roman" w:hAnsi="Times New Roman"/>
          <w:sz w:val="15"/>
          <w:szCs w:val="15"/>
        </w:rPr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0</wp:posOffset>
                </wp:positionH>
                <wp:positionV relativeFrom="page">
                  <wp:posOffset>1257299</wp:posOffset>
                </wp:positionV>
                <wp:extent cx="7562850" cy="9455941"/>
                <wp:effectExtent b="0" l="0" r="0" t="0"/>
                <wp:wrapNone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564575" y="0"/>
                          <a:ext cx="7562850" cy="9455941"/>
                          <a:chOff x="1564575" y="0"/>
                          <a:chExt cx="7562850" cy="7560000"/>
                        </a:xfrm>
                      </wpg:grpSpPr>
                      <wpg:grpSp>
                        <wpg:cNvGrpSpPr/>
                        <wpg:grpSpPr>
                          <a:xfrm>
                            <a:off x="1564575" y="0"/>
                            <a:ext cx="7562850" cy="7560000"/>
                            <a:chOff x="-231262" y="122401"/>
                            <a:chExt cx="7791572" cy="9451389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-231262" y="122401"/>
                              <a:ext cx="7791550" cy="9451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0" y="122401"/>
                              <a:ext cx="7560310" cy="9451389"/>
                              <a:chOff x="0" y="0"/>
                              <a:chExt cx="7560310" cy="9074785"/>
                            </a:xfrm>
                          </wpg:grpSpPr>
                          <wps:wsp>
                            <wps:cNvSpPr/>
                            <wps:cNvPr id="5" name="Shape 5"/>
                            <wps:spPr>
                              <a:xfrm>
                                <a:off x="0" y="0"/>
                                <a:ext cx="7560300" cy="907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" name="Shape 6"/>
                            <wps:spPr>
                              <a:xfrm>
                                <a:off x="0" y="6350"/>
                                <a:ext cx="7560310" cy="387985"/>
                              </a:xfrm>
                              <a:custGeom>
                                <a:rect b="b" l="l" r="r" t="t"/>
                                <a:pathLst>
                                  <a:path extrusionOk="0" h="387985" w="7560310">
                                    <a:moveTo>
                                      <a:pt x="0" y="0"/>
                                    </a:moveTo>
                                    <a:lnTo>
                                      <a:pt x="7560310" y="0"/>
                                    </a:lnTo>
                                    <a:moveTo>
                                      <a:pt x="0" y="387985"/>
                                    </a:moveTo>
                                    <a:lnTo>
                                      <a:pt x="7560310" y="387985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2B54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2153285" y="6350"/>
                                <a:ext cx="0" cy="9068435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2B54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pic:pic>
                          <pic:nvPicPr>
                            <pic:cNvPr id="8" name="Shape 8"/>
                            <pic:cNvPicPr preferRelativeResize="0"/>
                          </pic:nvPicPr>
                          <pic:blipFill rotWithShape="1">
                            <a:blip r:embed="rId8">
                              <a:alphaModFix/>
                            </a:blip>
                            <a:srcRect b="-19355" l="-42995" r="-21046" t="-43033"/>
                            <a:stretch/>
                          </pic:blipFill>
                          <pic:spPr>
                            <a:xfrm>
                              <a:off x="-231262" y="5505925"/>
                              <a:ext cx="2543775" cy="2054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0</wp:posOffset>
                </wp:positionH>
                <wp:positionV relativeFrom="page">
                  <wp:posOffset>1257299</wp:posOffset>
                </wp:positionV>
                <wp:extent cx="7562850" cy="9455941"/>
                <wp:effectExtent b="0" l="0" r="0" t="0"/>
                <wp:wrapNone/>
                <wp:docPr id="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62850" cy="945594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Title"/>
        <w:ind w:firstLine="310"/>
        <w:rPr/>
      </w:pPr>
      <w:r w:rsidDel="00000000" w:rsidR="00000000" w:rsidRPr="00000000">
        <w:rPr>
          <w:color w:val="001f5f"/>
          <w:rtl w:val="0"/>
        </w:rPr>
        <w:t xml:space="preserve">PRESS INFO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" w:lineRule="auto"/>
        <w:rPr>
          <w:rFonts w:ascii="Arial" w:cs="Arial" w:eastAsia="Arial" w:hAnsi="Arial"/>
          <w:b w:val="1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3" w:lineRule="auto"/>
        <w:ind w:left="3368" w:firstLine="0"/>
        <w:rPr>
          <w:color w:val="000000"/>
        </w:rPr>
      </w:pPr>
      <w:r w:rsidDel="00000000" w:rsidR="00000000" w:rsidRPr="00000000">
        <w:rPr>
          <w:color w:val="000000"/>
          <w:u w:val="single"/>
          <w:rtl w:val="0"/>
        </w:rPr>
        <w:t xml:space="preserve">Kuehne+Nagel América del Sur y Central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before="91" w:lineRule="auto"/>
        <w:ind w:left="3368" w:right="1380" w:firstLine="0"/>
        <w:jc w:val="both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highlight w:val="white"/>
          <w:rtl w:val="0"/>
        </w:rPr>
        <w:t xml:space="preserve">Kuehne+Nagel se posiciona como socio estratégico para impulsar el comercio electrónico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1" w:line="240" w:lineRule="auto"/>
        <w:ind w:left="4320" w:right="1380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2021 fueron más de 211 millones de pedidos digitales.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0" w:right="1380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Apoyar el crecimiento de las empresas es una de las prioridades.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Rule="auto"/>
        <w:rPr>
          <w:rFonts w:ascii="Arial" w:cs="Arial" w:eastAsia="Arial" w:hAnsi="Arial"/>
          <w:b w:val="1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ind w:left="3368" w:right="1109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Santiago / Chile, Octubre 2022 – Kuehne+Nagel, empresa logística líder a nivel mundial, se prepara para asumir los desafíos e impulsar el comercio electrónico a nivel terrestre, marítimo y aéreo. El año pasado, se operaron más de 211 millones de pedidos digitales en sus 175 centros operativos, los cuales cubren 1.1 millones de m2 de instalaciones destinadas a la venta de comercio digital en 35 mercados conectados.</w:t>
      </w:r>
    </w:p>
    <w:p w:rsidR="00000000" w:rsidDel="00000000" w:rsidP="00000000" w:rsidRDefault="00000000" w:rsidRPr="00000000" w14:paraId="0000000F">
      <w:pPr>
        <w:spacing w:line="276" w:lineRule="auto"/>
        <w:ind w:left="3368" w:right="1109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ind w:left="3368" w:right="1109" w:firstLine="0"/>
        <w:jc w:val="both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El crecimiento del comercio electrónico es más rápido que en otros sectores, de acuerdo con </w:t>
      </w:r>
      <w:hyperlink r:id="rId10">
        <w:r w:rsidDel="00000000" w:rsidR="00000000" w:rsidRPr="00000000">
          <w:rPr>
            <w:rFonts w:ascii="Arial" w:cs="Arial" w:eastAsia="Arial" w:hAnsi="Arial"/>
            <w:u w:val="single"/>
            <w:rtl w:val="0"/>
          </w:rPr>
          <w:t xml:space="preserve">Statista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, se proyecta que para el 2025 este sector supere los 105.500 millones de dólares, la cifra más alta registrada para este mercado. 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La estrategia de Kuehne+Nagel consiste en unir las capacidades de toda la cadena de suministro de principio a fin, abarcando soluciones logísticas de entrada, fulfilment, transfronterizas, de última milla y devoluciones.  </w:t>
      </w:r>
    </w:p>
    <w:p w:rsidR="00000000" w:rsidDel="00000000" w:rsidP="00000000" w:rsidRDefault="00000000" w:rsidRPr="00000000" w14:paraId="00000011">
      <w:pPr>
        <w:spacing w:line="276" w:lineRule="auto"/>
        <w:ind w:right="1109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ind w:left="3368" w:right="1109" w:firstLine="0"/>
        <w:jc w:val="both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Es por ello que, de cara al futuro, Kuehne+Nagel invierte en tecnología que ayuda a crear una mejor experiencia para el usuario, facilitando una mayor visibilidad y entregando soluciones de cumplimiento más flexibles, junto con brindar apoyo para la entrega de pedidos transfronterizos. Esto, le permite a sus clientes de todo el mundo crecer hacia nuevos mercados, además de habilitar una mejor y más fiable estrategia de abastecimiento. Actualmente, el líder logístico presta servicio a más de </w:t>
      </w:r>
      <w:hyperlink r:id="rId11">
        <w:r w:rsidDel="00000000" w:rsidR="00000000" w:rsidRPr="00000000">
          <w:rPr>
            <w:rFonts w:ascii="Arial" w:cs="Arial" w:eastAsia="Arial" w:hAnsi="Arial"/>
            <w:highlight w:val="white"/>
            <w:u w:val="single"/>
            <w:rtl w:val="0"/>
          </w:rPr>
          <w:t xml:space="preserve">400 mil</w:t>
        </w:r>
      </w:hyperlink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 empresas internacionales, muchas de ellas desarrollando comercio electrónico a través de soluciones de fulfillment, transporte marítimo, aéreo y por carretera.</w:t>
      </w:r>
    </w:p>
    <w:p w:rsidR="00000000" w:rsidDel="00000000" w:rsidP="00000000" w:rsidRDefault="00000000" w:rsidRPr="00000000" w14:paraId="00000013">
      <w:pPr>
        <w:spacing w:line="276" w:lineRule="auto"/>
        <w:ind w:left="3368" w:right="1109" w:firstLine="0"/>
        <w:jc w:val="both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ind w:left="3368" w:right="1109" w:firstLine="0"/>
        <w:jc w:val="both"/>
        <w:rPr>
          <w:rFonts w:ascii="Arial" w:cs="Arial" w:eastAsia="Arial" w:hAnsi="Arial"/>
          <w:highlight w:val="yellow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Ingo Goldhammer, Presidente de Kuehne+Nagel para América del Sur y Central, destaca: “La revolución digital está ocurriendo y estamos preparados para ofrecer la mejor solución a los consumidores. Con el comercio electrónico, la expansión internacional es mucho más evidente que con otros negocios.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 Somos los socios ideales porque nuestra experiencia, combinada con nuestra red local, conecta a las empresas de comercio electrónico con nuevos mercados”.</w:t>
      </w:r>
      <w:r w:rsidDel="00000000" w:rsidR="00000000" w:rsidRPr="00000000">
        <w:rPr>
          <w:rFonts w:ascii="Arial" w:cs="Arial" w:eastAsia="Arial" w:hAnsi="Arial"/>
          <w:highlight w:val="yellow"/>
          <w:rtl w:val="0"/>
        </w:rPr>
        <w:t xml:space="preserve">  </w:t>
      </w:r>
    </w:p>
    <w:p w:rsidR="00000000" w:rsidDel="00000000" w:rsidP="00000000" w:rsidRDefault="00000000" w:rsidRPr="00000000" w14:paraId="00000015">
      <w:pPr>
        <w:spacing w:line="276" w:lineRule="auto"/>
        <w:ind w:left="3368" w:right="1109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ind w:left="3368" w:right="1109" w:firstLine="0"/>
        <w:jc w:val="both"/>
        <w:rPr>
          <w:rFonts w:ascii="Arial" w:cs="Arial" w:eastAsia="Arial" w:hAnsi="Arial"/>
          <w:highlight w:val="whit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Eduardo Razuck, Vicepresidente de Logística de Contratos para las Américas, añade: "En Kuehne+Nagel ayudamos a empresas de todos los tamaños a ofrecer las mejores experiencias a sus clientes. Las apoyamos para competir en el comercio digital integrándolas con tecnología de compras y marketplaces".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02" w:lineRule="auto"/>
        <w:ind w:right="1042"/>
        <w:jc w:val="both"/>
        <w:rPr>
          <w:color w:val="000000"/>
          <w:sz w:val="33"/>
          <w:szCs w:val="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3368" w:firstLine="0"/>
        <w:jc w:val="both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sz w:val="16"/>
          <w:szCs w:val="16"/>
          <w:rtl w:val="0"/>
        </w:rPr>
        <w:t xml:space="preserve">Sobre Kuehne+Nagel</w:t>
      </w:r>
    </w:p>
    <w:p w:rsidR="00000000" w:rsidDel="00000000" w:rsidP="00000000" w:rsidRDefault="00000000" w:rsidRPr="00000000" w14:paraId="00000019">
      <w:pPr>
        <w:spacing w:before="87" w:line="338" w:lineRule="auto"/>
        <w:ind w:left="3368" w:right="1116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Con más de 79.000 empleados y más de 1.300 centros en más de 100 países, el Grupo Kuehne+Nagel es uno de los principales proveedores de logística del mundo. Opera en los sectores de la logística marítima, aérea, por carretera y de contratos, con un claro enfoque en soluciones logísticas integradas</w:t>
      </w:r>
      <w:r w:rsidDel="00000000" w:rsidR="00000000" w:rsidRPr="00000000">
        <w:rPr>
          <w:sz w:val="16"/>
          <w:szCs w:val="16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1"/>
        <w:tabs>
          <w:tab w:val="center" w:pos="4536"/>
          <w:tab w:val="right" w:pos="9072"/>
        </w:tabs>
        <w:spacing w:line="260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1"/>
        <w:tabs>
          <w:tab w:val="center" w:pos="4536"/>
          <w:tab w:val="right" w:pos="9072"/>
        </w:tabs>
        <w:spacing w:line="260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1"/>
        <w:tabs>
          <w:tab w:val="center" w:pos="4536"/>
          <w:tab w:val="right" w:pos="9072"/>
        </w:tabs>
        <w:spacing w:line="260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1"/>
        <w:tabs>
          <w:tab w:val="center" w:pos="4536"/>
          <w:tab w:val="right" w:pos="9072"/>
        </w:tabs>
        <w:spacing w:line="260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1"/>
        <w:tabs>
          <w:tab w:val="center" w:pos="4536"/>
          <w:tab w:val="right" w:pos="9072"/>
        </w:tabs>
        <w:spacing w:line="260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1"/>
        <w:tabs>
          <w:tab w:val="center" w:pos="4536"/>
          <w:tab w:val="right" w:pos="9072"/>
        </w:tabs>
        <w:spacing w:line="260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1"/>
        <w:tabs>
          <w:tab w:val="center" w:pos="4536"/>
          <w:tab w:val="right" w:pos="9072"/>
        </w:tabs>
        <w:spacing w:line="260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1"/>
        <w:tabs>
          <w:tab w:val="center" w:pos="4536"/>
          <w:tab w:val="right" w:pos="9072"/>
        </w:tabs>
        <w:spacing w:line="260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1"/>
        <w:tabs>
          <w:tab w:val="center" w:pos="4536"/>
          <w:tab w:val="right" w:pos="9072"/>
        </w:tabs>
        <w:spacing w:line="260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1"/>
        <w:tabs>
          <w:tab w:val="center" w:pos="4536"/>
          <w:tab w:val="right" w:pos="9072"/>
        </w:tabs>
        <w:spacing w:line="260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1"/>
        <w:tabs>
          <w:tab w:val="center" w:pos="4536"/>
          <w:tab w:val="right" w:pos="9072"/>
        </w:tabs>
        <w:spacing w:line="260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1"/>
        <w:tabs>
          <w:tab w:val="center" w:pos="4536"/>
          <w:tab w:val="right" w:pos="9072"/>
        </w:tabs>
        <w:spacing w:line="260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1"/>
        <w:tabs>
          <w:tab w:val="center" w:pos="4536"/>
          <w:tab w:val="right" w:pos="9072"/>
        </w:tabs>
        <w:spacing w:line="260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1"/>
        <w:tabs>
          <w:tab w:val="center" w:pos="4536"/>
          <w:tab w:val="right" w:pos="9072"/>
        </w:tabs>
        <w:spacing w:line="260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1"/>
        <w:tabs>
          <w:tab w:val="center" w:pos="4536"/>
          <w:tab w:val="right" w:pos="9072"/>
        </w:tabs>
        <w:spacing w:line="260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1"/>
        <w:tabs>
          <w:tab w:val="center" w:pos="4536"/>
          <w:tab w:val="right" w:pos="9072"/>
        </w:tabs>
        <w:spacing w:line="260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1"/>
        <w:tabs>
          <w:tab w:val="center" w:pos="4536"/>
          <w:tab w:val="right" w:pos="9072"/>
        </w:tabs>
        <w:spacing w:line="260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1"/>
        <w:tabs>
          <w:tab w:val="center" w:pos="4536"/>
          <w:tab w:val="right" w:pos="9072"/>
        </w:tabs>
        <w:spacing w:line="260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1"/>
        <w:tabs>
          <w:tab w:val="center" w:pos="4536"/>
          <w:tab w:val="right" w:pos="9072"/>
        </w:tabs>
        <w:spacing w:line="260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1"/>
        <w:tabs>
          <w:tab w:val="center" w:pos="4536"/>
          <w:tab w:val="right" w:pos="9072"/>
        </w:tabs>
        <w:spacing w:line="260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1"/>
        <w:tabs>
          <w:tab w:val="center" w:pos="4536"/>
          <w:tab w:val="right" w:pos="9072"/>
        </w:tabs>
        <w:spacing w:line="260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1"/>
        <w:tabs>
          <w:tab w:val="center" w:pos="4536"/>
          <w:tab w:val="right" w:pos="9072"/>
        </w:tabs>
        <w:spacing w:line="2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1"/>
        <w:tabs>
          <w:tab w:val="center" w:pos="4536"/>
          <w:tab w:val="right" w:pos="9072"/>
        </w:tabs>
        <w:spacing w:line="260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1"/>
        <w:tabs>
          <w:tab w:val="center" w:pos="4536"/>
          <w:tab w:val="right" w:pos="9072"/>
        </w:tabs>
        <w:spacing w:line="260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1"/>
        <w:tabs>
          <w:tab w:val="center" w:pos="4536"/>
          <w:tab w:val="right" w:pos="9072"/>
        </w:tabs>
        <w:spacing w:line="260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1"/>
        <w:tabs>
          <w:tab w:val="center" w:pos="4536"/>
          <w:tab w:val="right" w:pos="9072"/>
        </w:tabs>
        <w:spacing w:line="260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1"/>
        <w:tabs>
          <w:tab w:val="center" w:pos="4536"/>
          <w:tab w:val="right" w:pos="9072"/>
        </w:tabs>
        <w:spacing w:line="260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1"/>
        <w:tabs>
          <w:tab w:val="center" w:pos="4536"/>
          <w:tab w:val="right" w:pos="9072"/>
        </w:tabs>
        <w:spacing w:line="260" w:lineRule="auto"/>
        <w:jc w:val="center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Page 2 </w:t>
      </w:r>
      <w:r w:rsidDel="00000000" w:rsidR="00000000" w:rsidRPr="00000000">
        <w:rPr>
          <w:rtl w:val="0"/>
        </w:rPr>
      </w:r>
    </w:p>
    <w:sectPr>
      <w:headerReference r:id="rId12" w:type="first"/>
      <w:headerReference r:id="rId13" w:type="even"/>
      <w:footerReference r:id="rId14" w:type="first"/>
      <w:footerReference r:id="rId15" w:type="even"/>
      <w:pgSz w:h="16840" w:w="11910" w:orient="portrait"/>
      <w:pgMar w:bottom="0" w:top="640" w:left="460" w:right="0" w:header="357" w:footer="35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ourier New"/>
  <w:font w:name="Noto Sans Symbols"/>
  <w:font w:name="Arial M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50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72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79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86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93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100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 MT" w:cs="Arial MT" w:eastAsia="Arial MT" w:hAnsi="Arial MT"/>
        <w:sz w:val="22"/>
        <w:szCs w:val="22"/>
        <w:lang w:val="es-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91" w:lineRule="auto"/>
      <w:ind w:left="310"/>
    </w:pPr>
    <w:rPr>
      <w:rFonts w:ascii="Arial" w:cs="Arial" w:eastAsia="Arial" w:hAnsi="Arial"/>
      <w:b w:val="1"/>
      <w:sz w:val="30"/>
      <w:szCs w:val="30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spacing w:before="91"/>
      <w:ind w:left="310"/>
    </w:pPr>
    <w:rPr>
      <w:rFonts w:ascii="Arial" w:cs="Arial" w:eastAsia="Arial" w:hAnsi="Arial"/>
      <w:b w:val="1"/>
      <w:sz w:val="30"/>
      <w:szCs w:val="30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 w:val="1"/>
    <w:rsid w:val="00405368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2021-annual-report.kuehne-nagel.com/fileadmin/user_upload/KN_Uploads/pdf-Download/KN_CB_final_EN.pdf" TargetMode="External"/><Relationship Id="rId10" Type="http://schemas.openxmlformats.org/officeDocument/2006/relationships/hyperlink" Target="https://es.statista.com/grafico/22835/boom-del-e-commerce-en-latinoamerica/" TargetMode="External"/><Relationship Id="rId13" Type="http://schemas.openxmlformats.org/officeDocument/2006/relationships/header" Target="header2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5" Type="http://schemas.openxmlformats.org/officeDocument/2006/relationships/footer" Target="footer2.xml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I9wNMTfXcAsasX9JfRYztgLLAw==">AMUW2mUOe0+w3DwLfLVKq5zyEyH10GB396rPMc7RusF2307cO+qDK0fuI6rrExGpe72NMpcpB+v5Xc4J6fqZXhhqF01/VjD6rqPLqUHna7C+tJqO61BhNBBnGm2c40gHMuWg/O+kdSms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2022-10-12T16:26:00Z</dcterms:created>
  <dc:creator>Lagno, Andrea / Kuehne + Nagel / Scl RM-K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5de889ffc5eec9deefa3cbb9fe220e12129500918b89437cb678f03bb0aaa73a</vt:lpwstr>
  </property>
</Properties>
</file>