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Montserrat" w:cs="Montserrat" w:eastAsia="Montserrat" w:hAnsi="Montserrat"/>
          <w:b w:val="1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4"/>
          <w:szCs w:val="34"/>
          <w:rtl w:val="0"/>
        </w:rPr>
        <w:t xml:space="preserve">5 puntos clave para entender la modificación a Ley General para el Control del Tabaco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rFonts w:ascii="Montserrat" w:cs="Montserrat" w:eastAsia="Montserrat" w:hAnsi="Montserrat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b w:val="1"/>
          <w:sz w:val="20"/>
          <w:szCs w:val="20"/>
        </w:rPr>
      </w:pPr>
      <w:bookmarkStart w:colFirst="0" w:colLast="0" w:name="_wzuqa76iabm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i w:val="1"/>
          <w:sz w:val="20"/>
          <w:szCs w:val="20"/>
          <w:rtl w:val="0"/>
        </w:rPr>
        <w:t xml:space="preserve">Los legisladores proponen realizar cambios para regular la industria del tabaco e implementar medidas prohibitivas.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iudad de México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18 de marzo de 2021.-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La última vez que se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modificó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la </w:t>
      </w:r>
      <w:hyperlink r:id="rId6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Ley General para el Control del Tabaco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 (LGCT)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fue en mayo de 2008. Hoy, de nuevo,  está en boca de todos porque hay más de 16 propuestas en el Congreso de la Unión para reformarla. </w:t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Las iniciativas para actualizar el marco regulatorio del tabaco son un tema de debate que despertó la atención de la sociedad civil, comunidad médica e iniciativa privada. Te ahorramos los discursos largos y explicaciones técnicas con cinco puntos claves para entender qué implican las posibles modificaciones a la LGCT. 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1.- ¿De qué trata?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Hay propuestas que regulan y otras que prohíben. Los actuales proyectos se enfocan en lo segundo, porque pretenden quitar los productos de tabaco en puntos de venta (ya no estarán detrás de las cajas) y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vetarían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todo tipo de anuncios (antes sólo se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prohibían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patrocinios). </w:t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También obligarán a las empresas a comercializar con un empaquetado único del mismo color y misma tipografía, es decir, las cajetillas serían indistinguibles unas de otras. 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Aunado a lo anterior, también se contempla la prohibición de la importación, exportación, comercialización, venta, producción o fabricación de cigarros electrónicos, vaporizadores, productos de administración de nicotina y calentado de tabaco, así como su uso en espacios públicos con la imposición de multas que van desde 89 mil hasta 358 mil pesos.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2.- ¿A quiénes afecta?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En términos simples, los afectados serían los consumidores. Por un lado eliminar la visibilidad de los productos de tabaco y obligar a vender un empaquetado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neutro podría crear confusión entre las marcas establecidas de manera legal.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Además, afectaría la economía de los comercios y se promovería la generación de mercados negros poniendo en riesgo la salud de los usuarios. 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Por otro lado, prohibir los dispositivos actualmente existentes como alternativas para el consumo de tabaco y nicotina afectaría, irremediablemente, a quienes han optado por estas opciones, ya sea porque no pueden dejar de fumar o porque desean seguir haciéndolo con un menor riesgo. 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3.- Los que levantaron la mano.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La intención legislativa inquietó a diversas organizaciones. La Alianza Nacional de Pequeños Comerciantes (ANPEC) y la Asociación Nacional de Tiendas de Autoservicio y Departamentales (ANTAD) expresaron que estas medidas afectarían al pequeño comercio, reduciendo sus ventas y mermando aún más su economía en un contexto de contingencia sanitaria. 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4. ¿Qué dice la comunidad médica al respecto?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En una carta firmada por varios profesionales de la salud y enviada al Congreso para su consideración en el debate, varios especialistas en salud pública del país expresaron que si bien es necesaria una regulación orientada a reducir los niveles de tabaquismo en México, la cesación no puede ser la única política pública a seguir. 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El consumo de tabaco es un fenómeno complejo, por lo que su abordaje requiere de acciones integrales basadas en la gestión de riesgo y exposición, y que al mismo tiempo considere los elementos sociales, culturales, económicos y psicológicos. Las políticas públicas prohibicionistas han demostrado, históricamente, no sólo ser costosas sino también ineficaces. </w:t>
      </w:r>
    </w:p>
    <w:p w:rsidR="00000000" w:rsidDel="00000000" w:rsidP="00000000" w:rsidRDefault="00000000" w:rsidRPr="00000000" w14:paraId="00000018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5.- La perspectiva ciudadana.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De aprobarse las iniciativas que se están discutiendo en el Congreso, los 15 millones de fumadores en México no tendrían acceso a alternativas de menor riesgo para el consumo de tabaco y nicotina. Esto se contrapone a lo expresado en una encuesta conducida por la consultora especializada en asuntos públicos Povaddo, en la que el 80% de los mexicanos se mostró a favor de tener acceso a opciones de menor riesgo para consumir tabaco y nicotina.</w:t>
      </w:r>
    </w:p>
    <w:p w:rsidR="00000000" w:rsidDel="00000000" w:rsidP="00000000" w:rsidRDefault="00000000" w:rsidRPr="00000000" w14:paraId="0000001A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implementación de estas propuestas restringiría la fabricación, importación y comercialización de alternativas de consumo de tabaco y nicotina, productos que no tienen combustión, ni humo, que es donde se encuentran el mayor número de sustancias tóxicas para los fumadores. </w:t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Si bien todas las partes concuerdan en que es necesaria una actualización al marco regulatorio del tabaco, también es cierto que un enfoque prohibicionista tendría más perjuicios que beneficios y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coartaría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la libre elección de las personas para decidir sobre su consumo. Lo mejor será regular, no prohibir. </w:t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sz w:val="21"/>
        <w:szCs w:val="2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iputados.gob.mx/LeyesBiblio/pdf/LGCT_150618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