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br w:type="textWrapping"/>
        <w:br w:type="textWrapping"/>
        <w:t xml:space="preserve">Ce document contient certaines déclarations prospectives sur les attentes du groupe CTG par rapport à la croissance, aux perspectives financières, à la stratégie business, aux prévisions de performances pour l’année 2018 et à un horizon de trois ans, à un programme de rachat partagé, ainsi que des déclarations liées au contrôle des coûts, aux nouvelles opportunités business, aux performances financières, à la demande du marché, et à d’autres caractéristiques de l’entreprise. Ces déclarations sont basées sur les attentes et suppositions de l’entreprise, qui reposent sur les rapports des industries, sur les conditions actuelles pour le business dans les zones dans lesquelles l’entreprise est active, sur les retours de nos clients actuels et potentiels, sur une analyse des éventuels changements réglementaires ou autres événements et circonstances qui pourraient affecter l’entreprise et/ou ses clients. Les résultats réels peuvent différer sensiblement des perspectives, attentes et autres déclarations prospectives, et ce en raison de nombreux facteurs, notamment la disponibilité, pour l’entreprise, de suffisamment de professionnels qualifiés, la concurrence domestique et étrangère pour les clients et les talents, le pouvoir de négociation de plus en plus important des clients de grande envergure, la capacité de l’entreprise à protéger les données confidentielles des clients, la perte partielle ou totale des revenus que l’entreprise génère à travers International Business Machines Corporation (IBM) et/ou SDI International, la capacité à intégrer le business de Tech-IT et Soft Company et à conserver leurs clients, l’incertitude concernant les projets de réduction de coûts lancés par certains clients, l’effet de la réforme des soins de santé, le bon équilibre entre staffing et solutions, les risques concernant le taux de change, les risques liés aux activités menées sous l’autorité de juridictions étrangères, les renégociations, les annulations ou violations de contrats avec des clients, vendeurs, sous-traitants ou autres parties, un changement de l’évaluation du budget de développement des softwares, l’impact des lois et régulations étatiques actuelles et futures ou d’une modification ou abrogation de celles-ci qui affecterait l’industrie du staffing et des solutions IT, les taxes imposées à l’entreprise et ses activités, les conditions de l’industrie et de l’économie globale, en ce compris les fluctuations de la demande en services IT, la consolidation d’entreprises concurrentes ou de clients, le besoin de compléter ou de modifier les services IT en réponse aux nouvelles offres existantes dans l’industrie, ou des changements dans les exigences des clients par rapport aux produits et solutions IT, ainsi que d’autres facteurs qui entraîne un certain risque et une incertitude, y compris ceux repris dans le rapport de l’entreprise déposé à la Securities and Exchange Commission à la même date que ce document. Les déclarations prospectives de ce genre devraient être lues conjointement aux publications faites auparavant, dans le formulaire 10-K de 2017 qui est incorporé par renvoi, et à d’autres rapports qui pourraient être déposés de temps à autre à la Securities and Exchange Commission. L’entreprise n’est pas soumise à l’obligation de mettre à jour les informations prospectives contenues dans ce document.</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