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2F2" w:rsidRDefault="001572F2" w:rsidP="004278B1">
      <w:pPr>
        <w:pStyle w:val="Geenafstand"/>
        <w:ind w:left="993"/>
      </w:pPr>
    </w:p>
    <w:p w:rsidR="00B97593" w:rsidRDefault="001D5C58" w:rsidP="006917E1">
      <w:pPr>
        <w:pStyle w:val="Geenafstand"/>
        <w:ind w:left="993"/>
      </w:pPr>
      <w:r>
        <w:rPr>
          <w:noProof/>
          <w:lang w:val="nl-BE" w:eastAsia="nl-BE"/>
        </w:rPr>
        <mc:AlternateContent>
          <mc:Choice Requires="wps">
            <w:drawing>
              <wp:anchor distT="0" distB="0" distL="114300" distR="114300" simplePos="0" relativeHeight="251656704" behindDoc="0" locked="0" layoutInCell="1" allowOverlap="1">
                <wp:simplePos x="0" y="0"/>
                <wp:positionH relativeFrom="column">
                  <wp:posOffset>2147941</wp:posOffset>
                </wp:positionH>
                <wp:positionV relativeFrom="paragraph">
                  <wp:posOffset>66040</wp:posOffset>
                </wp:positionV>
                <wp:extent cx="4709795" cy="67564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9795"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3A" w:rsidRPr="00D01FB0" w:rsidRDefault="00A16F30" w:rsidP="00673D3E">
                            <w:pPr>
                              <w:spacing w:after="0" w:line="240" w:lineRule="auto"/>
                              <w:rPr>
                                <w:rFonts w:ascii="Rockwell" w:hAnsi="Rockwell" w:cs="Rockwell"/>
                                <w:color w:val="00AEEF"/>
                                <w:sz w:val="48"/>
                                <w:szCs w:val="48"/>
                                <w:lang w:val="fr-FR" w:eastAsia="nl-BE"/>
                              </w:rPr>
                            </w:pPr>
                            <w:r>
                              <w:rPr>
                                <w:rFonts w:ascii="Rockwell" w:hAnsi="Rockwell" w:cs="Rockwell"/>
                                <w:color w:val="00AEEF"/>
                                <w:sz w:val="48"/>
                                <w:szCs w:val="48"/>
                                <w:lang w:val="fr-FR" w:eastAsia="nl-BE"/>
                              </w:rPr>
                              <w:t xml:space="preserve">     </w:t>
                            </w:r>
                            <w:r w:rsidR="00A9543A" w:rsidRPr="00D01FB0">
                              <w:rPr>
                                <w:rFonts w:ascii="Rockwell" w:hAnsi="Rockwell" w:cs="Rockwell"/>
                                <w:color w:val="00AEEF"/>
                                <w:sz w:val="48"/>
                                <w:szCs w:val="48"/>
                                <w:lang w:val="fr-FR" w:eastAsia="nl-BE"/>
                              </w:rPr>
                              <w:t>Communiqué de presse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9.15pt;margin-top:5.2pt;width:370.85pt;height:5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8kMtgIAALkFAAAOAAAAZHJzL2Uyb0RvYy54bWysVNtunDAQfa/Uf7D8TrjUuywobJQsS1Up&#10;vUhJP8ALZrEKNrW9C2nVf+/Y7C3JS9WWB2R7xmfOzBzP9c3YtWjPlOZSZDi8CjBiopQVF9sMf30s&#10;vAVG2lBR0VYKluEnpvHN8u2b66FPWSQb2VZMIQAROh36DDfG9Knv67JhHdVXsmcCjLVUHTWwVVu/&#10;UnQA9K71oyCY+4NUVa9kybSG03wy4qXDr2tWms91rZlBbYaBm3F/5f4b+/eX1zTdKto3vDzQoH/B&#10;oqNcQNATVE4NRTvFX0F1vFRSy9pclbLzZV3zkrkcIJsweJHNQ0N75nKB4uj+VCb9/2DLT/svCvEq&#10;wzOMBO2gRY9sNOhOjiiy1Rl6nYLTQw9uZoRj6LLLVPf3svymkZCrhootu1VKDg2jFbAL7U3/4uqE&#10;oy3IZvgoKwhDd0Y6oLFWnS0dFAMBOnTp6dQZS6WEQxIHSZwAxRJs83g2J651Pk2Pt3ulzXsmO2QX&#10;GVbQeYdO9/faWDY0PbrYYEIWvG1d91vx7AAcpxOIDVetzbJwzfyZBMl6sV4Qj0TztUeCPPduixXx&#10;5kUYz/J3+WqVh79s3JCkDa8qJmyYo7BC8meNO0h8ksRJWlq2vLJwlpJW282qVWhPQdiF+1zNwXJ2&#10;85/TcEWAXF6kFEYkuIsSr5gvYo8UZOYlcbDwgjC5S+YBSUhePE/pngv27ymhIcPJLJpNYjqTfpFb&#10;4L7XudG04wZGR8u7DC9OTjS1ElyLyrXWUN5O64tSWPrnUkC7j412grUandRqxs0IKFbFG1k9gXSV&#10;BGWBPmHewaKR6gdGA8yODOvvO6oYRu0HAfJPQgL6RMZtyCyOYKMuLZtLCxUlQGXYYDQtV2YaULte&#10;8W0DkaYHJ+QtPJmaOzWfWR0eGswHl9RhltkBdLl3XueJu/wNAAD//wMAUEsDBBQABgAIAAAAIQAL&#10;WQuU3gAAAAsBAAAPAAAAZHJzL2Rvd25yZXYueG1sTI/NTsMwEITvSLyDtUjc6LqkVCHEqRCIK4jy&#10;I3Fz420SEa+j2G3C27M9wW1H82l2ptzMvldHGmMX2MByoUER18F13Bh4f3u6ykHFZNnZPjAZ+KEI&#10;m+r8rLSFCxO/0nGbGiUhHAtroE1pKBBj3ZK3cREGYvH2YfQ2iRwbdKOdJNz3eK31Gr3tWD60dqCH&#10;lurv7cEb+Hjef32u9Evz6G+GKcwa2d+iMZcX8/0dqERz+oPhVF+qQyWdduHALqreQJblmaBi6BWo&#10;E6BzLet2ci3XOWBV4v8N1S8AAAD//wMAUEsBAi0AFAAGAAgAAAAhALaDOJL+AAAA4QEAABMAAAAA&#10;AAAAAAAAAAAAAAAAAFtDb250ZW50X1R5cGVzXS54bWxQSwECLQAUAAYACAAAACEAOP0h/9YAAACU&#10;AQAACwAAAAAAAAAAAAAAAAAvAQAAX3JlbHMvLnJlbHNQSwECLQAUAAYACAAAACEAb/fJDLYCAAC5&#10;BQAADgAAAAAAAAAAAAAAAAAuAgAAZHJzL2Uyb0RvYy54bWxQSwECLQAUAAYACAAAACEAC1kLlN4A&#10;AAALAQAADwAAAAAAAAAAAAAAAAAQBQAAZHJzL2Rvd25yZXYueG1sUEsFBgAAAAAEAAQA8wAAABsG&#10;AAAAAA==&#10;" filled="f" stroked="f">
                <v:textbox>
                  <w:txbxContent>
                    <w:p w:rsidR="00A9543A" w:rsidRPr="00D01FB0" w:rsidRDefault="00A16F30" w:rsidP="00673D3E">
                      <w:pPr>
                        <w:spacing w:after="0" w:line="240" w:lineRule="auto"/>
                        <w:rPr>
                          <w:rFonts w:ascii="Rockwell" w:hAnsi="Rockwell" w:cs="Rockwell"/>
                          <w:color w:val="00AEEF"/>
                          <w:sz w:val="48"/>
                          <w:szCs w:val="48"/>
                          <w:lang w:val="fr-FR" w:eastAsia="nl-BE"/>
                        </w:rPr>
                      </w:pPr>
                      <w:r>
                        <w:rPr>
                          <w:rFonts w:ascii="Rockwell" w:hAnsi="Rockwell" w:cs="Rockwell"/>
                          <w:color w:val="00AEEF"/>
                          <w:sz w:val="48"/>
                          <w:szCs w:val="48"/>
                          <w:lang w:val="fr-FR" w:eastAsia="nl-BE"/>
                        </w:rPr>
                        <w:t xml:space="preserve">     </w:t>
                      </w:r>
                      <w:r w:rsidR="00A9543A" w:rsidRPr="00D01FB0">
                        <w:rPr>
                          <w:rFonts w:ascii="Rockwell" w:hAnsi="Rockwell" w:cs="Rockwell"/>
                          <w:color w:val="00AEEF"/>
                          <w:sz w:val="48"/>
                          <w:szCs w:val="48"/>
                          <w:lang w:val="fr-FR" w:eastAsia="nl-BE"/>
                        </w:rPr>
                        <w:t>Communiqué de presse</w:t>
                      </w:r>
                    </w:p>
                  </w:txbxContent>
                </v:textbox>
              </v:shape>
            </w:pict>
          </mc:Fallback>
        </mc:AlternateContent>
      </w:r>
      <w:r w:rsidR="00D57A50">
        <w:rPr>
          <w:noProof/>
          <w:lang w:val="nl-BE" w:eastAsia="nl-BE"/>
        </w:rPr>
        <w:drawing>
          <wp:inline distT="0" distB="0" distL="0" distR="0">
            <wp:extent cx="808355" cy="616585"/>
            <wp:effectExtent l="19050" t="0" r="0" b="0"/>
            <wp:docPr id="1" name="Picture 1" descr="KBC_Logo_5cm_300dpi_no_antial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BC_Logo_5cm_300dpi_no_antialias"/>
                    <pic:cNvPicPr>
                      <a:picLocks noChangeAspect="1" noChangeArrowheads="1"/>
                    </pic:cNvPicPr>
                  </pic:nvPicPr>
                  <pic:blipFill>
                    <a:blip r:embed="rId7" cstate="print"/>
                    <a:srcRect/>
                    <a:stretch>
                      <a:fillRect/>
                    </a:stretch>
                  </pic:blipFill>
                  <pic:spPr bwMode="auto">
                    <a:xfrm>
                      <a:off x="0" y="0"/>
                      <a:ext cx="808355" cy="616585"/>
                    </a:xfrm>
                    <a:prstGeom prst="rect">
                      <a:avLst/>
                    </a:prstGeom>
                    <a:noFill/>
                    <a:ln w="9525">
                      <a:noFill/>
                      <a:miter lim="800000"/>
                      <a:headEnd/>
                      <a:tailEnd/>
                    </a:ln>
                  </pic:spPr>
                </pic:pic>
              </a:graphicData>
            </a:graphic>
          </wp:inline>
        </w:drawing>
      </w:r>
      <w:r w:rsidR="005C2083">
        <w:rPr>
          <w:noProof/>
          <w:lang w:val="nl-BE" w:eastAsia="nl-BE"/>
        </w:rPr>
        <w:t xml:space="preserve">   </w:t>
      </w:r>
      <w:r w:rsidR="00A16F30" w:rsidRPr="006F6471">
        <w:rPr>
          <w:noProof/>
          <w:lang w:val="nl-BE" w:eastAsia="nl-BE"/>
        </w:rPr>
        <w:drawing>
          <wp:inline distT="0" distB="0" distL="0" distR="0" wp14:anchorId="4C9F3EDF" wp14:editId="143BBD71">
            <wp:extent cx="799200" cy="622800"/>
            <wp:effectExtent l="0" t="0" r="1270" b="6350"/>
            <wp:docPr id="9"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9200" cy="622800"/>
                    </a:xfrm>
                    <a:prstGeom prst="rect">
                      <a:avLst/>
                    </a:prstGeom>
                  </pic:spPr>
                </pic:pic>
              </a:graphicData>
            </a:graphic>
          </wp:inline>
        </w:drawing>
      </w:r>
    </w:p>
    <w:p w:rsidR="004278B1" w:rsidRDefault="004278B1" w:rsidP="00673D3E">
      <w:pPr>
        <w:pStyle w:val="Geenafstand"/>
        <w:ind w:left="1440"/>
        <w:rPr>
          <w:sz w:val="8"/>
          <w:szCs w:val="8"/>
        </w:rPr>
      </w:pPr>
    </w:p>
    <w:p w:rsidR="00FC36C2" w:rsidRPr="004278B1" w:rsidRDefault="00FC36C2" w:rsidP="00673D3E">
      <w:pPr>
        <w:pStyle w:val="Geenafstand"/>
        <w:ind w:left="1440"/>
        <w:rPr>
          <w:sz w:val="8"/>
          <w:szCs w:val="8"/>
        </w:rPr>
      </w:pPr>
    </w:p>
    <w:p w:rsidR="004278B1" w:rsidRDefault="00D57A50" w:rsidP="00FC36C2">
      <w:pPr>
        <w:pStyle w:val="Geenafstand"/>
        <w:ind w:left="284"/>
      </w:pPr>
      <w:r>
        <w:rPr>
          <w:noProof/>
          <w:lang w:val="nl-BE" w:eastAsia="nl-BE"/>
        </w:rPr>
        <w:drawing>
          <wp:inline distT="0" distB="0" distL="0" distR="0">
            <wp:extent cx="6772910" cy="170180"/>
            <wp:effectExtent l="19050" t="0" r="8890" b="0"/>
            <wp:docPr id="2" name="Picture 2" descr="curve0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rve01b"/>
                    <pic:cNvPicPr>
                      <a:picLocks noChangeAspect="1" noChangeArrowheads="1"/>
                    </pic:cNvPicPr>
                  </pic:nvPicPr>
                  <pic:blipFill>
                    <a:blip r:embed="rId9" cstate="print"/>
                    <a:srcRect/>
                    <a:stretch>
                      <a:fillRect/>
                    </a:stretch>
                  </pic:blipFill>
                  <pic:spPr bwMode="auto">
                    <a:xfrm>
                      <a:off x="0" y="0"/>
                      <a:ext cx="6772910" cy="170180"/>
                    </a:xfrm>
                    <a:prstGeom prst="rect">
                      <a:avLst/>
                    </a:prstGeom>
                    <a:noFill/>
                    <a:ln w="9525">
                      <a:noFill/>
                      <a:miter lim="800000"/>
                      <a:headEnd/>
                      <a:tailEnd/>
                    </a:ln>
                  </pic:spPr>
                </pic:pic>
              </a:graphicData>
            </a:graphic>
          </wp:inline>
        </w:drawing>
      </w:r>
    </w:p>
    <w:p w:rsidR="00D14EBE" w:rsidRDefault="00D14EBE" w:rsidP="00D14EBE">
      <w:pPr>
        <w:pStyle w:val="Geenafstand"/>
        <w:ind w:left="993"/>
        <w:rPr>
          <w:lang w:val="fr-FR"/>
        </w:rPr>
      </w:pPr>
    </w:p>
    <w:p w:rsidR="0077354C" w:rsidRPr="009C1678" w:rsidRDefault="00041581" w:rsidP="0077354C">
      <w:pPr>
        <w:ind w:left="993"/>
        <w:rPr>
          <w:color w:val="003768"/>
          <w:lang w:val="fr-FR"/>
        </w:rPr>
      </w:pPr>
      <w:r>
        <w:rPr>
          <w:color w:val="003768"/>
          <w:lang w:val="fr-FR"/>
        </w:rPr>
        <w:t xml:space="preserve">Bruxelles, </w:t>
      </w:r>
      <w:r w:rsidR="001D5C58">
        <w:rPr>
          <w:color w:val="003768"/>
          <w:lang w:val="fr-FR"/>
        </w:rPr>
        <w:t>4 décembre</w:t>
      </w:r>
      <w:r>
        <w:rPr>
          <w:color w:val="003768"/>
          <w:lang w:val="fr-FR"/>
        </w:rPr>
        <w:t xml:space="preserve"> 2014</w:t>
      </w:r>
      <w:r w:rsidR="0077354C" w:rsidRPr="009C1678">
        <w:rPr>
          <w:color w:val="003768"/>
          <w:lang w:val="fr-FR"/>
        </w:rPr>
        <w:t xml:space="preserve"> </w:t>
      </w:r>
    </w:p>
    <w:p w:rsidR="0077354C" w:rsidRPr="00017FD1" w:rsidRDefault="0077354C" w:rsidP="0077354C">
      <w:pPr>
        <w:autoSpaceDE w:val="0"/>
        <w:autoSpaceDN w:val="0"/>
        <w:adjustRightInd w:val="0"/>
        <w:spacing w:after="0" w:line="240" w:lineRule="auto"/>
        <w:ind w:left="993" w:right="4"/>
        <w:rPr>
          <w:rFonts w:cs="Arial"/>
          <w:b/>
          <w:bCs/>
          <w:color w:val="003768"/>
          <w:sz w:val="28"/>
          <w:szCs w:val="28"/>
          <w:lang w:val="fr-FR"/>
        </w:rPr>
      </w:pPr>
    </w:p>
    <w:p w:rsidR="0077354C" w:rsidRPr="00017FD1" w:rsidRDefault="0077354C" w:rsidP="0077354C">
      <w:pPr>
        <w:autoSpaceDE w:val="0"/>
        <w:autoSpaceDN w:val="0"/>
        <w:adjustRightInd w:val="0"/>
        <w:spacing w:after="0" w:line="240" w:lineRule="auto"/>
        <w:ind w:left="993" w:right="4"/>
        <w:rPr>
          <w:rFonts w:cs="Arial"/>
          <w:b/>
          <w:bCs/>
          <w:color w:val="003768"/>
          <w:sz w:val="28"/>
          <w:szCs w:val="28"/>
          <w:lang w:val="fr-FR"/>
        </w:rPr>
      </w:pPr>
    </w:p>
    <w:p w:rsidR="007C6F66" w:rsidRPr="007C6F66" w:rsidRDefault="007C6F66" w:rsidP="007C6F66">
      <w:pPr>
        <w:ind w:left="993" w:right="-31"/>
        <w:jc w:val="center"/>
        <w:rPr>
          <w:rFonts w:ascii="Rockwell" w:hAnsi="Rockwell" w:cs="Rockwell,Bold"/>
          <w:b/>
          <w:bCs/>
          <w:color w:val="00AEEF"/>
          <w:sz w:val="48"/>
          <w:szCs w:val="48"/>
          <w:lang w:val="fr-FR"/>
        </w:rPr>
      </w:pPr>
      <w:r w:rsidRPr="007C6F66">
        <w:rPr>
          <w:rFonts w:ascii="Rockwell" w:hAnsi="Rockwell" w:cs="Rockwell,Bold"/>
          <w:b/>
          <w:bCs/>
          <w:color w:val="00AEEF"/>
          <w:sz w:val="48"/>
          <w:szCs w:val="48"/>
          <w:lang w:val="fr-FR"/>
        </w:rPr>
        <w:t>Le rally</w:t>
      </w:r>
      <w:r w:rsidR="00590246">
        <w:rPr>
          <w:rFonts w:ascii="Rockwell" w:hAnsi="Rockwell" w:cs="Rockwell,Bold"/>
          <w:b/>
          <w:bCs/>
          <w:color w:val="00AEEF"/>
          <w:sz w:val="48"/>
          <w:szCs w:val="48"/>
          <w:lang w:val="fr-FR"/>
        </w:rPr>
        <w:t>e</w:t>
      </w:r>
      <w:r w:rsidRPr="007C6F66">
        <w:rPr>
          <w:rFonts w:ascii="Rockwell" w:hAnsi="Rockwell" w:cs="Rockwell,Bold"/>
          <w:b/>
          <w:bCs/>
          <w:color w:val="00AEEF"/>
          <w:sz w:val="48"/>
          <w:szCs w:val="48"/>
          <w:lang w:val="fr-FR"/>
        </w:rPr>
        <w:t xml:space="preserve"> obligataire touche à sa fin, l'heure est aux actions !</w:t>
      </w:r>
    </w:p>
    <w:p w:rsidR="0077354C" w:rsidRPr="007C6F66" w:rsidRDefault="007C6F66" w:rsidP="007C6F66">
      <w:pPr>
        <w:ind w:left="993" w:right="-31"/>
        <w:jc w:val="center"/>
        <w:rPr>
          <w:rFonts w:ascii="Rockwell" w:hAnsi="Rockwell"/>
          <w:b/>
          <w:color w:val="00AEEF"/>
          <w:sz w:val="32"/>
          <w:szCs w:val="32"/>
          <w:lang w:val="fr-FR"/>
        </w:rPr>
      </w:pPr>
      <w:r w:rsidRPr="007C6F66">
        <w:rPr>
          <w:rFonts w:ascii="Rockwell" w:hAnsi="Rockwell" w:cs="Rockwell,Bold"/>
          <w:b/>
          <w:bCs/>
          <w:color w:val="00AEEF"/>
          <w:sz w:val="32"/>
          <w:szCs w:val="32"/>
          <w:lang w:val="fr-FR"/>
        </w:rPr>
        <w:t>La zone euro se raccroche au redressement</w:t>
      </w:r>
    </w:p>
    <w:p w:rsidR="0077354C" w:rsidRPr="00D01FB0" w:rsidRDefault="0077354C" w:rsidP="0077354C">
      <w:pPr>
        <w:autoSpaceDE w:val="0"/>
        <w:autoSpaceDN w:val="0"/>
        <w:adjustRightInd w:val="0"/>
        <w:spacing w:after="0" w:line="240" w:lineRule="auto"/>
        <w:ind w:left="993" w:right="4"/>
        <w:rPr>
          <w:rFonts w:cs="Arial"/>
          <w:b/>
          <w:bCs/>
          <w:color w:val="003768"/>
          <w:sz w:val="28"/>
          <w:szCs w:val="28"/>
          <w:lang w:val="fr-FR"/>
        </w:rPr>
      </w:pPr>
    </w:p>
    <w:p w:rsidR="007C6F66" w:rsidRDefault="007C6F66" w:rsidP="007C6F66">
      <w:pPr>
        <w:autoSpaceDE w:val="0"/>
        <w:autoSpaceDN w:val="0"/>
        <w:adjustRightInd w:val="0"/>
        <w:spacing w:after="240" w:line="240" w:lineRule="auto"/>
        <w:ind w:left="993" w:right="4"/>
        <w:rPr>
          <w:rFonts w:cs="Arial"/>
          <w:b/>
          <w:bCs/>
          <w:color w:val="003768"/>
          <w:sz w:val="28"/>
          <w:szCs w:val="28"/>
          <w:lang w:val="fr-FR"/>
        </w:rPr>
      </w:pPr>
      <w:r w:rsidRPr="007C6F66">
        <w:rPr>
          <w:rFonts w:cs="Arial"/>
          <w:b/>
          <w:bCs/>
          <w:color w:val="003768"/>
          <w:sz w:val="28"/>
          <w:szCs w:val="28"/>
          <w:lang w:val="fr-FR"/>
        </w:rPr>
        <w:t xml:space="preserve">Empêcher la zone euro de sombrer dans la récession et stimuler l'inflation, telles sont les bonnes résolutions de Mario </w:t>
      </w:r>
      <w:proofErr w:type="spellStart"/>
      <w:r w:rsidRPr="007C6F66">
        <w:rPr>
          <w:rFonts w:cs="Arial"/>
          <w:b/>
          <w:bCs/>
          <w:color w:val="003768"/>
          <w:sz w:val="28"/>
          <w:szCs w:val="28"/>
          <w:lang w:val="fr-FR"/>
        </w:rPr>
        <w:t>Draghi</w:t>
      </w:r>
      <w:proofErr w:type="spellEnd"/>
      <w:r w:rsidRPr="007C6F66">
        <w:rPr>
          <w:rFonts w:cs="Arial"/>
          <w:b/>
          <w:bCs/>
          <w:color w:val="003768"/>
          <w:sz w:val="28"/>
          <w:szCs w:val="28"/>
          <w:lang w:val="fr-FR"/>
        </w:rPr>
        <w:t>, le président de la BCE, pour 2015. Les États-Unis prennent la tête de la reprise économique mondiale et après neuf années d'assouplissement monétaire progressif, le premier relèvement du taux américain se profile. Selon nous, il en résultera que l’année boursière 2015 sera positive mais volatile, avec une surperformance absolue du dollar. Les investisseurs obligataires doivent quant à eux rester sur leurs gardes.</w:t>
      </w:r>
    </w:p>
    <w:p w:rsidR="007C6F66" w:rsidRDefault="007C6F66" w:rsidP="007C6F66">
      <w:pPr>
        <w:autoSpaceDE w:val="0"/>
        <w:autoSpaceDN w:val="0"/>
        <w:adjustRightInd w:val="0"/>
        <w:spacing w:after="240" w:line="240" w:lineRule="auto"/>
        <w:ind w:left="993" w:right="4"/>
        <w:rPr>
          <w:rFonts w:cs="Arial"/>
          <w:b/>
          <w:bCs/>
          <w:color w:val="003768"/>
          <w:sz w:val="28"/>
          <w:szCs w:val="28"/>
          <w:lang w:val="fr-FR"/>
        </w:rPr>
      </w:pPr>
      <w:bookmarkStart w:id="0" w:name="_GoBack"/>
      <w:bookmarkEnd w:id="0"/>
    </w:p>
    <w:p w:rsidR="007C6F66" w:rsidRPr="007C6F66" w:rsidRDefault="007C6F66" w:rsidP="007C6F66">
      <w:pPr>
        <w:autoSpaceDE w:val="0"/>
        <w:autoSpaceDN w:val="0"/>
        <w:adjustRightInd w:val="0"/>
        <w:spacing w:after="240" w:line="240" w:lineRule="auto"/>
        <w:ind w:left="992" w:right="6"/>
        <w:rPr>
          <w:rFonts w:cs="Arial"/>
          <w:bCs/>
          <w:color w:val="003768"/>
          <w:lang w:val="fr-FR"/>
        </w:rPr>
      </w:pPr>
      <w:r w:rsidRPr="007C6F66">
        <w:rPr>
          <w:rFonts w:cs="Arial"/>
          <w:bCs/>
          <w:color w:val="003768"/>
          <w:lang w:val="fr-FR"/>
        </w:rPr>
        <w:t>2014 devait être l'année de la reprise dans la zone euro et les États-Unis attendaient une accélération de leur relance. Or, aucun de ces deux scénarios ne se sont réalisés. La croissance américaine a pris un faux départ en raison d'un hiver extrêmement rigoureux et s'est même muée en contraction de l'économie au premier trimestre. Le monde a poussé un « ouf ! » de soulagement après la publication des excellents chiffres du deuxième trimestre. Ils ont démontré que le vortex polaire, la vague de froid qui a paralysé les États-Unis pendant des semaines, était responsable de ce creux temporaire. L'économie est repartie et a créé un peu plus de 200 000 emplois par mois sur les six derniers mois.</w:t>
      </w:r>
    </w:p>
    <w:p w:rsidR="007C6F66" w:rsidRPr="00590246" w:rsidRDefault="007C6F66" w:rsidP="007C6F66">
      <w:pPr>
        <w:autoSpaceDE w:val="0"/>
        <w:autoSpaceDN w:val="0"/>
        <w:adjustRightInd w:val="0"/>
        <w:spacing w:after="240" w:line="240" w:lineRule="auto"/>
        <w:ind w:left="992" w:right="6"/>
        <w:rPr>
          <w:rFonts w:ascii="Rockwell" w:hAnsi="Rockwell" w:cs="Arial"/>
          <w:b/>
          <w:bCs/>
          <w:color w:val="003366"/>
          <w:sz w:val="28"/>
          <w:szCs w:val="28"/>
          <w:lang w:val="fr-FR"/>
        </w:rPr>
      </w:pPr>
      <w:r w:rsidRPr="00590246">
        <w:rPr>
          <w:rFonts w:ascii="Rockwell" w:hAnsi="Rockwell" w:cs="Arial"/>
          <w:b/>
          <w:bCs/>
          <w:color w:val="003366"/>
          <w:sz w:val="28"/>
          <w:szCs w:val="28"/>
          <w:lang w:val="fr-FR"/>
        </w:rPr>
        <w:t>Le malaise européen</w:t>
      </w:r>
    </w:p>
    <w:p w:rsidR="007C6F66" w:rsidRPr="007C6F66" w:rsidRDefault="007C6F66" w:rsidP="007C6F66">
      <w:pPr>
        <w:autoSpaceDE w:val="0"/>
        <w:autoSpaceDN w:val="0"/>
        <w:adjustRightInd w:val="0"/>
        <w:spacing w:after="240" w:line="240" w:lineRule="auto"/>
        <w:ind w:left="992" w:right="6"/>
        <w:rPr>
          <w:rFonts w:cs="Arial"/>
          <w:bCs/>
          <w:color w:val="003768"/>
          <w:lang w:val="fr-FR"/>
        </w:rPr>
      </w:pPr>
      <w:r w:rsidRPr="007C6F66">
        <w:rPr>
          <w:rFonts w:cs="Arial"/>
          <w:bCs/>
          <w:color w:val="003768"/>
          <w:lang w:val="fr-FR"/>
        </w:rPr>
        <w:t xml:space="preserve">La zone euro a suivi le chemin inverse. Elle a relativement bien débuté l'année. En mai, nombre de banques d'affaires ont même revu leurs prévisions de croissance à la hausse. Mais, par la suite, la situation n'a cessé de se dégrader. La crise ukrainienne a fragilisé la confiance, d'abord des entreprises, puis des consommateurs. L'érosion de la confiance s'est traduite par un recul des investissements et des commandes. Même la locomotive allemande a échappé de justesse à la récession au troisième trimestre. La zone euro a crû de 0,2% grâce aux réformes menées dans des pays tels que le Portugal, l'Espagne, l'Irlande et les Pays-Bas. </w:t>
      </w:r>
    </w:p>
    <w:p w:rsidR="007C6F66" w:rsidRPr="00590246" w:rsidRDefault="007C6F66" w:rsidP="007C6F66">
      <w:pPr>
        <w:autoSpaceDE w:val="0"/>
        <w:autoSpaceDN w:val="0"/>
        <w:adjustRightInd w:val="0"/>
        <w:spacing w:after="240" w:line="240" w:lineRule="auto"/>
        <w:ind w:left="992" w:right="6"/>
        <w:rPr>
          <w:rFonts w:ascii="Rockwell" w:hAnsi="Rockwell" w:cs="Arial"/>
          <w:b/>
          <w:bCs/>
          <w:color w:val="003366"/>
          <w:sz w:val="28"/>
          <w:szCs w:val="28"/>
          <w:lang w:val="fr-FR"/>
        </w:rPr>
      </w:pPr>
      <w:r w:rsidRPr="007C6F66">
        <w:rPr>
          <w:rFonts w:cs="Arial"/>
          <w:bCs/>
          <w:color w:val="003768"/>
          <w:lang w:val="fr-FR"/>
        </w:rPr>
        <w:t xml:space="preserve">Les perdants d'hier seront les gagnants de 2015. Les pays qui n'ont mené que de timides réformes, tels que la France, l'Italie et la Belgique, risquent de s'enliser davantage. La situation de l’économie italienne, qui a à peine retrouvé son niveau de 2000, illustre parfaitement le problème. Une décennie perdue ! Pas de croissance sans réformes. Pas de bénéfices sans douleur. Il en va de même en Belgique. </w:t>
      </w:r>
      <w:r w:rsidRPr="00590246">
        <w:rPr>
          <w:rFonts w:ascii="Rockwell" w:hAnsi="Rockwell" w:cs="Arial"/>
          <w:b/>
          <w:bCs/>
          <w:color w:val="003366"/>
          <w:sz w:val="28"/>
          <w:szCs w:val="28"/>
          <w:lang w:val="fr-FR"/>
        </w:rPr>
        <w:br w:type="page"/>
      </w:r>
    </w:p>
    <w:p w:rsidR="007C6F66" w:rsidRPr="00590246" w:rsidRDefault="007C6F66" w:rsidP="007C6F66">
      <w:pPr>
        <w:autoSpaceDE w:val="0"/>
        <w:autoSpaceDN w:val="0"/>
        <w:adjustRightInd w:val="0"/>
        <w:spacing w:after="240" w:line="240" w:lineRule="auto"/>
        <w:ind w:left="992" w:right="6"/>
        <w:rPr>
          <w:rFonts w:ascii="Rockwell" w:hAnsi="Rockwell" w:cs="Arial"/>
          <w:b/>
          <w:bCs/>
          <w:color w:val="003366"/>
          <w:sz w:val="28"/>
          <w:szCs w:val="28"/>
          <w:lang w:val="fr-FR"/>
        </w:rPr>
      </w:pPr>
    </w:p>
    <w:p w:rsidR="007C6F66" w:rsidRPr="00590246" w:rsidRDefault="007C6F66" w:rsidP="007C6F66">
      <w:pPr>
        <w:autoSpaceDE w:val="0"/>
        <w:autoSpaceDN w:val="0"/>
        <w:adjustRightInd w:val="0"/>
        <w:spacing w:after="240" w:line="240" w:lineRule="auto"/>
        <w:ind w:left="992" w:right="6"/>
        <w:rPr>
          <w:rFonts w:ascii="Rockwell" w:hAnsi="Rockwell" w:cs="Arial"/>
          <w:b/>
          <w:bCs/>
          <w:color w:val="003366"/>
          <w:sz w:val="28"/>
          <w:szCs w:val="28"/>
          <w:lang w:val="fr-FR"/>
        </w:rPr>
      </w:pPr>
    </w:p>
    <w:p w:rsidR="007C6F66" w:rsidRPr="00590246" w:rsidRDefault="007C6F66" w:rsidP="007C6F66">
      <w:pPr>
        <w:autoSpaceDE w:val="0"/>
        <w:autoSpaceDN w:val="0"/>
        <w:adjustRightInd w:val="0"/>
        <w:spacing w:after="240" w:line="240" w:lineRule="auto"/>
        <w:ind w:left="992" w:right="6"/>
        <w:rPr>
          <w:rFonts w:ascii="Rockwell" w:hAnsi="Rockwell" w:cs="Arial"/>
          <w:b/>
          <w:bCs/>
          <w:color w:val="003366"/>
          <w:sz w:val="28"/>
          <w:szCs w:val="28"/>
          <w:lang w:val="fr-FR"/>
        </w:rPr>
      </w:pPr>
      <w:r w:rsidRPr="00590246">
        <w:rPr>
          <w:rFonts w:ascii="Rockwell" w:hAnsi="Rockwell" w:cs="Arial"/>
          <w:b/>
          <w:bCs/>
          <w:color w:val="003366"/>
          <w:sz w:val="28"/>
          <w:szCs w:val="28"/>
          <w:lang w:val="fr-FR"/>
        </w:rPr>
        <w:t>Pas de triple creux</w:t>
      </w:r>
    </w:p>
    <w:p w:rsidR="007C6F66" w:rsidRPr="007C6F66" w:rsidRDefault="007C6F66" w:rsidP="007C6F66">
      <w:pPr>
        <w:autoSpaceDE w:val="0"/>
        <w:autoSpaceDN w:val="0"/>
        <w:adjustRightInd w:val="0"/>
        <w:spacing w:after="240" w:line="240" w:lineRule="auto"/>
        <w:ind w:left="992" w:right="6"/>
        <w:rPr>
          <w:rFonts w:cs="Arial"/>
          <w:bCs/>
          <w:color w:val="003768"/>
          <w:lang w:val="fr-FR"/>
        </w:rPr>
      </w:pPr>
      <w:r w:rsidRPr="007C6F66">
        <w:rPr>
          <w:rFonts w:cs="Arial"/>
          <w:bCs/>
          <w:color w:val="003768"/>
          <w:lang w:val="fr-FR"/>
        </w:rPr>
        <w:t xml:space="preserve">Nous croyons que la zone euro va éviter sa troisième récession (deux trimestres consécutifs de croissance négative) depuis 2008 en raison de plusieurs facteurs. Une baisse durable du prix du pétrole de 10% dope la croissance économique de 0,2 point de pourcentage et la dépréciation de l'euro face aux principaux partenaires commerciaux engendrera un effet positif cumulé de 1 point de pourcentage sur une période de trois ans. </w:t>
      </w:r>
    </w:p>
    <w:p w:rsidR="007C6F66" w:rsidRPr="007C6F66" w:rsidRDefault="007C6F66" w:rsidP="007C6F66">
      <w:pPr>
        <w:autoSpaceDE w:val="0"/>
        <w:autoSpaceDN w:val="0"/>
        <w:adjustRightInd w:val="0"/>
        <w:spacing w:after="240" w:line="240" w:lineRule="auto"/>
        <w:ind w:left="992" w:right="6"/>
        <w:rPr>
          <w:rFonts w:cs="Arial"/>
          <w:bCs/>
          <w:color w:val="003768"/>
          <w:lang w:val="fr-FR"/>
        </w:rPr>
      </w:pPr>
      <w:r w:rsidRPr="007C6F66">
        <w:rPr>
          <w:rFonts w:cs="Arial"/>
          <w:bCs/>
          <w:color w:val="003768"/>
          <w:lang w:val="fr-FR"/>
        </w:rPr>
        <w:t xml:space="preserve">Le vent de l'austérité va en outre souffler moins fort sur l'Europe. Seul un tiers des économies effectuées ces quatre dernières années sont également programmées pour se répéter dans les quatre prochaines années.  En outre, les tests de résistance de la BCE et le contrôle des bilans ont enfin dégagé les canaux du crédit. Les positions de capital plus robustes permettent une hausse des crédits. Il reste à présent à attendre une augmentation de la demande d'investissements des entreprises. </w:t>
      </w:r>
    </w:p>
    <w:p w:rsidR="007C6F66" w:rsidRPr="007C6F66" w:rsidRDefault="007C6F66" w:rsidP="007C6F66">
      <w:pPr>
        <w:autoSpaceDE w:val="0"/>
        <w:autoSpaceDN w:val="0"/>
        <w:adjustRightInd w:val="0"/>
        <w:spacing w:after="240" w:line="240" w:lineRule="auto"/>
        <w:ind w:left="992" w:right="6"/>
        <w:rPr>
          <w:rFonts w:cs="Arial"/>
          <w:bCs/>
          <w:color w:val="003768"/>
          <w:lang w:val="fr-FR"/>
        </w:rPr>
      </w:pPr>
      <w:r w:rsidRPr="007C6F66">
        <w:rPr>
          <w:rFonts w:cs="Arial"/>
          <w:bCs/>
          <w:color w:val="003768"/>
          <w:lang w:val="fr-FR"/>
        </w:rPr>
        <w:t xml:space="preserve">Peut-être le fonds d'investissement récemment mis en place par la Commission européenne y contribuera-t-il car une reprise structurelle dans la zone euro n'est possible que si le cycle des investissements est relancé. Les investissements publics entraîneront le secteur privé, ce qui devrait accroître l'emploi, la consommation, l'utilisation des capacités industrielles et de nouveaux investissements. </w:t>
      </w:r>
    </w:p>
    <w:p w:rsidR="007C6F66" w:rsidRPr="00590246" w:rsidRDefault="007C6F66" w:rsidP="007C6F66">
      <w:pPr>
        <w:autoSpaceDE w:val="0"/>
        <w:autoSpaceDN w:val="0"/>
        <w:adjustRightInd w:val="0"/>
        <w:spacing w:after="240" w:line="240" w:lineRule="auto"/>
        <w:ind w:left="992" w:right="6"/>
        <w:rPr>
          <w:rFonts w:ascii="Rockwell" w:hAnsi="Rockwell" w:cs="Arial"/>
          <w:b/>
          <w:bCs/>
          <w:color w:val="003366"/>
          <w:sz w:val="28"/>
          <w:szCs w:val="28"/>
          <w:lang w:val="fr-FR"/>
        </w:rPr>
      </w:pPr>
      <w:r w:rsidRPr="00590246">
        <w:rPr>
          <w:rFonts w:ascii="Rockwell" w:hAnsi="Rockwell" w:cs="Arial"/>
          <w:b/>
          <w:bCs/>
          <w:color w:val="003366"/>
          <w:sz w:val="28"/>
          <w:szCs w:val="28"/>
          <w:lang w:val="fr-FR"/>
        </w:rPr>
        <w:t>Des taux extrêmement faibles</w:t>
      </w:r>
    </w:p>
    <w:p w:rsidR="007C6F66" w:rsidRPr="007C6F66" w:rsidRDefault="007C6F66" w:rsidP="007C6F66">
      <w:pPr>
        <w:autoSpaceDE w:val="0"/>
        <w:autoSpaceDN w:val="0"/>
        <w:adjustRightInd w:val="0"/>
        <w:spacing w:after="240" w:line="240" w:lineRule="auto"/>
        <w:ind w:left="992" w:right="6"/>
        <w:rPr>
          <w:rFonts w:cs="Arial"/>
          <w:bCs/>
          <w:color w:val="003768"/>
          <w:lang w:val="fr-FR"/>
        </w:rPr>
      </w:pPr>
      <w:r w:rsidRPr="007C6F66">
        <w:rPr>
          <w:rFonts w:cs="Arial"/>
          <w:bCs/>
          <w:color w:val="003768"/>
          <w:lang w:val="fr-FR"/>
        </w:rPr>
        <w:t>La croissance rend supportable l'endettement élevé de la zone euro. Elle doit en outre engendrer une accélération de l'inflation. La BCE met par conséquent tout en œuvre pour permettre à la croissance et à l'inflation de redémarrer. Le plancher ayant été atteint avec l'abaissement du taux à 0,05%, il ne reste qu'une dépréciation de l'euro pour stimuler la croissance et l'inflation. La création d'euros réduira l'attrait de la monnaie unique.</w:t>
      </w:r>
      <w:r w:rsidR="003D1F46">
        <w:rPr>
          <w:rFonts w:cs="Arial"/>
          <w:bCs/>
          <w:color w:val="003768"/>
          <w:lang w:val="fr-FR"/>
        </w:rPr>
        <w:t xml:space="preserve"> </w:t>
      </w:r>
    </w:p>
    <w:p w:rsidR="007C6F66" w:rsidRPr="007C6F66" w:rsidRDefault="007C6F66" w:rsidP="007C6F66">
      <w:pPr>
        <w:autoSpaceDE w:val="0"/>
        <w:autoSpaceDN w:val="0"/>
        <w:adjustRightInd w:val="0"/>
        <w:spacing w:after="240" w:line="240" w:lineRule="auto"/>
        <w:ind w:left="992" w:right="6"/>
        <w:rPr>
          <w:rFonts w:cs="Arial"/>
          <w:bCs/>
          <w:color w:val="003768"/>
          <w:lang w:val="fr-FR"/>
        </w:rPr>
      </w:pPr>
      <w:r w:rsidRPr="007C6F66">
        <w:rPr>
          <w:rFonts w:cs="Arial"/>
          <w:bCs/>
          <w:color w:val="003768"/>
          <w:lang w:val="fr-FR"/>
        </w:rPr>
        <w:t xml:space="preserve">D'où le projet de la BCE d'atteindre d'ici fin 2016 une augmentation nette de la taille de son bilan de 1.000 milliards d’EUR. Le rachat d'obligations d'État - rejeté par les Allemands qui sont de plus en plus isolés - fait partie intégrante de ce plan. Nous attendons l'annonce officielle au premier trimestre 2015. </w:t>
      </w:r>
    </w:p>
    <w:p w:rsidR="007C6F66" w:rsidRPr="00590246" w:rsidRDefault="007C6F66" w:rsidP="007C6F66">
      <w:pPr>
        <w:autoSpaceDE w:val="0"/>
        <w:autoSpaceDN w:val="0"/>
        <w:adjustRightInd w:val="0"/>
        <w:spacing w:after="240" w:line="240" w:lineRule="auto"/>
        <w:ind w:left="992" w:right="6"/>
        <w:rPr>
          <w:rFonts w:ascii="Rockwell" w:hAnsi="Rockwell" w:cs="Arial"/>
          <w:b/>
          <w:bCs/>
          <w:color w:val="003366"/>
          <w:sz w:val="28"/>
          <w:szCs w:val="28"/>
          <w:lang w:val="fr-FR"/>
        </w:rPr>
      </w:pPr>
      <w:r w:rsidRPr="00590246">
        <w:rPr>
          <w:rFonts w:ascii="Rockwell" w:hAnsi="Rockwell" w:cs="Arial"/>
          <w:b/>
          <w:bCs/>
          <w:color w:val="003366"/>
          <w:sz w:val="28"/>
          <w:szCs w:val="28"/>
          <w:lang w:val="fr-FR"/>
        </w:rPr>
        <w:t>Investissements : priorité aux actions</w:t>
      </w:r>
    </w:p>
    <w:p w:rsidR="007C6F66" w:rsidRPr="007C6F66" w:rsidRDefault="007C6F66" w:rsidP="007C6F66">
      <w:pPr>
        <w:autoSpaceDE w:val="0"/>
        <w:autoSpaceDN w:val="0"/>
        <w:adjustRightInd w:val="0"/>
        <w:spacing w:after="240" w:line="240" w:lineRule="auto"/>
        <w:ind w:left="992" w:right="6"/>
        <w:rPr>
          <w:rFonts w:cs="Arial"/>
          <w:bCs/>
          <w:color w:val="003768"/>
          <w:lang w:val="fr-FR"/>
        </w:rPr>
      </w:pPr>
      <w:r w:rsidRPr="007C6F66">
        <w:rPr>
          <w:rFonts w:cs="Arial"/>
          <w:bCs/>
          <w:color w:val="003768"/>
          <w:lang w:val="fr-FR"/>
        </w:rPr>
        <w:t xml:space="preserve">Dans ce contexte, il n'est pas simple pour l’investisseur de choisir une stratégie, bien que...  Est-il justifié d'investir en obligations alors qu'une hausse du taux à dix ans belge de son niveau actuel de 1% à 1,15% annulerait le rendement annuel total (une hausse du taux impliquant une baisse du cours) ? Mario </w:t>
      </w:r>
      <w:proofErr w:type="spellStart"/>
      <w:r w:rsidRPr="007C6F66">
        <w:rPr>
          <w:rFonts w:cs="Arial"/>
          <w:bCs/>
          <w:color w:val="003768"/>
          <w:lang w:val="fr-FR"/>
        </w:rPr>
        <w:t>Draghi</w:t>
      </w:r>
      <w:proofErr w:type="spellEnd"/>
      <w:r w:rsidRPr="007C6F66">
        <w:rPr>
          <w:rFonts w:cs="Arial"/>
          <w:bCs/>
          <w:color w:val="003768"/>
          <w:lang w:val="fr-FR"/>
        </w:rPr>
        <w:t xml:space="preserve"> a en outre déclaré qu'il mettrait tout en œuvre pour relancer l'inflation aussi vite que possible pour atteindre l'objectif de 2%. Est-il dans ce cas réaliste de penser que l'inflation moyenne en Belgique va rester inférieure à ce taux de 1% durant les dix prochaines années ? </w:t>
      </w:r>
    </w:p>
    <w:p w:rsidR="007C6F66" w:rsidRPr="007C6F66" w:rsidRDefault="007C6F66" w:rsidP="007C6F66">
      <w:pPr>
        <w:autoSpaceDE w:val="0"/>
        <w:autoSpaceDN w:val="0"/>
        <w:adjustRightInd w:val="0"/>
        <w:spacing w:after="240" w:line="240" w:lineRule="auto"/>
        <w:ind w:left="992" w:right="6"/>
        <w:rPr>
          <w:rFonts w:cs="Arial"/>
          <w:bCs/>
          <w:color w:val="003768"/>
          <w:lang w:val="fr-FR"/>
        </w:rPr>
      </w:pPr>
      <w:r w:rsidRPr="007C6F66">
        <w:rPr>
          <w:rFonts w:cs="Arial"/>
          <w:bCs/>
          <w:color w:val="003768"/>
          <w:lang w:val="fr-FR"/>
        </w:rPr>
        <w:t>TINA (</w:t>
      </w:r>
      <w:proofErr w:type="spellStart"/>
      <w:r w:rsidRPr="007C6F66">
        <w:rPr>
          <w:rFonts w:cs="Arial"/>
          <w:bCs/>
          <w:color w:val="003768"/>
          <w:lang w:val="fr-FR"/>
        </w:rPr>
        <w:t>there</w:t>
      </w:r>
      <w:proofErr w:type="spellEnd"/>
      <w:r w:rsidRPr="007C6F66">
        <w:rPr>
          <w:rFonts w:cs="Arial"/>
          <w:bCs/>
          <w:color w:val="003768"/>
          <w:lang w:val="fr-FR"/>
        </w:rPr>
        <w:t xml:space="preserve"> </w:t>
      </w:r>
      <w:proofErr w:type="spellStart"/>
      <w:r w:rsidRPr="007C6F66">
        <w:rPr>
          <w:rFonts w:cs="Arial"/>
          <w:bCs/>
          <w:color w:val="003768"/>
          <w:lang w:val="fr-FR"/>
        </w:rPr>
        <w:t>is</w:t>
      </w:r>
      <w:proofErr w:type="spellEnd"/>
      <w:r w:rsidRPr="007C6F66">
        <w:rPr>
          <w:rFonts w:cs="Arial"/>
          <w:bCs/>
          <w:color w:val="003768"/>
          <w:lang w:val="fr-FR"/>
        </w:rPr>
        <w:t xml:space="preserve"> no alternative) est donc de retour chez nous ! Et le dividende (2,5% pour l'indice mondial d'actions et 3,25% pour les actions européennes) soutient largement la comparaison avec les obligations. L'économie européenne est en difficulté mais, jusqu'à nouvel ordre, les États-Unis, suivis par les marchés émergents, restent le moteur de la croissance mondiale. La croissance bénéficiaire escomptée pour 2015 de 5-10% pour les Etats-Unis et de 10-15%</w:t>
      </w:r>
      <w:r w:rsidR="003D1F46">
        <w:rPr>
          <w:rFonts w:cs="Arial"/>
          <w:bCs/>
          <w:color w:val="003768"/>
          <w:lang w:val="fr-FR"/>
        </w:rPr>
        <w:t xml:space="preserve"> </w:t>
      </w:r>
      <w:r w:rsidRPr="007C6F66">
        <w:rPr>
          <w:rFonts w:cs="Arial"/>
          <w:bCs/>
          <w:color w:val="003768"/>
          <w:lang w:val="fr-FR"/>
        </w:rPr>
        <w:t xml:space="preserve">pour l’Europe reste élevée. Dans les deux régions, elle profite de la baisse des coûts de l'énergie et du rachat d'actions propres par les entreprises affichant des liquidités excédentaires mais sans projets d'investissement intéressants. La zone euro profite en outre de la dépréciation de la monnaie unique. </w:t>
      </w:r>
    </w:p>
    <w:p w:rsidR="007C6F66" w:rsidRPr="00590246" w:rsidRDefault="007C6F66" w:rsidP="007C6F66">
      <w:pPr>
        <w:spacing w:after="240" w:line="240" w:lineRule="auto"/>
        <w:rPr>
          <w:rFonts w:ascii="Rockwell" w:hAnsi="Rockwell" w:cs="Arial"/>
          <w:b/>
          <w:bCs/>
          <w:color w:val="003366"/>
          <w:sz w:val="28"/>
          <w:szCs w:val="28"/>
          <w:lang w:val="fr-FR"/>
        </w:rPr>
      </w:pPr>
      <w:r w:rsidRPr="00590246">
        <w:rPr>
          <w:rFonts w:ascii="Rockwell" w:hAnsi="Rockwell" w:cs="Arial"/>
          <w:b/>
          <w:bCs/>
          <w:color w:val="003366"/>
          <w:sz w:val="28"/>
          <w:szCs w:val="28"/>
          <w:lang w:val="fr-FR"/>
        </w:rPr>
        <w:br w:type="page"/>
      </w:r>
    </w:p>
    <w:p w:rsidR="007C6F66" w:rsidRPr="00590246" w:rsidRDefault="007C6F66" w:rsidP="007C6F66">
      <w:pPr>
        <w:autoSpaceDE w:val="0"/>
        <w:autoSpaceDN w:val="0"/>
        <w:adjustRightInd w:val="0"/>
        <w:spacing w:after="240" w:line="240" w:lineRule="auto"/>
        <w:ind w:left="992" w:right="6"/>
        <w:rPr>
          <w:rFonts w:ascii="Rockwell" w:hAnsi="Rockwell" w:cs="Arial"/>
          <w:b/>
          <w:bCs/>
          <w:color w:val="003366"/>
          <w:sz w:val="28"/>
          <w:szCs w:val="28"/>
          <w:lang w:val="fr-FR"/>
        </w:rPr>
      </w:pPr>
    </w:p>
    <w:p w:rsidR="007C6F66" w:rsidRPr="00590246" w:rsidRDefault="007C6F66" w:rsidP="007C6F66">
      <w:pPr>
        <w:autoSpaceDE w:val="0"/>
        <w:autoSpaceDN w:val="0"/>
        <w:adjustRightInd w:val="0"/>
        <w:spacing w:after="240" w:line="240" w:lineRule="auto"/>
        <w:ind w:left="992" w:right="6"/>
        <w:rPr>
          <w:rFonts w:ascii="Rockwell" w:hAnsi="Rockwell" w:cs="Arial"/>
          <w:b/>
          <w:bCs/>
          <w:color w:val="003366"/>
          <w:sz w:val="28"/>
          <w:szCs w:val="28"/>
          <w:lang w:val="fr-FR"/>
        </w:rPr>
      </w:pPr>
      <w:r w:rsidRPr="00590246">
        <w:rPr>
          <w:rFonts w:ascii="Rockwell" w:hAnsi="Rockwell" w:cs="Arial"/>
          <w:b/>
          <w:bCs/>
          <w:color w:val="003366"/>
          <w:sz w:val="28"/>
          <w:szCs w:val="28"/>
          <w:lang w:val="fr-FR"/>
        </w:rPr>
        <w:t>Une croissance stable</w:t>
      </w:r>
    </w:p>
    <w:p w:rsidR="007C6F66" w:rsidRPr="007C6F66" w:rsidRDefault="007C6F66" w:rsidP="007C6F66">
      <w:pPr>
        <w:autoSpaceDE w:val="0"/>
        <w:autoSpaceDN w:val="0"/>
        <w:adjustRightInd w:val="0"/>
        <w:spacing w:after="240" w:line="240" w:lineRule="auto"/>
        <w:ind w:left="992" w:right="6"/>
        <w:rPr>
          <w:rFonts w:cs="Arial"/>
          <w:bCs/>
          <w:color w:val="003768"/>
          <w:lang w:val="fr-FR"/>
        </w:rPr>
      </w:pPr>
      <w:r w:rsidRPr="007C6F66">
        <w:rPr>
          <w:rFonts w:cs="Arial"/>
          <w:bCs/>
          <w:color w:val="003768"/>
          <w:lang w:val="fr-FR"/>
        </w:rPr>
        <w:t>En ce qui concerne les portefeuilles d'actions, stabilité, croissance et protection sont les maîtres mots de la stratégie préconisée.</w:t>
      </w:r>
    </w:p>
    <w:p w:rsidR="007C6F66" w:rsidRPr="007C6F66" w:rsidRDefault="007C6F66" w:rsidP="007C6F66">
      <w:pPr>
        <w:autoSpaceDE w:val="0"/>
        <w:autoSpaceDN w:val="0"/>
        <w:adjustRightInd w:val="0"/>
        <w:spacing w:after="240" w:line="240" w:lineRule="auto"/>
        <w:ind w:left="992" w:right="6"/>
        <w:rPr>
          <w:rFonts w:cs="Arial"/>
          <w:bCs/>
          <w:color w:val="003768"/>
          <w:lang w:val="fr-FR"/>
        </w:rPr>
      </w:pPr>
      <w:r w:rsidRPr="007C6F66">
        <w:rPr>
          <w:rFonts w:cs="Arial"/>
          <w:bCs/>
          <w:color w:val="003768"/>
          <w:lang w:val="fr-FR"/>
        </w:rPr>
        <w:t xml:space="preserve">En matière de stabilité, nous nous concentrons sur les entreprises distribuant une part élevée de leur bénéfice.  Comment se protéger au mieux contre le risque d'inflation à dix ans (car la création d'argent ne se poursuivra pas impunément) ? Avec une rémunération fixe de 1% ? Ou avec un dividende de 3,25% qui s'accroît annuellement de 5 à 10% ? </w:t>
      </w:r>
    </w:p>
    <w:p w:rsidR="007C6F66" w:rsidRPr="007C6F66" w:rsidRDefault="007C6F66" w:rsidP="007C6F66">
      <w:pPr>
        <w:autoSpaceDE w:val="0"/>
        <w:autoSpaceDN w:val="0"/>
        <w:adjustRightInd w:val="0"/>
        <w:spacing w:after="240" w:line="240" w:lineRule="auto"/>
        <w:ind w:left="992" w:right="6"/>
        <w:rPr>
          <w:rFonts w:cs="Arial"/>
          <w:bCs/>
          <w:color w:val="003768"/>
          <w:lang w:val="fr-FR"/>
        </w:rPr>
      </w:pPr>
      <w:r w:rsidRPr="007C6F66">
        <w:rPr>
          <w:rFonts w:cs="Arial"/>
          <w:bCs/>
          <w:color w:val="003768"/>
          <w:lang w:val="fr-FR"/>
        </w:rPr>
        <w:t xml:space="preserve">La croissance est un élément à ne négliger en aucun cas actuellement. La composante cyclique, le redressement de l'économie européenne, devrait devenir le moteur du marché d'actions de la période à venir. Les actions cycliques y ont donc une place fondamentale. Nous privilégions l'Allemagne, la locomotive de la zone euro. La Bourse allemande est en outre la plus cyclique de l'UEM. Enfin, nous nous protégeons en optant pour la protection du capital ou les formules avec surveillance du niveau plancher. </w:t>
      </w:r>
    </w:p>
    <w:p w:rsidR="007C6F66" w:rsidRPr="00590246" w:rsidRDefault="007C6F66" w:rsidP="007C6F66">
      <w:pPr>
        <w:autoSpaceDE w:val="0"/>
        <w:autoSpaceDN w:val="0"/>
        <w:adjustRightInd w:val="0"/>
        <w:spacing w:after="240" w:line="240" w:lineRule="auto"/>
        <w:ind w:left="992" w:right="6"/>
        <w:rPr>
          <w:rFonts w:ascii="Rockwell" w:hAnsi="Rockwell" w:cs="Arial"/>
          <w:b/>
          <w:bCs/>
          <w:color w:val="003366"/>
          <w:sz w:val="28"/>
          <w:szCs w:val="28"/>
          <w:lang w:val="fr-FR"/>
        </w:rPr>
      </w:pPr>
      <w:r w:rsidRPr="00590246">
        <w:rPr>
          <w:rFonts w:ascii="Rockwell" w:hAnsi="Rockwell" w:cs="Arial"/>
          <w:b/>
          <w:bCs/>
          <w:color w:val="003366"/>
          <w:sz w:val="28"/>
          <w:szCs w:val="28"/>
          <w:lang w:val="fr-FR"/>
        </w:rPr>
        <w:t xml:space="preserve">Et le dollar ? </w:t>
      </w:r>
    </w:p>
    <w:p w:rsidR="007C6F66" w:rsidRPr="007C6F66" w:rsidRDefault="00FE78BB" w:rsidP="007C6F66">
      <w:pPr>
        <w:autoSpaceDE w:val="0"/>
        <w:autoSpaceDN w:val="0"/>
        <w:adjustRightInd w:val="0"/>
        <w:spacing w:after="240" w:line="240" w:lineRule="auto"/>
        <w:ind w:left="992" w:right="6"/>
        <w:rPr>
          <w:rFonts w:cs="Arial"/>
          <w:bCs/>
          <w:color w:val="003768"/>
          <w:lang w:val="fr-FR"/>
        </w:rPr>
      </w:pPr>
      <w:r>
        <w:rPr>
          <w:rFonts w:cs="Arial"/>
          <w:bCs/>
          <w:color w:val="003768"/>
          <w:lang w:val="fr-FR"/>
        </w:rPr>
        <w:t>Le billet vert vaut sans doute l’investissement.</w:t>
      </w:r>
      <w:r w:rsidR="007C6F66" w:rsidRPr="007C6F66">
        <w:rPr>
          <w:rFonts w:cs="Arial"/>
          <w:bCs/>
          <w:color w:val="003768"/>
          <w:lang w:val="fr-FR"/>
        </w:rPr>
        <w:t xml:space="preserve"> L'écart de croissance entre les États-Unis et la zone euro ne cesse de se creuser. Il en va de même du différentiel de taux d'intérêt qui ne va cesser de s'élargir au profit des États-Unis. Et pour la BCE, une dépréciation de l'euro est la seule possibilité d'encore assouplir la politique monétaire. Une appréciation de 1,24 USD à 1,15 USD par EUR d'ici fin 2015 figure certainement parmi les possibilités. Un rendement potentiel de 10%, alors que les livrets d'épargne ne rapportent presque plus rien, est une diversification qui vaut la peine d’être envisagée…</w:t>
      </w:r>
    </w:p>
    <w:p w:rsidR="007C6F66" w:rsidRDefault="007C6F66" w:rsidP="007C6F66">
      <w:pPr>
        <w:autoSpaceDE w:val="0"/>
        <w:autoSpaceDN w:val="0"/>
        <w:adjustRightInd w:val="0"/>
        <w:spacing w:after="120" w:line="240" w:lineRule="auto"/>
        <w:ind w:left="992" w:right="6"/>
        <w:rPr>
          <w:rFonts w:cs="Arial"/>
          <w:bCs/>
          <w:color w:val="003768"/>
          <w:lang w:val="fr-FR"/>
        </w:rPr>
      </w:pPr>
    </w:p>
    <w:p w:rsidR="007C6F66" w:rsidRDefault="007C6F66" w:rsidP="007C6F66">
      <w:pPr>
        <w:autoSpaceDE w:val="0"/>
        <w:autoSpaceDN w:val="0"/>
        <w:adjustRightInd w:val="0"/>
        <w:spacing w:after="120" w:line="240" w:lineRule="auto"/>
        <w:ind w:left="992" w:right="6"/>
        <w:rPr>
          <w:rFonts w:cs="Arial"/>
          <w:bCs/>
          <w:color w:val="003768"/>
          <w:lang w:val="fr-FR"/>
        </w:rPr>
      </w:pPr>
    </w:p>
    <w:p w:rsidR="007C6F66" w:rsidRPr="007C6F66" w:rsidRDefault="007C6F66" w:rsidP="007C6F66">
      <w:pPr>
        <w:autoSpaceDE w:val="0"/>
        <w:autoSpaceDN w:val="0"/>
        <w:adjustRightInd w:val="0"/>
        <w:spacing w:after="120" w:line="240" w:lineRule="auto"/>
        <w:ind w:left="992" w:right="6"/>
        <w:rPr>
          <w:rFonts w:cs="Arial"/>
          <w:bCs/>
          <w:color w:val="003768"/>
          <w:lang w:val="fr-FR"/>
        </w:rPr>
      </w:pPr>
    </w:p>
    <w:p w:rsidR="00D14EBE" w:rsidRDefault="00D14EBE" w:rsidP="0077354C">
      <w:pPr>
        <w:autoSpaceDE w:val="0"/>
        <w:autoSpaceDN w:val="0"/>
        <w:adjustRightInd w:val="0"/>
        <w:spacing w:after="0" w:line="240" w:lineRule="auto"/>
        <w:ind w:left="993" w:right="4"/>
        <w:rPr>
          <w:rFonts w:ascii="Rockwell" w:hAnsi="Rockwell" w:cs="Arial"/>
          <w:b/>
          <w:bCs/>
          <w:color w:val="003768"/>
          <w:sz w:val="28"/>
          <w:szCs w:val="28"/>
          <w:lang w:val="fr-FR" w:eastAsia="nl-BE"/>
        </w:rPr>
      </w:pPr>
    </w:p>
    <w:p w:rsidR="00D57A50" w:rsidRDefault="00D57A50" w:rsidP="0077354C">
      <w:pPr>
        <w:autoSpaceDE w:val="0"/>
        <w:autoSpaceDN w:val="0"/>
        <w:adjustRightInd w:val="0"/>
        <w:spacing w:after="0" w:line="240" w:lineRule="auto"/>
        <w:ind w:left="993" w:right="4"/>
        <w:rPr>
          <w:rFonts w:ascii="Rockwell" w:hAnsi="Rockwell" w:cs="Arial"/>
          <w:b/>
          <w:bCs/>
          <w:color w:val="003768"/>
          <w:sz w:val="28"/>
          <w:szCs w:val="28"/>
          <w:lang w:val="fr-FR" w:eastAsia="nl-BE"/>
        </w:rPr>
      </w:pPr>
    </w:p>
    <w:p w:rsidR="00D14EBE" w:rsidRDefault="00D14EBE" w:rsidP="0077354C">
      <w:pPr>
        <w:autoSpaceDE w:val="0"/>
        <w:autoSpaceDN w:val="0"/>
        <w:adjustRightInd w:val="0"/>
        <w:spacing w:after="0" w:line="240" w:lineRule="auto"/>
        <w:ind w:left="993" w:right="4"/>
        <w:rPr>
          <w:rFonts w:ascii="Rockwell" w:hAnsi="Rockwell" w:cs="Arial"/>
          <w:b/>
          <w:bCs/>
          <w:color w:val="003768"/>
          <w:sz w:val="28"/>
          <w:szCs w:val="28"/>
          <w:lang w:val="fr-FR" w:eastAsia="nl-BE"/>
        </w:rPr>
      </w:pPr>
    </w:p>
    <w:p w:rsidR="003C1BF8" w:rsidRDefault="0077354C" w:rsidP="003C1BF8">
      <w:pPr>
        <w:autoSpaceDE w:val="0"/>
        <w:autoSpaceDN w:val="0"/>
        <w:adjustRightInd w:val="0"/>
        <w:spacing w:after="120" w:line="240" w:lineRule="auto"/>
        <w:ind w:left="993" w:right="4"/>
        <w:rPr>
          <w:rFonts w:ascii="Rockwell" w:hAnsi="Rockwell" w:cs="Arial"/>
          <w:b/>
          <w:bCs/>
          <w:color w:val="003768"/>
          <w:sz w:val="24"/>
          <w:szCs w:val="24"/>
          <w:lang w:val="fr-FR" w:eastAsia="nl-BE"/>
        </w:rPr>
      </w:pPr>
      <w:r w:rsidRPr="00D57A50">
        <w:rPr>
          <w:rFonts w:ascii="Rockwell" w:hAnsi="Rockwell" w:cs="Arial"/>
          <w:b/>
          <w:bCs/>
          <w:color w:val="003768"/>
          <w:sz w:val="24"/>
          <w:szCs w:val="24"/>
          <w:lang w:val="fr-FR" w:eastAsia="nl-BE"/>
        </w:rPr>
        <w:t>Pour tout complément d’</w:t>
      </w:r>
      <w:r w:rsidR="003C1BF8">
        <w:rPr>
          <w:rFonts w:ascii="Rockwell" w:hAnsi="Rockwell" w:cs="Arial"/>
          <w:b/>
          <w:bCs/>
          <w:color w:val="003768"/>
          <w:sz w:val="24"/>
          <w:szCs w:val="24"/>
          <w:lang w:val="fr-FR" w:eastAsia="nl-BE"/>
        </w:rPr>
        <w:t xml:space="preserve">information, veuillez contacter </w:t>
      </w:r>
      <w:r w:rsidRPr="00D57A50">
        <w:rPr>
          <w:rFonts w:ascii="Rockwell" w:hAnsi="Rockwell" w:cs="Arial"/>
          <w:b/>
          <w:bCs/>
          <w:color w:val="003768"/>
          <w:sz w:val="24"/>
          <w:szCs w:val="24"/>
          <w:lang w:val="fr-FR" w:eastAsia="nl-BE"/>
        </w:rPr>
        <w:t>:</w:t>
      </w:r>
    </w:p>
    <w:p w:rsidR="007C6F66" w:rsidRPr="00643427" w:rsidRDefault="007C6F66" w:rsidP="007C6F66">
      <w:pPr>
        <w:pStyle w:val="Geenafstand"/>
        <w:ind w:left="993"/>
        <w:rPr>
          <w:rFonts w:cs="Arial"/>
          <w:color w:val="003768"/>
          <w:sz w:val="20"/>
          <w:szCs w:val="20"/>
          <w:lang w:val="fr-FR" w:eastAsia="nl-BE"/>
        </w:rPr>
      </w:pPr>
      <w:r w:rsidRPr="00643427">
        <w:rPr>
          <w:rFonts w:cs="Arial"/>
          <w:color w:val="003768"/>
          <w:sz w:val="20"/>
          <w:szCs w:val="20"/>
          <w:lang w:val="fr-FR" w:eastAsia="nl-BE"/>
        </w:rPr>
        <w:t xml:space="preserve">Koen De Leus, </w:t>
      </w:r>
      <w:proofErr w:type="spellStart"/>
      <w:r w:rsidRPr="00643427">
        <w:rPr>
          <w:rFonts w:cs="Arial"/>
          <w:color w:val="003768"/>
          <w:sz w:val="20"/>
          <w:szCs w:val="20"/>
          <w:lang w:val="fr-FR" w:eastAsia="nl-BE"/>
        </w:rPr>
        <w:t>Financieel</w:t>
      </w:r>
      <w:proofErr w:type="spellEnd"/>
      <w:r w:rsidRPr="00643427">
        <w:rPr>
          <w:rFonts w:cs="Arial"/>
          <w:color w:val="003768"/>
          <w:sz w:val="20"/>
          <w:szCs w:val="20"/>
          <w:lang w:val="fr-FR" w:eastAsia="nl-BE"/>
        </w:rPr>
        <w:t xml:space="preserve"> </w:t>
      </w:r>
      <w:proofErr w:type="spellStart"/>
      <w:r w:rsidRPr="00643427">
        <w:rPr>
          <w:rFonts w:cs="Arial"/>
          <w:color w:val="003768"/>
          <w:sz w:val="20"/>
          <w:szCs w:val="20"/>
          <w:lang w:val="fr-FR" w:eastAsia="nl-BE"/>
        </w:rPr>
        <w:t>analist</w:t>
      </w:r>
      <w:proofErr w:type="spellEnd"/>
      <w:r w:rsidRPr="00643427">
        <w:rPr>
          <w:rFonts w:cs="Arial"/>
          <w:color w:val="003768"/>
          <w:sz w:val="20"/>
          <w:szCs w:val="20"/>
          <w:lang w:val="fr-FR" w:eastAsia="nl-BE"/>
        </w:rPr>
        <w:t xml:space="preserve"> – </w:t>
      </w:r>
      <w:proofErr w:type="spellStart"/>
      <w:r w:rsidRPr="00643427">
        <w:rPr>
          <w:rFonts w:cs="Arial"/>
          <w:color w:val="003768"/>
          <w:sz w:val="20"/>
          <w:szCs w:val="20"/>
          <w:lang w:val="fr-FR" w:eastAsia="nl-BE"/>
        </w:rPr>
        <w:t>economiste</w:t>
      </w:r>
      <w:proofErr w:type="spellEnd"/>
      <w:r w:rsidRPr="00643427">
        <w:rPr>
          <w:rFonts w:cs="Arial"/>
          <w:color w:val="003768"/>
          <w:sz w:val="20"/>
          <w:szCs w:val="20"/>
          <w:lang w:val="fr-FR" w:eastAsia="nl-BE"/>
        </w:rPr>
        <w:t xml:space="preserve"> – stratégiste, KBC Groupe,</w:t>
      </w:r>
    </w:p>
    <w:p w:rsidR="007C6F66" w:rsidRPr="00643427" w:rsidRDefault="007C6F66" w:rsidP="007C6F66">
      <w:pPr>
        <w:pStyle w:val="Geenafstand"/>
        <w:ind w:left="993"/>
        <w:rPr>
          <w:rFonts w:cs="Arial"/>
          <w:color w:val="003768"/>
          <w:sz w:val="20"/>
          <w:szCs w:val="20"/>
          <w:lang w:val="fr-FR" w:eastAsia="nl-BE"/>
        </w:rPr>
      </w:pPr>
      <w:r w:rsidRPr="00643427">
        <w:rPr>
          <w:rFonts w:cs="Arial"/>
          <w:color w:val="003768"/>
          <w:sz w:val="20"/>
          <w:szCs w:val="20"/>
          <w:lang w:val="fr-FR" w:eastAsia="nl-BE"/>
        </w:rPr>
        <w:t xml:space="preserve">Tél +32 2 429 37 07 – E-mail </w:t>
      </w:r>
      <w:hyperlink r:id="rId10" w:history="1">
        <w:r w:rsidRPr="00643427">
          <w:rPr>
            <w:rStyle w:val="Hyperlink"/>
            <w:rFonts w:cs="Arial"/>
            <w:sz w:val="20"/>
            <w:szCs w:val="20"/>
            <w:lang w:val="fr-FR" w:eastAsia="nl-BE"/>
          </w:rPr>
          <w:t>koen.deleus@kbc.be</w:t>
        </w:r>
      </w:hyperlink>
    </w:p>
    <w:p w:rsidR="007C6F66" w:rsidRPr="00643427" w:rsidRDefault="007C6F66" w:rsidP="007C6F66">
      <w:pPr>
        <w:pStyle w:val="Geenafstand"/>
        <w:ind w:left="993"/>
        <w:rPr>
          <w:rFonts w:cs="Arial"/>
          <w:color w:val="003768"/>
          <w:sz w:val="20"/>
          <w:szCs w:val="20"/>
          <w:lang w:val="fr-FR" w:eastAsia="nl-BE"/>
        </w:rPr>
      </w:pPr>
    </w:p>
    <w:p w:rsidR="007C6F66" w:rsidRPr="00E924C6" w:rsidRDefault="007C6F66" w:rsidP="007C6F66">
      <w:pPr>
        <w:pStyle w:val="Geenafstand"/>
        <w:ind w:left="993"/>
        <w:rPr>
          <w:rFonts w:cs="Arial"/>
          <w:color w:val="003768"/>
          <w:sz w:val="20"/>
          <w:szCs w:val="20"/>
          <w:lang w:eastAsia="nl-BE"/>
        </w:rPr>
      </w:pPr>
      <w:r w:rsidRPr="00E924C6">
        <w:rPr>
          <w:rFonts w:cs="Arial"/>
          <w:color w:val="003768"/>
          <w:sz w:val="20"/>
          <w:szCs w:val="20"/>
          <w:lang w:eastAsia="nl-BE"/>
        </w:rPr>
        <w:t>Bernard Keppenne, Chief Economist</w:t>
      </w:r>
      <w:r>
        <w:rPr>
          <w:rFonts w:cs="Arial"/>
          <w:color w:val="003768"/>
          <w:sz w:val="20"/>
          <w:szCs w:val="20"/>
          <w:lang w:eastAsia="nl-BE"/>
        </w:rPr>
        <w:t>,</w:t>
      </w:r>
      <w:r w:rsidRPr="00E924C6">
        <w:rPr>
          <w:rFonts w:cs="Arial"/>
          <w:color w:val="003768"/>
          <w:sz w:val="20"/>
          <w:szCs w:val="20"/>
          <w:lang w:eastAsia="nl-BE"/>
        </w:rPr>
        <w:t xml:space="preserve"> CBC</w:t>
      </w:r>
      <w:r>
        <w:rPr>
          <w:rFonts w:cs="Arial"/>
          <w:color w:val="003768"/>
          <w:sz w:val="20"/>
          <w:szCs w:val="20"/>
          <w:lang w:eastAsia="nl-BE"/>
        </w:rPr>
        <w:t xml:space="preserve"> </w:t>
      </w:r>
      <w:proofErr w:type="spellStart"/>
      <w:r>
        <w:rPr>
          <w:rFonts w:cs="Arial"/>
          <w:color w:val="003768"/>
          <w:sz w:val="20"/>
          <w:szCs w:val="20"/>
          <w:lang w:eastAsia="nl-BE"/>
        </w:rPr>
        <w:t>Banque</w:t>
      </w:r>
      <w:proofErr w:type="spellEnd"/>
      <w:r w:rsidRPr="00E924C6">
        <w:rPr>
          <w:rFonts w:cs="Arial"/>
          <w:color w:val="003768"/>
          <w:sz w:val="20"/>
          <w:szCs w:val="20"/>
          <w:lang w:eastAsia="nl-BE"/>
        </w:rPr>
        <w:t>,</w:t>
      </w:r>
    </w:p>
    <w:p w:rsidR="007C6F66" w:rsidRPr="00643427" w:rsidRDefault="007C6F66" w:rsidP="007C6F66">
      <w:pPr>
        <w:pStyle w:val="Geenafstand"/>
        <w:ind w:left="993"/>
        <w:rPr>
          <w:rFonts w:cs="Arial"/>
          <w:color w:val="003768"/>
          <w:sz w:val="20"/>
          <w:szCs w:val="20"/>
          <w:lang w:val="fr-FR" w:eastAsia="nl-BE"/>
        </w:rPr>
      </w:pPr>
      <w:r w:rsidRPr="00643427">
        <w:rPr>
          <w:rFonts w:cs="Arial"/>
          <w:color w:val="003768"/>
          <w:sz w:val="20"/>
          <w:szCs w:val="20"/>
          <w:lang w:val="fr-FR" w:eastAsia="nl-BE"/>
        </w:rPr>
        <w:t xml:space="preserve">Tél +32 2 547 15 32 – E-mail </w:t>
      </w:r>
      <w:hyperlink r:id="rId11" w:history="1">
        <w:r w:rsidRPr="00643427">
          <w:rPr>
            <w:rStyle w:val="Hyperlink"/>
            <w:rFonts w:cs="Arial"/>
            <w:sz w:val="20"/>
            <w:szCs w:val="20"/>
            <w:lang w:val="fr-FR" w:eastAsia="nl-BE"/>
          </w:rPr>
          <w:t>bernard.keppenne@cbc.be</w:t>
        </w:r>
      </w:hyperlink>
    </w:p>
    <w:p w:rsidR="007C6F66" w:rsidRPr="00643427" w:rsidRDefault="007C6F66" w:rsidP="007C6F66">
      <w:pPr>
        <w:pStyle w:val="Geenafstand"/>
        <w:ind w:left="993"/>
        <w:rPr>
          <w:rFonts w:cs="Arial"/>
          <w:color w:val="003768"/>
          <w:sz w:val="20"/>
          <w:szCs w:val="20"/>
          <w:lang w:val="fr-FR" w:eastAsia="nl-BE"/>
        </w:rPr>
      </w:pPr>
    </w:p>
    <w:p w:rsidR="007C6F66" w:rsidRPr="00E924C6" w:rsidRDefault="007C6F66" w:rsidP="007C6F66">
      <w:pPr>
        <w:pStyle w:val="Geenafstand"/>
        <w:ind w:left="993"/>
        <w:rPr>
          <w:rFonts w:cs="Arial"/>
          <w:color w:val="003768"/>
          <w:sz w:val="20"/>
          <w:szCs w:val="20"/>
          <w:lang w:eastAsia="nl-BE"/>
        </w:rPr>
      </w:pPr>
      <w:r w:rsidRPr="00E924C6">
        <w:rPr>
          <w:rFonts w:cs="Arial"/>
          <w:color w:val="003768"/>
          <w:sz w:val="20"/>
          <w:szCs w:val="20"/>
          <w:lang w:eastAsia="nl-BE"/>
        </w:rPr>
        <w:t xml:space="preserve">Dirk Thiels, Head Investment Strategy, KBC Asset Management, </w:t>
      </w:r>
    </w:p>
    <w:p w:rsidR="007C6F66" w:rsidRPr="00643427" w:rsidRDefault="007C6F66" w:rsidP="007C6F66">
      <w:pPr>
        <w:pStyle w:val="Geenafstand"/>
        <w:ind w:left="993"/>
        <w:rPr>
          <w:rFonts w:cs="Arial"/>
          <w:color w:val="003768"/>
          <w:sz w:val="20"/>
          <w:szCs w:val="20"/>
          <w:lang w:val="fr-FR" w:eastAsia="nl-BE"/>
        </w:rPr>
      </w:pPr>
      <w:r w:rsidRPr="00643427">
        <w:rPr>
          <w:rFonts w:cs="Arial"/>
          <w:color w:val="003768"/>
          <w:sz w:val="20"/>
          <w:szCs w:val="20"/>
          <w:lang w:val="fr-FR" w:eastAsia="nl-BE"/>
        </w:rPr>
        <w:t xml:space="preserve">Tél +32 2 429 44 14 – E-Mail </w:t>
      </w:r>
      <w:hyperlink r:id="rId12" w:history="1">
        <w:r w:rsidRPr="00643427">
          <w:rPr>
            <w:rStyle w:val="Hyperlink"/>
            <w:rFonts w:cs="Arial"/>
            <w:sz w:val="20"/>
            <w:szCs w:val="20"/>
            <w:lang w:val="fr-FR" w:eastAsia="nl-BE"/>
          </w:rPr>
          <w:t>dirk.thiels@kbc.be</w:t>
        </w:r>
      </w:hyperlink>
    </w:p>
    <w:p w:rsidR="007C6F66" w:rsidRPr="00643427" w:rsidRDefault="007C6F66" w:rsidP="007C6F66">
      <w:pPr>
        <w:pStyle w:val="Geenafstand"/>
        <w:ind w:left="993"/>
        <w:rPr>
          <w:rFonts w:cs="Arial"/>
          <w:color w:val="003768"/>
          <w:sz w:val="20"/>
          <w:szCs w:val="20"/>
          <w:lang w:val="fr-FR" w:eastAsia="nl-BE"/>
        </w:rPr>
      </w:pPr>
    </w:p>
    <w:p w:rsidR="007C6F66" w:rsidRPr="00E924C6" w:rsidRDefault="007C6F66" w:rsidP="007C6F66">
      <w:pPr>
        <w:pStyle w:val="Geenafstand"/>
        <w:ind w:left="993"/>
        <w:rPr>
          <w:rFonts w:cs="Arial"/>
          <w:color w:val="003768"/>
          <w:sz w:val="20"/>
          <w:szCs w:val="20"/>
          <w:lang w:val="fr-FR" w:eastAsia="nl-BE"/>
        </w:rPr>
      </w:pPr>
      <w:r w:rsidRPr="00E924C6">
        <w:rPr>
          <w:rFonts w:cs="Arial"/>
          <w:color w:val="003768"/>
          <w:sz w:val="20"/>
          <w:szCs w:val="20"/>
          <w:lang w:val="fr-FR" w:eastAsia="nl-BE"/>
        </w:rPr>
        <w:t>David Willems, Stratégiste, CBC Banque,</w:t>
      </w:r>
    </w:p>
    <w:p w:rsidR="007C6F66" w:rsidRPr="00643427" w:rsidRDefault="007C6F66" w:rsidP="007C6F66">
      <w:pPr>
        <w:pStyle w:val="Geenafstand"/>
        <w:ind w:left="993"/>
        <w:rPr>
          <w:rFonts w:cs="Arial"/>
          <w:color w:val="003768"/>
          <w:sz w:val="20"/>
          <w:szCs w:val="20"/>
          <w:lang w:val="fr-FR" w:eastAsia="nl-BE"/>
        </w:rPr>
      </w:pPr>
      <w:r w:rsidRPr="00643427">
        <w:rPr>
          <w:rFonts w:cs="Arial"/>
          <w:color w:val="003768"/>
          <w:sz w:val="20"/>
          <w:szCs w:val="20"/>
          <w:lang w:val="fr-FR" w:eastAsia="nl-BE"/>
        </w:rPr>
        <w:t xml:space="preserve">Tél +32 2 547 17 14 – E-mail </w:t>
      </w:r>
      <w:hyperlink r:id="rId13" w:history="1">
        <w:r w:rsidRPr="00643427">
          <w:rPr>
            <w:rStyle w:val="Hyperlink"/>
            <w:rFonts w:cs="Arial"/>
            <w:sz w:val="20"/>
            <w:szCs w:val="20"/>
            <w:lang w:val="fr-FR" w:eastAsia="nl-BE"/>
          </w:rPr>
          <w:t>david.willems@cbc.be</w:t>
        </w:r>
      </w:hyperlink>
    </w:p>
    <w:p w:rsidR="00574F3C" w:rsidRPr="007C6F66" w:rsidRDefault="001D5C58" w:rsidP="007C6F66">
      <w:pPr>
        <w:autoSpaceDE w:val="0"/>
        <w:autoSpaceDN w:val="0"/>
        <w:adjustRightInd w:val="0"/>
        <w:spacing w:after="0" w:line="240" w:lineRule="auto"/>
        <w:ind w:left="993" w:right="4"/>
        <w:rPr>
          <w:lang w:val="fr-FR"/>
        </w:rPr>
      </w:pPr>
      <w:r>
        <w:rPr>
          <w:noProof/>
          <w:lang w:val="nl-BE" w:eastAsia="nl-BE"/>
        </w:rPr>
        <mc:AlternateContent>
          <mc:Choice Requires="wps">
            <w:drawing>
              <wp:anchor distT="0" distB="0" distL="114300" distR="114300" simplePos="0" relativeHeight="251657728" behindDoc="0" locked="0" layoutInCell="1" allowOverlap="1" wp14:anchorId="147F502E" wp14:editId="7333C136">
                <wp:simplePos x="0" y="0"/>
                <wp:positionH relativeFrom="column">
                  <wp:posOffset>652145</wp:posOffset>
                </wp:positionH>
                <wp:positionV relativeFrom="paragraph">
                  <wp:posOffset>111760</wp:posOffset>
                </wp:positionV>
                <wp:extent cx="6134735" cy="219710"/>
                <wp:effectExtent l="4445" t="0" r="4445" b="190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73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A9543A" w:rsidRPr="006917E1" w:rsidRDefault="00A9543A" w:rsidP="006917E1"/>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51.35pt;margin-top:8.8pt;width:483.05pt;height:17.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w8lsgIAALAFAAAOAAAAZHJzL2Uyb0RvYy54bWysVG1vmzAQ/j5p/8Hydwok5AVUUrUhTJO6&#10;F6ndD3DABGvGZrYT6Kr9951NSJr2y7SND9Zhn5977u7xXd/0DUcHqjSTIsXhVYARFYUsmdil+Ntj&#10;7i0x0oaIknApaIqfqMY3q/fvrrs2oRNZS15ShQBE6KRrU1wb0ya+r4uaNkRfyZYKOKykaoiBX7Xz&#10;S0U6QG+4PwmCud9JVbZKFlRr2M2GQ7xy+FVFC/OlqjQ1iKcYuBm3Krdu7eqvrkmyU6StWXGkQf6C&#10;RUOYgKAnqIwYgvaKvYFqWKGklpW5KmTjy6piBXU5QDZh8Cqbh5q01OUCxdHtqUz6/8EWnw9fFWJl&#10;iiOMBGmgRY+0N+hO9mhmq9O1OgGnhxbcTA/b0GWXqW7vZfFdIyHXNRE7equU7GpKSmAX2pv+i6sD&#10;jrYg2+6TLCEM2RvpgPpKNbZ0UAwE6NClp1NnLJUCNufhNFpMZxgVcDYJ40XoWueTZLzdKm0+UNkg&#10;a6RYQecdOjnca2PZkGR0scGEzBnnrvtcXGyA47ADseGqPbMsXDOf4yDeLDfLyIsm840XBVnm3ebr&#10;yJvn4WKWTbP1Ogt/2bhhlNSsLKmwYUZhhdGfNe4o8UESJ2lpyVlp4SwlrXbbNVfoQEDYuftczeHk&#10;7OZf0nBFgFxepRROouBuEnv5fLnwojyaefEiWHpBGN/F8yCKoyy/TOmeCfrvKaEuxVOo2iCmM+lX&#10;uQXue5sbSRpmYHRw1qR4eXIiiZXgRpSutYYwPtgvSmHpn0sB7R4b7QRrNTqo1fTb3r0Mp2Yr5q0s&#10;n0DBSoLAQKYw9sCopfqJUQcjJMX6x54oihH/KOAV2HkzGmo0tqNBRAFXU2wwGsy1GebSvlVsVwPy&#10;8M6EvIWXUjEn4jOL4/uCseByOY4wO3de/juv86Bd/QYAAP//AwBQSwMEFAAGAAgAAAAhAEC3/Yzc&#10;AAAACgEAAA8AAABkcnMvZG93bnJldi54bWxMj01LxDAQhu+C/yGM4M1NrGxbatNFBC9eiqvodbZJ&#10;PzCZlCa7W/+9sye9zcs8vB/1bvVOnOwSp0Aa7jcKhKUumIkGDR/vL3cliJiQDLpAVsOPjbBrrq9q&#10;rEw405s97dMg2IRihRrGlOZKytiN1mPchNkS//qweEwsl0GaBc9s7p3MlMqlx4k4YcTZPo+2+94f&#10;vQYqt5166F+x/QqfUzG3feFMq/Xtzfr0CCLZNf3BcKnP1aHhTodwJBOFY62yglE+ihzEBVB5yWMO&#10;GrZZBrKp5f8JzS8AAAD//wMAUEsBAi0AFAAGAAgAAAAhALaDOJL+AAAA4QEAABMAAAAAAAAAAAAA&#10;AAAAAAAAAFtDb250ZW50X1R5cGVzXS54bWxQSwECLQAUAAYACAAAACEAOP0h/9YAAACUAQAACwAA&#10;AAAAAAAAAAAAAAAvAQAAX3JlbHMvLnJlbHNQSwECLQAUAAYACAAAACEACfMPJbICAACwBQAADgAA&#10;AAAAAAAAAAAAAAAuAgAAZHJzL2Uyb0RvYy54bWxQSwECLQAUAAYACAAAACEAQLf9jNwAAAAKAQAA&#10;DwAAAAAAAAAAAAAAAAAMBQAAZHJzL2Rvd25yZXYueG1sUEsFBgAAAAAEAAQA8wAAABUGAAAAAA==&#10;" filled="f" stroked="f" strokeweight=".25pt">
                <v:textbox inset="0,0,0,0">
                  <w:txbxContent>
                    <w:p w:rsidR="00A9543A" w:rsidRPr="006917E1" w:rsidRDefault="00A9543A" w:rsidP="006917E1"/>
                  </w:txbxContent>
                </v:textbox>
              </v:shape>
            </w:pict>
          </mc:Fallback>
        </mc:AlternateContent>
      </w:r>
    </w:p>
    <w:tbl>
      <w:tblPr>
        <w:tblW w:w="9780" w:type="dxa"/>
        <w:tblInd w:w="1008" w:type="dxa"/>
        <w:tblBorders>
          <w:top w:val="single" w:sz="2" w:space="0" w:color="00B0F0"/>
          <w:bottom w:val="single" w:sz="2" w:space="0" w:color="00B0F0"/>
          <w:insideH w:val="single" w:sz="2" w:space="0" w:color="00B0F0"/>
        </w:tblBorders>
        <w:tblCellMar>
          <w:left w:w="0" w:type="dxa"/>
          <w:right w:w="0" w:type="dxa"/>
        </w:tblCellMar>
        <w:tblLook w:val="04A0" w:firstRow="1" w:lastRow="0" w:firstColumn="1" w:lastColumn="0" w:noHBand="0" w:noVBand="1"/>
      </w:tblPr>
      <w:tblGrid>
        <w:gridCol w:w="3400"/>
        <w:gridCol w:w="3400"/>
        <w:gridCol w:w="2980"/>
      </w:tblGrid>
      <w:tr w:rsidR="00CE168D" w:rsidRPr="00590246" w:rsidTr="00020337">
        <w:trPr>
          <w:trHeight w:val="356"/>
        </w:trPr>
        <w:tc>
          <w:tcPr>
            <w:tcW w:w="9780" w:type="dxa"/>
            <w:gridSpan w:val="3"/>
            <w:shd w:val="clear" w:color="auto" w:fill="FFFFFF"/>
            <w:tcMar>
              <w:top w:w="15" w:type="dxa"/>
              <w:left w:w="15" w:type="dxa"/>
              <w:bottom w:w="0" w:type="dxa"/>
              <w:right w:w="15" w:type="dxa"/>
            </w:tcMar>
            <w:vAlign w:val="center"/>
            <w:hideMark/>
          </w:tcPr>
          <w:p w:rsidR="00CE168D" w:rsidRPr="007C6F66" w:rsidRDefault="00CE168D" w:rsidP="00EF1A60">
            <w:pPr>
              <w:autoSpaceDE w:val="0"/>
              <w:autoSpaceDN w:val="0"/>
              <w:adjustRightInd w:val="0"/>
              <w:spacing w:after="0" w:line="240" w:lineRule="auto"/>
              <w:rPr>
                <w:b/>
                <w:bCs/>
                <w:color w:val="003768"/>
                <w:sz w:val="18"/>
                <w:szCs w:val="18"/>
                <w:lang w:val="fr-FR"/>
              </w:rPr>
            </w:pPr>
          </w:p>
        </w:tc>
      </w:tr>
      <w:tr w:rsidR="00CE168D" w:rsidRPr="00590246" w:rsidTr="00020337">
        <w:trPr>
          <w:trHeight w:val="913"/>
        </w:trPr>
        <w:tc>
          <w:tcPr>
            <w:tcW w:w="3400" w:type="dxa"/>
            <w:shd w:val="clear" w:color="auto" w:fill="FFFFFF"/>
            <w:tcMar>
              <w:top w:w="15" w:type="dxa"/>
              <w:left w:w="15" w:type="dxa"/>
              <w:bottom w:w="0" w:type="dxa"/>
              <w:right w:w="15" w:type="dxa"/>
            </w:tcMar>
            <w:hideMark/>
          </w:tcPr>
          <w:p w:rsidR="00CE168D" w:rsidRPr="007C6F66" w:rsidRDefault="00CE168D" w:rsidP="0064576A">
            <w:pPr>
              <w:pStyle w:val="Voettekst"/>
              <w:tabs>
                <w:tab w:val="bar" w:pos="-2709"/>
              </w:tabs>
              <w:rPr>
                <w:bCs/>
                <w:color w:val="00B0F0"/>
                <w:sz w:val="4"/>
                <w:szCs w:val="4"/>
                <w:lang w:val="fr-FR"/>
              </w:rPr>
            </w:pPr>
          </w:p>
          <w:p w:rsidR="00CE168D" w:rsidRPr="00D01FB0" w:rsidRDefault="00D57A50" w:rsidP="0064576A">
            <w:pPr>
              <w:pStyle w:val="Voettekst"/>
              <w:tabs>
                <w:tab w:val="bar" w:pos="-2709"/>
              </w:tabs>
              <w:rPr>
                <w:rFonts w:ascii="Rockwell" w:hAnsi="Rockwell"/>
                <w:color w:val="00B0F0"/>
                <w:sz w:val="18"/>
                <w:szCs w:val="18"/>
                <w:lang w:val="fr-FR"/>
              </w:rPr>
            </w:pPr>
            <w:r>
              <w:rPr>
                <w:rFonts w:ascii="Rockwell" w:hAnsi="Rockwell"/>
                <w:b/>
                <w:bCs/>
                <w:color w:val="00B0F0"/>
                <w:sz w:val="18"/>
                <w:szCs w:val="18"/>
                <w:lang w:val="fr-FR"/>
              </w:rPr>
              <w:t>KBC Grou</w:t>
            </w:r>
            <w:r w:rsidR="00CE168D" w:rsidRPr="00D01FB0">
              <w:rPr>
                <w:rFonts w:ascii="Rockwell" w:hAnsi="Rockwell"/>
                <w:b/>
                <w:bCs/>
                <w:color w:val="00B0F0"/>
                <w:sz w:val="18"/>
                <w:szCs w:val="18"/>
                <w:lang w:val="fr-FR"/>
              </w:rPr>
              <w:t>p</w:t>
            </w:r>
            <w:r>
              <w:rPr>
                <w:rFonts w:ascii="Rockwell" w:hAnsi="Rockwell"/>
                <w:b/>
                <w:bCs/>
                <w:color w:val="00B0F0"/>
                <w:sz w:val="18"/>
                <w:szCs w:val="18"/>
                <w:lang w:val="fr-FR"/>
              </w:rPr>
              <w:t>e</w:t>
            </w:r>
            <w:r w:rsidR="00CE168D" w:rsidRPr="00D01FB0">
              <w:rPr>
                <w:rFonts w:ascii="Rockwell" w:hAnsi="Rockwell"/>
                <w:b/>
                <w:bCs/>
                <w:color w:val="00B0F0"/>
                <w:sz w:val="18"/>
                <w:szCs w:val="18"/>
                <w:lang w:val="fr-FR"/>
              </w:rPr>
              <w:t xml:space="preserve"> </w:t>
            </w:r>
            <w:r>
              <w:rPr>
                <w:rFonts w:ascii="Rockwell" w:hAnsi="Rockwell"/>
                <w:b/>
                <w:bCs/>
                <w:color w:val="00B0F0"/>
                <w:sz w:val="18"/>
                <w:szCs w:val="18"/>
                <w:lang w:val="fr-FR"/>
              </w:rPr>
              <w:t>SA</w:t>
            </w:r>
          </w:p>
          <w:p w:rsidR="00CE168D" w:rsidRPr="001E36E6" w:rsidRDefault="00A9543A" w:rsidP="0064576A">
            <w:pPr>
              <w:pStyle w:val="Voettekst"/>
              <w:tabs>
                <w:tab w:val="bar" w:pos="-2709"/>
              </w:tabs>
              <w:rPr>
                <w:color w:val="002060"/>
                <w:sz w:val="14"/>
                <w:szCs w:val="14"/>
                <w:lang w:val="fr-FR"/>
              </w:rPr>
            </w:pPr>
            <w:r w:rsidRPr="001E36E6">
              <w:rPr>
                <w:rFonts w:cs="Arial"/>
                <w:b/>
                <w:bCs/>
                <w:color w:val="003768"/>
                <w:sz w:val="14"/>
                <w:szCs w:val="14"/>
                <w:lang w:val="fr-FR" w:eastAsia="nl-BE"/>
              </w:rPr>
              <w:t>Av. Du Port 2</w:t>
            </w:r>
            <w:r w:rsidRPr="001E36E6">
              <w:rPr>
                <w:b/>
                <w:bCs/>
                <w:color w:val="002060"/>
                <w:sz w:val="14"/>
                <w:szCs w:val="14"/>
                <w:lang w:val="fr-FR"/>
              </w:rPr>
              <w:t xml:space="preserve"> </w:t>
            </w:r>
            <w:r w:rsidR="00340775" w:rsidRPr="001E36E6">
              <w:rPr>
                <w:b/>
                <w:bCs/>
                <w:color w:val="002060"/>
                <w:sz w:val="14"/>
                <w:szCs w:val="14"/>
                <w:lang w:val="fr-FR"/>
              </w:rPr>
              <w:t>– 1080 Brux</w:t>
            </w:r>
            <w:r w:rsidR="00CE168D" w:rsidRPr="001E36E6">
              <w:rPr>
                <w:b/>
                <w:bCs/>
                <w:color w:val="002060"/>
                <w:sz w:val="14"/>
                <w:szCs w:val="14"/>
                <w:lang w:val="fr-FR"/>
              </w:rPr>
              <w:t>el</w:t>
            </w:r>
            <w:r w:rsidR="00340775" w:rsidRPr="001E36E6">
              <w:rPr>
                <w:b/>
                <w:bCs/>
                <w:color w:val="002060"/>
                <w:sz w:val="14"/>
                <w:szCs w:val="14"/>
                <w:lang w:val="fr-FR"/>
              </w:rPr>
              <w:t>le</w:t>
            </w:r>
            <w:r w:rsidR="00CE168D" w:rsidRPr="001E36E6">
              <w:rPr>
                <w:b/>
                <w:bCs/>
                <w:color w:val="002060"/>
                <w:sz w:val="14"/>
                <w:szCs w:val="14"/>
                <w:lang w:val="fr-FR"/>
              </w:rPr>
              <w:t>s</w:t>
            </w:r>
          </w:p>
          <w:p w:rsidR="00CE168D" w:rsidRPr="001E36E6" w:rsidRDefault="00CE168D" w:rsidP="0064576A">
            <w:pPr>
              <w:pStyle w:val="Voettekst"/>
              <w:tabs>
                <w:tab w:val="bar" w:pos="-2709"/>
              </w:tabs>
              <w:rPr>
                <w:color w:val="002060"/>
                <w:sz w:val="14"/>
                <w:szCs w:val="14"/>
                <w:lang w:val="fr-FR"/>
              </w:rPr>
            </w:pPr>
            <w:r w:rsidRPr="001E36E6">
              <w:rPr>
                <w:b/>
                <w:bCs/>
                <w:color w:val="002060"/>
                <w:sz w:val="14"/>
                <w:szCs w:val="14"/>
                <w:lang w:val="fr-FR"/>
              </w:rPr>
              <w:t>Viviane Huybrecht</w:t>
            </w:r>
          </w:p>
          <w:p w:rsidR="00EF1A60" w:rsidRPr="00340775" w:rsidRDefault="00340775" w:rsidP="00EF1A60">
            <w:pPr>
              <w:autoSpaceDE w:val="0"/>
              <w:autoSpaceDN w:val="0"/>
              <w:adjustRightInd w:val="0"/>
              <w:spacing w:after="0" w:line="240" w:lineRule="auto"/>
              <w:rPr>
                <w:rFonts w:cs="Arial"/>
                <w:b/>
                <w:color w:val="003768"/>
                <w:sz w:val="14"/>
                <w:szCs w:val="14"/>
                <w:lang w:val="fr-FR" w:eastAsia="nl-BE"/>
              </w:rPr>
            </w:pPr>
            <w:r>
              <w:rPr>
                <w:rFonts w:cs="Arial"/>
                <w:b/>
                <w:color w:val="003768"/>
                <w:sz w:val="14"/>
                <w:szCs w:val="14"/>
                <w:lang w:val="fr-FR" w:eastAsia="nl-BE"/>
              </w:rPr>
              <w:t>D</w:t>
            </w:r>
            <w:r w:rsidR="00EF1A60" w:rsidRPr="00340775">
              <w:rPr>
                <w:rFonts w:cs="Arial"/>
                <w:b/>
                <w:color w:val="003768"/>
                <w:sz w:val="14"/>
                <w:szCs w:val="14"/>
                <w:lang w:val="fr-FR" w:eastAsia="nl-BE"/>
              </w:rPr>
              <w:t>irecteur</w:t>
            </w:r>
          </w:p>
          <w:p w:rsidR="00EF1A60" w:rsidRPr="00340775" w:rsidRDefault="00D57A50" w:rsidP="00EF1A60">
            <w:pPr>
              <w:autoSpaceDE w:val="0"/>
              <w:autoSpaceDN w:val="0"/>
              <w:adjustRightInd w:val="0"/>
              <w:spacing w:after="0" w:line="240" w:lineRule="auto"/>
              <w:rPr>
                <w:rFonts w:cs="Arial"/>
                <w:b/>
                <w:color w:val="003768"/>
                <w:sz w:val="14"/>
                <w:szCs w:val="14"/>
                <w:lang w:val="fr-FR" w:eastAsia="nl-BE"/>
              </w:rPr>
            </w:pPr>
            <w:r>
              <w:rPr>
                <w:rFonts w:cs="Arial"/>
                <w:b/>
                <w:color w:val="003768"/>
                <w:sz w:val="14"/>
                <w:szCs w:val="14"/>
                <w:lang w:val="fr-FR" w:eastAsia="nl-BE"/>
              </w:rPr>
              <w:t xml:space="preserve">Communication </w:t>
            </w:r>
            <w:proofErr w:type="spellStart"/>
            <w:r>
              <w:rPr>
                <w:rFonts w:cs="Arial"/>
                <w:b/>
                <w:color w:val="003768"/>
                <w:sz w:val="14"/>
                <w:szCs w:val="14"/>
                <w:lang w:val="fr-FR" w:eastAsia="nl-BE"/>
              </w:rPr>
              <w:t>Corporate</w:t>
            </w:r>
            <w:proofErr w:type="spellEnd"/>
            <w:r w:rsidR="00C608CE">
              <w:rPr>
                <w:rFonts w:cs="Arial"/>
                <w:b/>
                <w:color w:val="003768"/>
                <w:sz w:val="14"/>
                <w:szCs w:val="14"/>
                <w:lang w:val="fr-FR" w:eastAsia="nl-BE"/>
              </w:rPr>
              <w:t>/</w:t>
            </w:r>
            <w:r w:rsidR="00EF1A60" w:rsidRPr="00340775">
              <w:rPr>
                <w:rFonts w:cs="Arial"/>
                <w:b/>
                <w:color w:val="003768"/>
                <w:sz w:val="14"/>
                <w:szCs w:val="14"/>
                <w:lang w:val="fr-FR" w:eastAsia="nl-BE"/>
              </w:rPr>
              <w:t xml:space="preserve"> </w:t>
            </w:r>
          </w:p>
          <w:p w:rsidR="00340775" w:rsidRPr="00340775" w:rsidRDefault="00EF1A60" w:rsidP="00EF1A60">
            <w:pPr>
              <w:pStyle w:val="Voettekst"/>
              <w:tabs>
                <w:tab w:val="bar" w:pos="-2709"/>
              </w:tabs>
              <w:rPr>
                <w:rFonts w:cs="Arial"/>
                <w:b/>
                <w:color w:val="003768"/>
                <w:sz w:val="14"/>
                <w:szCs w:val="14"/>
                <w:lang w:val="fr-FR" w:eastAsia="nl-BE"/>
              </w:rPr>
            </w:pPr>
            <w:r w:rsidRPr="00340775">
              <w:rPr>
                <w:rFonts w:cs="Arial"/>
                <w:b/>
                <w:color w:val="003768"/>
                <w:sz w:val="14"/>
                <w:szCs w:val="14"/>
                <w:lang w:val="fr-FR" w:eastAsia="nl-BE"/>
              </w:rPr>
              <w:t>Porte-parole</w:t>
            </w:r>
          </w:p>
          <w:p w:rsidR="00CE168D" w:rsidRPr="00D01FB0" w:rsidRDefault="00CE168D" w:rsidP="00EF1A60">
            <w:pPr>
              <w:pStyle w:val="Voettekst"/>
              <w:tabs>
                <w:tab w:val="bar" w:pos="-2709"/>
              </w:tabs>
              <w:rPr>
                <w:b/>
                <w:bCs/>
                <w:color w:val="002060"/>
                <w:sz w:val="14"/>
                <w:szCs w:val="14"/>
                <w:lang w:val="fr-FR"/>
              </w:rPr>
            </w:pPr>
            <w:r w:rsidRPr="00D01FB0">
              <w:rPr>
                <w:b/>
                <w:bCs/>
                <w:color w:val="002060"/>
                <w:sz w:val="14"/>
                <w:szCs w:val="14"/>
                <w:lang w:val="fr-FR"/>
              </w:rPr>
              <w:t>Tel. +32 2 429 85 45</w:t>
            </w:r>
          </w:p>
          <w:p w:rsidR="00CE168D" w:rsidRPr="00D01FB0" w:rsidRDefault="00CE168D" w:rsidP="0064576A">
            <w:pPr>
              <w:pStyle w:val="Voettekst"/>
              <w:tabs>
                <w:tab w:val="bar" w:pos="-2709"/>
              </w:tabs>
              <w:rPr>
                <w:b/>
                <w:bCs/>
                <w:color w:val="002060"/>
                <w:sz w:val="4"/>
                <w:szCs w:val="4"/>
                <w:lang w:val="fr-FR"/>
              </w:rPr>
            </w:pPr>
          </w:p>
        </w:tc>
        <w:tc>
          <w:tcPr>
            <w:tcW w:w="3400" w:type="dxa"/>
            <w:shd w:val="clear" w:color="auto" w:fill="FFFFFF"/>
            <w:tcMar>
              <w:top w:w="15" w:type="dxa"/>
              <w:left w:w="15" w:type="dxa"/>
              <w:bottom w:w="0" w:type="dxa"/>
              <w:right w:w="15" w:type="dxa"/>
            </w:tcMar>
            <w:hideMark/>
          </w:tcPr>
          <w:p w:rsidR="00CE168D" w:rsidRPr="00D01FB0" w:rsidRDefault="00CE168D" w:rsidP="0064576A">
            <w:pPr>
              <w:pStyle w:val="Voettekst"/>
              <w:tabs>
                <w:tab w:val="bar" w:pos="-2709"/>
              </w:tabs>
              <w:rPr>
                <w:b/>
                <w:bCs/>
                <w:color w:val="002060"/>
                <w:sz w:val="4"/>
                <w:szCs w:val="4"/>
                <w:lang w:val="fr-FR"/>
              </w:rPr>
            </w:pPr>
          </w:p>
          <w:p w:rsidR="00CE168D" w:rsidRPr="00D01FB0" w:rsidRDefault="00CE168D" w:rsidP="0064576A">
            <w:pPr>
              <w:pStyle w:val="Voettekst"/>
              <w:tabs>
                <w:tab w:val="bar" w:pos="-2709"/>
              </w:tabs>
              <w:rPr>
                <w:rFonts w:ascii="Rockwell" w:hAnsi="Rockwell"/>
                <w:b/>
                <w:bCs/>
                <w:color w:val="002060"/>
                <w:sz w:val="18"/>
                <w:szCs w:val="18"/>
                <w:lang w:val="fr-FR"/>
              </w:rPr>
            </w:pPr>
          </w:p>
          <w:p w:rsidR="00A9543A" w:rsidRPr="00D01FB0" w:rsidRDefault="00A9543A" w:rsidP="0064576A">
            <w:pPr>
              <w:pStyle w:val="Voettekst"/>
              <w:tabs>
                <w:tab w:val="bar" w:pos="-2709"/>
              </w:tabs>
              <w:rPr>
                <w:rFonts w:cs="Arial"/>
                <w:b/>
                <w:color w:val="003768"/>
                <w:sz w:val="14"/>
                <w:szCs w:val="14"/>
                <w:lang w:val="fr-FR" w:eastAsia="nl-BE"/>
              </w:rPr>
            </w:pPr>
            <w:r w:rsidRPr="00D01FB0">
              <w:rPr>
                <w:rFonts w:cs="Arial"/>
                <w:b/>
                <w:color w:val="003768"/>
                <w:sz w:val="14"/>
                <w:szCs w:val="14"/>
                <w:lang w:val="fr-FR" w:eastAsia="nl-BE"/>
              </w:rPr>
              <w:t>Service Presse</w:t>
            </w:r>
          </w:p>
          <w:p w:rsidR="00CE168D" w:rsidRPr="00D01FB0" w:rsidRDefault="00CE168D" w:rsidP="0064576A">
            <w:pPr>
              <w:pStyle w:val="Voettekst"/>
              <w:tabs>
                <w:tab w:val="bar" w:pos="-2709"/>
              </w:tabs>
              <w:rPr>
                <w:color w:val="002060"/>
                <w:sz w:val="14"/>
                <w:szCs w:val="14"/>
                <w:lang w:val="fr-FR"/>
              </w:rPr>
            </w:pPr>
            <w:r w:rsidRPr="00D01FB0">
              <w:rPr>
                <w:b/>
                <w:bCs/>
                <w:color w:val="002060"/>
                <w:sz w:val="14"/>
                <w:szCs w:val="14"/>
                <w:lang w:val="fr-FR"/>
              </w:rPr>
              <w:t>Tel. +32 2 429 65 01</w:t>
            </w:r>
            <w:r w:rsidR="00221900">
              <w:rPr>
                <w:b/>
                <w:bCs/>
                <w:color w:val="002060"/>
                <w:sz w:val="14"/>
                <w:szCs w:val="14"/>
                <w:lang w:val="fr-FR"/>
              </w:rPr>
              <w:t xml:space="preserve"> Stef Leunens</w:t>
            </w:r>
          </w:p>
          <w:p w:rsidR="00191CF8" w:rsidRPr="00C608CE" w:rsidRDefault="00191CF8" w:rsidP="0064576A">
            <w:pPr>
              <w:pStyle w:val="Voettekst"/>
              <w:tabs>
                <w:tab w:val="bar" w:pos="-2709"/>
              </w:tabs>
              <w:rPr>
                <w:b/>
                <w:bCs/>
                <w:color w:val="002060"/>
                <w:sz w:val="14"/>
                <w:szCs w:val="14"/>
                <w:lang w:val="fr-FR"/>
              </w:rPr>
            </w:pPr>
            <w:r w:rsidRPr="00C608CE">
              <w:rPr>
                <w:b/>
                <w:bCs/>
                <w:color w:val="002060"/>
                <w:sz w:val="14"/>
                <w:szCs w:val="14"/>
                <w:lang w:val="fr-FR"/>
              </w:rPr>
              <w:t>Tel. +32 2 429 29 15</w:t>
            </w:r>
            <w:r w:rsidR="00221900">
              <w:rPr>
                <w:b/>
                <w:bCs/>
                <w:color w:val="002060"/>
                <w:sz w:val="14"/>
                <w:szCs w:val="14"/>
                <w:lang w:val="fr-FR"/>
              </w:rPr>
              <w:t xml:space="preserve"> Ilse De Muyer</w:t>
            </w:r>
          </w:p>
          <w:p w:rsidR="00CE168D" w:rsidRPr="00C608CE" w:rsidRDefault="00CE168D" w:rsidP="0064576A">
            <w:pPr>
              <w:pStyle w:val="Voettekst"/>
              <w:tabs>
                <w:tab w:val="bar" w:pos="-2709"/>
              </w:tabs>
              <w:rPr>
                <w:color w:val="002060"/>
                <w:sz w:val="14"/>
                <w:szCs w:val="14"/>
                <w:lang w:val="fr-FR"/>
              </w:rPr>
            </w:pPr>
            <w:r w:rsidRPr="00D01FB0">
              <w:rPr>
                <w:b/>
                <w:bCs/>
                <w:color w:val="002060"/>
                <w:sz w:val="14"/>
                <w:szCs w:val="14"/>
                <w:lang w:val="fr-FR"/>
              </w:rPr>
              <w:t>Fax +32 2 429 81 60</w:t>
            </w:r>
          </w:p>
          <w:p w:rsidR="00CE168D" w:rsidRPr="00C608CE" w:rsidRDefault="001E36E6" w:rsidP="0064576A">
            <w:pPr>
              <w:pStyle w:val="Voettekst"/>
              <w:tabs>
                <w:tab w:val="bar" w:pos="-2709"/>
              </w:tabs>
              <w:rPr>
                <w:lang w:val="fr-FR"/>
              </w:rPr>
            </w:pPr>
            <w:r w:rsidRPr="00C608CE">
              <w:rPr>
                <w:b/>
                <w:bCs/>
                <w:color w:val="002060"/>
                <w:sz w:val="14"/>
                <w:szCs w:val="14"/>
                <w:lang w:val="fr-FR"/>
              </w:rPr>
              <w:t xml:space="preserve">E-Mail </w:t>
            </w:r>
            <w:r w:rsidR="00CE168D" w:rsidRPr="00C608CE">
              <w:rPr>
                <w:b/>
                <w:bCs/>
                <w:color w:val="002060"/>
                <w:sz w:val="14"/>
                <w:szCs w:val="14"/>
                <w:lang w:val="fr-FR"/>
              </w:rPr>
              <w:t xml:space="preserve">: </w:t>
            </w:r>
            <w:hyperlink r:id="rId14" w:history="1">
              <w:r w:rsidR="00C879D4" w:rsidRPr="00C608CE">
                <w:rPr>
                  <w:rStyle w:val="Hyperlink"/>
                  <w:b/>
                  <w:bCs/>
                  <w:color w:val="00AEEF"/>
                  <w:sz w:val="14"/>
                  <w:szCs w:val="14"/>
                  <w:lang w:val="fr-FR"/>
                </w:rPr>
                <w:t>pressofficekbc@kbc.be</w:t>
              </w:r>
            </w:hyperlink>
          </w:p>
        </w:tc>
        <w:tc>
          <w:tcPr>
            <w:tcW w:w="2980" w:type="dxa"/>
            <w:shd w:val="clear" w:color="auto" w:fill="FFFFFF"/>
            <w:tcMar>
              <w:top w:w="15" w:type="dxa"/>
              <w:left w:w="15" w:type="dxa"/>
              <w:bottom w:w="0" w:type="dxa"/>
              <w:right w:w="15" w:type="dxa"/>
            </w:tcMar>
            <w:hideMark/>
          </w:tcPr>
          <w:p w:rsidR="00CE168D" w:rsidRPr="00C608CE" w:rsidRDefault="00CE168D" w:rsidP="0064576A">
            <w:pPr>
              <w:pStyle w:val="Voettekst"/>
              <w:tabs>
                <w:tab w:val="bar" w:pos="-2709"/>
              </w:tabs>
              <w:rPr>
                <w:b/>
                <w:bCs/>
                <w:color w:val="002060"/>
                <w:sz w:val="4"/>
                <w:szCs w:val="4"/>
                <w:lang w:val="fr-FR"/>
              </w:rPr>
            </w:pPr>
          </w:p>
          <w:p w:rsidR="00CE168D" w:rsidRPr="00C608CE" w:rsidRDefault="00CE168D" w:rsidP="0064576A">
            <w:pPr>
              <w:pStyle w:val="Voettekst"/>
              <w:tabs>
                <w:tab w:val="bar" w:pos="-2709"/>
              </w:tabs>
              <w:rPr>
                <w:b/>
                <w:bCs/>
                <w:color w:val="002060"/>
                <w:sz w:val="18"/>
                <w:szCs w:val="18"/>
                <w:lang w:val="fr-FR"/>
              </w:rPr>
            </w:pPr>
          </w:p>
          <w:p w:rsidR="00A9543A" w:rsidRPr="00A9543A" w:rsidRDefault="00A9543A" w:rsidP="00A9543A">
            <w:pPr>
              <w:autoSpaceDE w:val="0"/>
              <w:autoSpaceDN w:val="0"/>
              <w:adjustRightInd w:val="0"/>
              <w:spacing w:after="0" w:line="240" w:lineRule="auto"/>
              <w:rPr>
                <w:rFonts w:cs="Arial"/>
                <w:b/>
                <w:color w:val="003768"/>
                <w:sz w:val="14"/>
                <w:szCs w:val="14"/>
                <w:lang w:val="fr-FR" w:eastAsia="nl-BE"/>
              </w:rPr>
            </w:pPr>
            <w:r w:rsidRPr="00A9543A">
              <w:rPr>
                <w:rFonts w:cs="Arial"/>
                <w:b/>
                <w:color w:val="003768"/>
                <w:sz w:val="14"/>
                <w:szCs w:val="14"/>
                <w:lang w:val="fr-FR" w:eastAsia="nl-BE"/>
              </w:rPr>
              <w:t>Les communiqués de presse KBC peuvent être</w:t>
            </w:r>
          </w:p>
          <w:p w:rsidR="00A9543A" w:rsidRPr="00A9543A" w:rsidRDefault="00A9543A" w:rsidP="00A9543A">
            <w:pPr>
              <w:autoSpaceDE w:val="0"/>
              <w:autoSpaceDN w:val="0"/>
              <w:adjustRightInd w:val="0"/>
              <w:spacing w:after="0" w:line="240" w:lineRule="auto"/>
              <w:rPr>
                <w:rFonts w:cs="Arial"/>
                <w:b/>
                <w:color w:val="003768"/>
                <w:sz w:val="14"/>
                <w:szCs w:val="14"/>
                <w:lang w:val="fr-FR" w:eastAsia="nl-BE"/>
              </w:rPr>
            </w:pPr>
            <w:r w:rsidRPr="00A9543A">
              <w:rPr>
                <w:rFonts w:cs="Arial"/>
                <w:b/>
                <w:color w:val="003768"/>
                <w:sz w:val="14"/>
                <w:szCs w:val="14"/>
                <w:lang w:val="fr-FR" w:eastAsia="nl-BE"/>
              </w:rPr>
              <w:t xml:space="preserve">consultés sur </w:t>
            </w:r>
            <w:hyperlink r:id="rId15" w:history="1">
              <w:r w:rsidR="00CE168D" w:rsidRPr="00A9543A">
                <w:rPr>
                  <w:rStyle w:val="Hyperlink"/>
                  <w:b/>
                  <w:bCs/>
                  <w:color w:val="00B0F0"/>
                  <w:sz w:val="14"/>
                  <w:szCs w:val="14"/>
                  <w:lang w:val="fr-FR"/>
                </w:rPr>
                <w:t>www.kbc.com</w:t>
              </w:r>
            </w:hyperlink>
            <w:r w:rsidR="00CE168D" w:rsidRPr="00A9543A">
              <w:rPr>
                <w:b/>
                <w:bCs/>
                <w:color w:val="002060"/>
                <w:sz w:val="14"/>
                <w:szCs w:val="14"/>
                <w:lang w:val="fr-FR"/>
              </w:rPr>
              <w:t xml:space="preserve"> </w:t>
            </w:r>
            <w:r>
              <w:rPr>
                <w:rFonts w:cs="Arial"/>
                <w:b/>
                <w:color w:val="003768"/>
                <w:sz w:val="14"/>
                <w:szCs w:val="14"/>
                <w:lang w:val="fr-FR" w:eastAsia="nl-BE"/>
              </w:rPr>
              <w:t xml:space="preserve">ou obtenus </w:t>
            </w:r>
            <w:r w:rsidRPr="00A9543A">
              <w:rPr>
                <w:rFonts w:cs="Arial"/>
                <w:b/>
                <w:color w:val="003768"/>
                <w:sz w:val="14"/>
                <w:szCs w:val="14"/>
                <w:lang w:val="fr-FR" w:eastAsia="nl-BE"/>
              </w:rPr>
              <w:t>en</w:t>
            </w:r>
          </w:p>
          <w:p w:rsidR="00CE168D" w:rsidRPr="00A9543A" w:rsidRDefault="00A9543A" w:rsidP="00A9543A">
            <w:pPr>
              <w:pStyle w:val="Voettekst"/>
              <w:tabs>
                <w:tab w:val="bar" w:pos="-2709"/>
              </w:tabs>
              <w:spacing w:after="120"/>
              <w:rPr>
                <w:color w:val="002060"/>
                <w:sz w:val="14"/>
                <w:szCs w:val="14"/>
                <w:lang w:val="fr-FR"/>
              </w:rPr>
            </w:pPr>
            <w:r w:rsidRPr="00A9543A">
              <w:rPr>
                <w:rFonts w:cs="Arial"/>
                <w:b/>
                <w:color w:val="003768"/>
                <w:sz w:val="14"/>
                <w:szCs w:val="14"/>
                <w:lang w:val="fr-FR" w:eastAsia="nl-BE"/>
              </w:rPr>
              <w:t>envoyant un courriel à</w:t>
            </w:r>
            <w:r>
              <w:rPr>
                <w:rFonts w:cs="Arial"/>
                <w:b/>
                <w:color w:val="003768"/>
                <w:sz w:val="14"/>
                <w:szCs w:val="14"/>
                <w:lang w:val="fr-FR" w:eastAsia="nl-BE"/>
              </w:rPr>
              <w:t xml:space="preserve"> </w:t>
            </w:r>
            <w:r w:rsidR="00CE168D" w:rsidRPr="00A9543A">
              <w:rPr>
                <w:b/>
                <w:bCs/>
                <w:color w:val="003768"/>
                <w:sz w:val="14"/>
                <w:szCs w:val="14"/>
                <w:lang w:val="fr-FR"/>
              </w:rPr>
              <w:t xml:space="preserve"> </w:t>
            </w:r>
            <w:hyperlink r:id="rId16" w:history="1">
              <w:r w:rsidR="00CE168D" w:rsidRPr="00A9543A">
                <w:rPr>
                  <w:rStyle w:val="Hyperlink"/>
                  <w:b/>
                  <w:bCs/>
                  <w:color w:val="00B0F0"/>
                  <w:sz w:val="14"/>
                  <w:szCs w:val="14"/>
                  <w:lang w:val="fr-FR"/>
                </w:rPr>
                <w:t>pressofficekbc@kbc.be</w:t>
              </w:r>
            </w:hyperlink>
          </w:p>
          <w:p w:rsidR="00CE168D" w:rsidRPr="00A9543A" w:rsidRDefault="00A9543A" w:rsidP="0064576A">
            <w:pPr>
              <w:pStyle w:val="Voettekst"/>
              <w:tabs>
                <w:tab w:val="bar" w:pos="-2709"/>
              </w:tabs>
              <w:spacing w:after="120"/>
              <w:rPr>
                <w:color w:val="002060"/>
                <w:lang w:val="fr-FR"/>
              </w:rPr>
            </w:pPr>
            <w:r w:rsidRPr="00A9543A">
              <w:rPr>
                <w:rFonts w:cs="Calibri"/>
                <w:b/>
                <w:color w:val="003768"/>
                <w:sz w:val="14"/>
                <w:szCs w:val="14"/>
                <w:lang w:val="fr-FR" w:eastAsia="nl-BE"/>
              </w:rPr>
              <w:t>Suivez nous</w:t>
            </w:r>
            <w:r w:rsidR="00D01FB0">
              <w:rPr>
                <w:rFonts w:cs="Calibri"/>
                <w:b/>
                <w:color w:val="003768"/>
                <w:sz w:val="14"/>
                <w:szCs w:val="14"/>
                <w:lang w:val="fr-FR" w:eastAsia="nl-BE"/>
              </w:rPr>
              <w:t xml:space="preserve"> sur</w:t>
            </w:r>
            <w:r w:rsidRPr="00A9543A">
              <w:rPr>
                <w:lang w:val="fr-FR"/>
              </w:rPr>
              <w:t xml:space="preserve"> </w:t>
            </w:r>
            <w:hyperlink r:id="rId17" w:history="1">
              <w:r w:rsidR="00CE168D" w:rsidRPr="00A9543A">
                <w:rPr>
                  <w:rStyle w:val="Hyperlink"/>
                  <w:b/>
                  <w:bCs/>
                  <w:color w:val="00B0F0"/>
                  <w:sz w:val="14"/>
                  <w:szCs w:val="14"/>
                  <w:lang w:val="fr-FR"/>
                </w:rPr>
                <w:t>www.twitter.com/kbc_group</w:t>
              </w:r>
            </w:hyperlink>
          </w:p>
        </w:tc>
      </w:tr>
    </w:tbl>
    <w:p w:rsidR="004278B1" w:rsidRDefault="001D5C58" w:rsidP="00020337">
      <w:pPr>
        <w:pStyle w:val="Geenafstand"/>
        <w:ind w:left="993" w:right="664"/>
      </w:pPr>
      <w:r>
        <w:rPr>
          <w:noProof/>
          <w:lang w:val="nl-BE" w:eastAsia="nl-BE"/>
        </w:rPr>
        <mc:AlternateContent>
          <mc:Choice Requires="wps">
            <w:drawing>
              <wp:anchor distT="0" distB="0" distL="114300" distR="114300" simplePos="0" relativeHeight="251658752" behindDoc="0" locked="0" layoutInCell="1" allowOverlap="1">
                <wp:simplePos x="0" y="0"/>
                <wp:positionH relativeFrom="column">
                  <wp:align>left</wp:align>
                </wp:positionH>
                <wp:positionV relativeFrom="paragraph">
                  <wp:posOffset>6477000</wp:posOffset>
                </wp:positionV>
                <wp:extent cx="958215" cy="139065"/>
                <wp:effectExtent l="0" t="0" r="3810" b="381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3A" w:rsidRDefault="00A9543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0;margin-top:510pt;width:75.45pt;height:10.95pt;z-index:25165875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GoVsAIAALAFAAAOAAAAZHJzL2Uyb0RvYy54bWysVO1umzAU/T9p72D5P+UjJAVUUqUhTJO6&#10;D6ndAzhggjWwme0EumnvvmsT0qTVpGkbP6yLfX3uxzm+N7dD26ADlYoJnmL/ysOI8kKUjO9S/OUx&#10;dyKMlCa8JI3gNMVPVOHb5ds3N32X0EDUoimpRADCVdJ3Ka617hLXVUVNW6KuREc5HFZCtkTDr9y5&#10;pSQ9oLeNG3jewu2FLDspCqoU7GbjIV5a/Kqihf5UVYpq1KQYctN2lXbdmtVd3pBkJ0lXs+KYBvmL&#10;LFrCOAQ9QWVEE7SX7BVUywoplKj0VSFaV1QVK6itAarxvRfVPNSko7YWaI7qTm1S/w+2+Hj4LBEr&#10;UzzDiJMWKHqkg0Z3YkC+bU/fqQS8Hjrw0wPsA822VNXdi+KrQlysa8J3dCWl6GtKSkjPN411z64a&#10;QlSiDMi2/yBKiEP2WligoZKt6R10AwE60PR0osbkUsBmPI8Cf45RAUf+LPYWcxuBJNPlTir9jooW&#10;GSPFEpi34ORwr7RJhiSTi4nFRc6axrLf8IsNcBx3IDRcNWcmCUvmj9iLN9EmCp0wWGyc0MsyZ5Wv&#10;Q2eR+9fzbJat15n/08T1w6RmZUm5CTMJyw//jLijxEdJnKSlRMNKA2dSUnK3XTcSHQgIO7ffsSFn&#10;bu5lGrYJUMuLkvwg9O6C2MkX0bUT5uHcia+9yPH8+C5eeGEcZvllSfeM038vCfWG1WA+aum3tXn2&#10;e10bSVqmYXQ0rE1xdHIiiVHghpeWWk1YM9pnrTDpP7cC6J6Itno1Eh3FqoftYF9GYKIb+W5F+QQC&#10;lgIEBiqFsQdGLeR3jHoYISlW3/ZEUoya9xwegZk3kyEnYzsZhBdwNcUao9Fc63Eu7TvJdjUgj8+M&#10;ixU8lIpZET9ncXxeMBZsLccRZubO+b/1eh60y18AAAD//wMAUEsDBBQABgAIAAAAIQA7RQ2/3QAA&#10;AAoBAAAPAAAAZHJzL2Rvd25yZXYueG1sTI/BTsMwEETvSP0Haytxo3YRVCTEqSoEJyREGg4cnWSb&#10;WI3XIXbb8PdsTvS4M6uZN9l2cr044xisJw3rlQKBVPvGUqvhq3y7ewIRoqHG9J5Qwy8G2OaLm8yk&#10;jb9Qged9bAWHUEiNhi7GIZUy1B06E1Z+QGLv4EdnIp9jK5vRXDjc9fJeqY10xhI3dGbAlw7r4/7k&#10;NOy+qXi1Px/VZ3EobFkmit43R61vl9PuGUTEKf4/w4zP6JAzU+VP1ATRa+AhkVXFLSBm/1ElIKpZ&#10;elgnIPNMXk/I/wAAAP//AwBQSwECLQAUAAYACAAAACEAtoM4kv4AAADhAQAAEwAAAAAAAAAAAAAA&#10;AAAAAAAAW0NvbnRlbnRfVHlwZXNdLnhtbFBLAQItABQABgAIAAAAIQA4/SH/1gAAAJQBAAALAAAA&#10;AAAAAAAAAAAAAC8BAABfcmVscy8ucmVsc1BLAQItABQABgAIAAAAIQB3mGoVsAIAALAFAAAOAAAA&#10;AAAAAAAAAAAAAC4CAABkcnMvZTJvRG9jLnhtbFBLAQItABQABgAIAAAAIQA7RQ2/3QAAAAoBAAAP&#10;AAAAAAAAAAAAAAAAAAoFAABkcnMvZG93bnJldi54bWxQSwUGAAAAAAQABADzAAAAFAYAAAAA&#10;" filled="f" stroked="f">
                <v:textbox inset="0,0,0,0">
                  <w:txbxContent>
                    <w:p w:rsidR="00A9543A" w:rsidRDefault="00A9543A"/>
                  </w:txbxContent>
                </v:textbox>
              </v:shape>
            </w:pict>
          </mc:Fallback>
        </mc:AlternateContent>
      </w:r>
    </w:p>
    <w:sectPr w:rsidR="004278B1" w:rsidSect="00020337">
      <w:footerReference w:type="default" r:id="rId18"/>
      <w:pgSz w:w="11907" w:h="16840" w:code="9"/>
      <w:pgMar w:top="567" w:right="992" w:bottom="567" w:left="23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9DA" w:rsidRDefault="002D59DA" w:rsidP="0077354C">
      <w:pPr>
        <w:spacing w:after="0" w:line="240" w:lineRule="auto"/>
      </w:pPr>
      <w:r>
        <w:separator/>
      </w:r>
    </w:p>
  </w:endnote>
  <w:endnote w:type="continuationSeparator" w:id="0">
    <w:p w:rsidR="002D59DA" w:rsidRDefault="002D59DA" w:rsidP="00773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Rockwell,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54C" w:rsidRDefault="0077354C">
    <w:pPr>
      <w:pStyle w:val="Voettekst"/>
      <w:jc w:val="center"/>
    </w:pPr>
    <w:r>
      <w:t xml:space="preserve">Page </w:t>
    </w:r>
    <w:r w:rsidR="005B5013">
      <w:rPr>
        <w:b/>
        <w:sz w:val="24"/>
        <w:szCs w:val="24"/>
      </w:rPr>
      <w:fldChar w:fldCharType="begin"/>
    </w:r>
    <w:r>
      <w:rPr>
        <w:b/>
      </w:rPr>
      <w:instrText xml:space="preserve"> PAGE </w:instrText>
    </w:r>
    <w:r w:rsidR="005B5013">
      <w:rPr>
        <w:b/>
        <w:sz w:val="24"/>
        <w:szCs w:val="24"/>
      </w:rPr>
      <w:fldChar w:fldCharType="separate"/>
    </w:r>
    <w:r w:rsidR="00704A6B">
      <w:rPr>
        <w:b/>
        <w:noProof/>
      </w:rPr>
      <w:t>3</w:t>
    </w:r>
    <w:r w:rsidR="005B5013">
      <w:rPr>
        <w:b/>
        <w:sz w:val="24"/>
        <w:szCs w:val="24"/>
      </w:rPr>
      <w:fldChar w:fldCharType="end"/>
    </w:r>
    <w:r>
      <w:t xml:space="preserve"> of </w:t>
    </w:r>
    <w:r w:rsidR="005B5013">
      <w:rPr>
        <w:b/>
        <w:sz w:val="24"/>
        <w:szCs w:val="24"/>
      </w:rPr>
      <w:fldChar w:fldCharType="begin"/>
    </w:r>
    <w:r>
      <w:rPr>
        <w:b/>
      </w:rPr>
      <w:instrText xml:space="preserve"> NUMPAGES  </w:instrText>
    </w:r>
    <w:r w:rsidR="005B5013">
      <w:rPr>
        <w:b/>
        <w:sz w:val="24"/>
        <w:szCs w:val="24"/>
      </w:rPr>
      <w:fldChar w:fldCharType="separate"/>
    </w:r>
    <w:r w:rsidR="00704A6B">
      <w:rPr>
        <w:b/>
        <w:noProof/>
      </w:rPr>
      <w:t>3</w:t>
    </w:r>
    <w:r w:rsidR="005B5013">
      <w:rPr>
        <w:b/>
        <w:sz w:val="24"/>
        <w:szCs w:val="24"/>
      </w:rPr>
      <w:fldChar w:fldCharType="end"/>
    </w:r>
  </w:p>
  <w:p w:rsidR="0077354C" w:rsidRDefault="0077354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9DA" w:rsidRDefault="002D59DA" w:rsidP="0077354C">
      <w:pPr>
        <w:spacing w:after="0" w:line="240" w:lineRule="auto"/>
      </w:pPr>
      <w:r>
        <w:separator/>
      </w:r>
    </w:p>
  </w:footnote>
  <w:footnote w:type="continuationSeparator" w:id="0">
    <w:p w:rsidR="002D59DA" w:rsidRDefault="002D59DA" w:rsidP="007735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CC4"/>
    <w:rsid w:val="00017FD1"/>
    <w:rsid w:val="00020337"/>
    <w:rsid w:val="00041581"/>
    <w:rsid w:val="00067351"/>
    <w:rsid w:val="0007720A"/>
    <w:rsid w:val="001044FC"/>
    <w:rsid w:val="00145E8E"/>
    <w:rsid w:val="001572F2"/>
    <w:rsid w:val="00191CF8"/>
    <w:rsid w:val="001D5C58"/>
    <w:rsid w:val="001E36E6"/>
    <w:rsid w:val="00221900"/>
    <w:rsid w:val="00222803"/>
    <w:rsid w:val="00262D1E"/>
    <w:rsid w:val="00281858"/>
    <w:rsid w:val="00286C63"/>
    <w:rsid w:val="002D59DA"/>
    <w:rsid w:val="00326CB0"/>
    <w:rsid w:val="00334465"/>
    <w:rsid w:val="00340775"/>
    <w:rsid w:val="0038316D"/>
    <w:rsid w:val="0038517C"/>
    <w:rsid w:val="003915CA"/>
    <w:rsid w:val="003A10F4"/>
    <w:rsid w:val="003A54AC"/>
    <w:rsid w:val="003C1BF8"/>
    <w:rsid w:val="003C3F4A"/>
    <w:rsid w:val="003C61B4"/>
    <w:rsid w:val="003D1F46"/>
    <w:rsid w:val="004278B1"/>
    <w:rsid w:val="0047091F"/>
    <w:rsid w:val="004F7511"/>
    <w:rsid w:val="004F75DC"/>
    <w:rsid w:val="0052230C"/>
    <w:rsid w:val="005235E3"/>
    <w:rsid w:val="00574F3C"/>
    <w:rsid w:val="00590246"/>
    <w:rsid w:val="005B005E"/>
    <w:rsid w:val="005B5013"/>
    <w:rsid w:val="005C2083"/>
    <w:rsid w:val="00610315"/>
    <w:rsid w:val="0064576A"/>
    <w:rsid w:val="00673D3E"/>
    <w:rsid w:val="006917E1"/>
    <w:rsid w:val="006A6C5E"/>
    <w:rsid w:val="006A73EA"/>
    <w:rsid w:val="006C3542"/>
    <w:rsid w:val="006F3BB7"/>
    <w:rsid w:val="00704A6B"/>
    <w:rsid w:val="007571D2"/>
    <w:rsid w:val="00770C2F"/>
    <w:rsid w:val="0077354C"/>
    <w:rsid w:val="00775C2F"/>
    <w:rsid w:val="00777C89"/>
    <w:rsid w:val="007C6F66"/>
    <w:rsid w:val="00830F8B"/>
    <w:rsid w:val="00856602"/>
    <w:rsid w:val="009C1678"/>
    <w:rsid w:val="009C4391"/>
    <w:rsid w:val="00A16F30"/>
    <w:rsid w:val="00A20B2F"/>
    <w:rsid w:val="00A42FB1"/>
    <w:rsid w:val="00A73521"/>
    <w:rsid w:val="00A9543A"/>
    <w:rsid w:val="00AC7A25"/>
    <w:rsid w:val="00B7736D"/>
    <w:rsid w:val="00B97593"/>
    <w:rsid w:val="00BE46FD"/>
    <w:rsid w:val="00C608CE"/>
    <w:rsid w:val="00C879D4"/>
    <w:rsid w:val="00CE168D"/>
    <w:rsid w:val="00D01FB0"/>
    <w:rsid w:val="00D14EBE"/>
    <w:rsid w:val="00D57A50"/>
    <w:rsid w:val="00D61FE6"/>
    <w:rsid w:val="00D651BD"/>
    <w:rsid w:val="00E65043"/>
    <w:rsid w:val="00EA7DF4"/>
    <w:rsid w:val="00EF1A60"/>
    <w:rsid w:val="00F5543C"/>
    <w:rsid w:val="00F56CC4"/>
    <w:rsid w:val="00F83524"/>
    <w:rsid w:val="00F8611A"/>
    <w:rsid w:val="00FC36C2"/>
    <w:rsid w:val="00FE78B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97593"/>
    <w:pPr>
      <w:spacing w:after="200" w:line="276" w:lineRule="auto"/>
    </w:pPr>
    <w:rPr>
      <w:sz w:val="22"/>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56CC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56CC4"/>
    <w:rPr>
      <w:rFonts w:ascii="Tahoma" w:hAnsi="Tahoma" w:cs="Tahoma"/>
      <w:sz w:val="16"/>
      <w:szCs w:val="16"/>
    </w:rPr>
  </w:style>
  <w:style w:type="paragraph" w:styleId="Geenafstand">
    <w:name w:val="No Spacing"/>
    <w:uiPriority w:val="1"/>
    <w:qFormat/>
    <w:rsid w:val="00F56CC4"/>
    <w:rPr>
      <w:sz w:val="22"/>
      <w:szCs w:val="22"/>
      <w:lang w:val="en-US" w:eastAsia="en-US"/>
    </w:rPr>
  </w:style>
  <w:style w:type="character" w:styleId="Hyperlink">
    <w:name w:val="Hyperlink"/>
    <w:basedOn w:val="Standaardalinea-lettertype"/>
    <w:uiPriority w:val="99"/>
    <w:unhideWhenUsed/>
    <w:rsid w:val="00A20B2F"/>
    <w:rPr>
      <w:color w:val="0000FF"/>
      <w:u w:val="single"/>
    </w:rPr>
  </w:style>
  <w:style w:type="paragraph" w:styleId="Voettekst">
    <w:name w:val="footer"/>
    <w:basedOn w:val="Standaard"/>
    <w:link w:val="VoettekstChar"/>
    <w:uiPriority w:val="99"/>
    <w:unhideWhenUsed/>
    <w:rsid w:val="00AC7A2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C7A25"/>
  </w:style>
  <w:style w:type="paragraph" w:styleId="Koptekst">
    <w:name w:val="header"/>
    <w:basedOn w:val="Standaard"/>
    <w:link w:val="KoptekstChar"/>
    <w:uiPriority w:val="99"/>
    <w:semiHidden/>
    <w:unhideWhenUsed/>
    <w:rsid w:val="0077354C"/>
    <w:pPr>
      <w:tabs>
        <w:tab w:val="center" w:pos="4536"/>
        <w:tab w:val="right" w:pos="9072"/>
      </w:tabs>
    </w:pPr>
  </w:style>
  <w:style w:type="character" w:customStyle="1" w:styleId="KoptekstChar">
    <w:name w:val="Koptekst Char"/>
    <w:basedOn w:val="Standaardalinea-lettertype"/>
    <w:link w:val="Koptekst"/>
    <w:uiPriority w:val="99"/>
    <w:semiHidden/>
    <w:rsid w:val="0077354C"/>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97593"/>
    <w:pPr>
      <w:spacing w:after="200" w:line="276" w:lineRule="auto"/>
    </w:pPr>
    <w:rPr>
      <w:sz w:val="22"/>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56CC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56CC4"/>
    <w:rPr>
      <w:rFonts w:ascii="Tahoma" w:hAnsi="Tahoma" w:cs="Tahoma"/>
      <w:sz w:val="16"/>
      <w:szCs w:val="16"/>
    </w:rPr>
  </w:style>
  <w:style w:type="paragraph" w:styleId="Geenafstand">
    <w:name w:val="No Spacing"/>
    <w:uiPriority w:val="1"/>
    <w:qFormat/>
    <w:rsid w:val="00F56CC4"/>
    <w:rPr>
      <w:sz w:val="22"/>
      <w:szCs w:val="22"/>
      <w:lang w:val="en-US" w:eastAsia="en-US"/>
    </w:rPr>
  </w:style>
  <w:style w:type="character" w:styleId="Hyperlink">
    <w:name w:val="Hyperlink"/>
    <w:basedOn w:val="Standaardalinea-lettertype"/>
    <w:uiPriority w:val="99"/>
    <w:unhideWhenUsed/>
    <w:rsid w:val="00A20B2F"/>
    <w:rPr>
      <w:color w:val="0000FF"/>
      <w:u w:val="single"/>
    </w:rPr>
  </w:style>
  <w:style w:type="paragraph" w:styleId="Voettekst">
    <w:name w:val="footer"/>
    <w:basedOn w:val="Standaard"/>
    <w:link w:val="VoettekstChar"/>
    <w:uiPriority w:val="99"/>
    <w:unhideWhenUsed/>
    <w:rsid w:val="00AC7A2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C7A25"/>
  </w:style>
  <w:style w:type="paragraph" w:styleId="Koptekst">
    <w:name w:val="header"/>
    <w:basedOn w:val="Standaard"/>
    <w:link w:val="KoptekstChar"/>
    <w:uiPriority w:val="99"/>
    <w:semiHidden/>
    <w:unhideWhenUsed/>
    <w:rsid w:val="0077354C"/>
    <w:pPr>
      <w:tabs>
        <w:tab w:val="center" w:pos="4536"/>
        <w:tab w:val="right" w:pos="9072"/>
      </w:tabs>
    </w:pPr>
  </w:style>
  <w:style w:type="character" w:customStyle="1" w:styleId="KoptekstChar">
    <w:name w:val="Koptekst Char"/>
    <w:basedOn w:val="Standaardalinea-lettertype"/>
    <w:link w:val="Koptekst"/>
    <w:uiPriority w:val="99"/>
    <w:semiHidden/>
    <w:rsid w:val="0077354C"/>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mailto:david.willems@cbc.b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irk.thiels@kbc.be" TargetMode="External"/><Relationship Id="rId17" Type="http://schemas.openxmlformats.org/officeDocument/2006/relationships/hyperlink" Target="http://www.twitter.com/kbc_group" TargetMode="External"/><Relationship Id="rId2" Type="http://schemas.microsoft.com/office/2007/relationships/stylesWithEffects" Target="stylesWithEffects.xml"/><Relationship Id="rId16" Type="http://schemas.openxmlformats.org/officeDocument/2006/relationships/hyperlink" Target="mailto:pressofficekbc@kbc.b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bernard.keppenne@cbc.be" TargetMode="External"/><Relationship Id="rId5" Type="http://schemas.openxmlformats.org/officeDocument/2006/relationships/footnotes" Target="footnotes.xml"/><Relationship Id="rId15" Type="http://schemas.openxmlformats.org/officeDocument/2006/relationships/hyperlink" Target="http://www.kbc.com/" TargetMode="External"/><Relationship Id="rId10" Type="http://schemas.openxmlformats.org/officeDocument/2006/relationships/hyperlink" Target="mailto:koen.deleus@kbc.b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pressofficekbc@kbc.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1378</Words>
  <Characters>7580</Characters>
  <Application>Microsoft Office Word</Application>
  <DocSecurity>0</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KBC Group</Company>
  <LinksUpToDate>false</LinksUpToDate>
  <CharactersWithSpaces>8941</CharactersWithSpaces>
  <SharedDoc>false</SharedDoc>
  <HLinks>
    <vt:vector size="36" baseType="variant">
      <vt:variant>
        <vt:i4>5111906</vt:i4>
      </vt:variant>
      <vt:variant>
        <vt:i4>15</vt:i4>
      </vt:variant>
      <vt:variant>
        <vt:i4>0</vt:i4>
      </vt:variant>
      <vt:variant>
        <vt:i4>5</vt:i4>
      </vt:variant>
      <vt:variant>
        <vt:lpwstr>http://www.twitter.com/kbc_group</vt:lpwstr>
      </vt:variant>
      <vt:variant>
        <vt:lpwstr/>
      </vt:variant>
      <vt:variant>
        <vt:i4>6619203</vt:i4>
      </vt:variant>
      <vt:variant>
        <vt:i4>12</vt:i4>
      </vt:variant>
      <vt:variant>
        <vt:i4>0</vt:i4>
      </vt:variant>
      <vt:variant>
        <vt:i4>5</vt:i4>
      </vt:variant>
      <vt:variant>
        <vt:lpwstr>mailto:pressofficekbc@kbc.be</vt:lpwstr>
      </vt:variant>
      <vt:variant>
        <vt:lpwstr/>
      </vt:variant>
      <vt:variant>
        <vt:i4>2949235</vt:i4>
      </vt:variant>
      <vt:variant>
        <vt:i4>9</vt:i4>
      </vt:variant>
      <vt:variant>
        <vt:i4>0</vt:i4>
      </vt:variant>
      <vt:variant>
        <vt:i4>5</vt:i4>
      </vt:variant>
      <vt:variant>
        <vt:lpwstr>http://www.kbc.com/</vt:lpwstr>
      </vt:variant>
      <vt:variant>
        <vt:lpwstr/>
      </vt:variant>
      <vt:variant>
        <vt:i4>6619203</vt:i4>
      </vt:variant>
      <vt:variant>
        <vt:i4>6</vt:i4>
      </vt:variant>
      <vt:variant>
        <vt:i4>0</vt:i4>
      </vt:variant>
      <vt:variant>
        <vt:i4>5</vt:i4>
      </vt:variant>
      <vt:variant>
        <vt:lpwstr>mailto:pressofficekbc@kbc.be</vt:lpwstr>
      </vt:variant>
      <vt:variant>
        <vt:lpwstr/>
      </vt:variant>
      <vt:variant>
        <vt:i4>6619203</vt:i4>
      </vt:variant>
      <vt:variant>
        <vt:i4>3</vt:i4>
      </vt:variant>
      <vt:variant>
        <vt:i4>0</vt:i4>
      </vt:variant>
      <vt:variant>
        <vt:i4>5</vt:i4>
      </vt:variant>
      <vt:variant>
        <vt:lpwstr>mailto:pressofficekbc@kbc.be</vt:lpwstr>
      </vt:variant>
      <vt:variant>
        <vt:lpwstr/>
      </vt:variant>
      <vt:variant>
        <vt:i4>6881307</vt:i4>
      </vt:variant>
      <vt:variant>
        <vt:i4>0</vt:i4>
      </vt:variant>
      <vt:variant>
        <vt:i4>0</vt:i4>
      </vt:variant>
      <vt:variant>
        <vt:i4>5</vt:i4>
      </vt:variant>
      <vt:variant>
        <vt:lpwstr>mailto:wim.allegaert@kbc.be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JD30767</dc:creator>
  <cp:lastModifiedBy>Libbrecht Annemie</cp:lastModifiedBy>
  <cp:revision>7</cp:revision>
  <cp:lastPrinted>2014-12-04T06:46:00Z</cp:lastPrinted>
  <dcterms:created xsi:type="dcterms:W3CDTF">2014-12-03T13:19:00Z</dcterms:created>
  <dcterms:modified xsi:type="dcterms:W3CDTF">2014-12-04T06:46:00Z</dcterms:modified>
</cp:coreProperties>
</file>