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336" w:lineRule="auto"/>
        <w:jc w:val="center"/>
        <w:rPr>
          <w:b w:val="1"/>
          <w:bCs w:val="1"/>
          <w:color w:val="000000"/>
          <w:sz w:val="28"/>
          <w:szCs w:val="28"/>
          <w:highlight w:val="yellow"/>
        </w:rPr>
      </w:pPr>
      <w:r w:rsidDel="00000000" w:rsidR="00000000" w:rsidRPr="00000000">
        <w:rPr>
          <w:rtl w:val="0"/>
        </w:rPr>
      </w:r>
    </w:p>
    <w:p w:rsidR="00000000" w:rsidDel="00000000" w:rsidP="00000000" w:rsidRDefault="00000000" w:rsidRPr="00000000" w14:paraId="00000002">
      <w:pPr>
        <w:spacing w:after="160" w:line="336" w:lineRule="auto"/>
        <w:jc w:val="center"/>
        <w:rPr>
          <w:rFonts w:ascii="Arial" w:cs="Arial" w:eastAsia="Arial" w:hAnsi="Arial"/>
          <w:i w:val="1"/>
          <w:iCs w:val="1"/>
        </w:rPr>
      </w:pPr>
      <w:r w:rsidDel="00000000" w:rsidR="00000000" w:rsidRPr="00000000">
        <w:rPr>
          <w:rFonts w:ascii="Arial" w:cs="Arial" w:eastAsia="Arial" w:hAnsi="Arial"/>
          <w:b w:val="1"/>
          <w:bCs w:val="1"/>
          <w:sz w:val="32"/>
          <w:szCs w:val="32"/>
          <w:rtl w:val="0"/>
        </w:rPr>
        <w:t xml:space="preserve">DAD to Showcase </w:t>
      </w:r>
      <w:bookmarkStart w:colFirst="0" w:colLast="0" w:name="bookmark=id.jq2kzc7yd240" w:id="0"/>
      <w:bookmarkEnd w:id="0"/>
      <w:r w:rsidDel="00000000" w:rsidR="00000000" w:rsidRPr="00000000">
        <w:rPr>
          <w:rFonts w:ascii="Arial" w:cs="Arial" w:eastAsia="Arial" w:hAnsi="Arial"/>
          <w:b w:val="1"/>
          <w:bCs w:val="1"/>
          <w:sz w:val="32"/>
          <w:szCs w:val="32"/>
          <w:rtl w:val="0"/>
        </w:rPr>
        <w:t xml:space="preserve">ST 2110-30 for Thunder|Core, Penta, and AX32 at NAB New York 2026 </w:t>
        <w:br w:type="textWrapping"/>
      </w:r>
      <w:r w:rsidDel="00000000" w:rsidR="00000000" w:rsidRPr="00000000">
        <w:rPr>
          <w:rFonts w:ascii="Arial" w:cs="Arial" w:eastAsia="Arial" w:hAnsi="Arial"/>
          <w:i w:val="1"/>
          <w:iCs w:val="1"/>
          <w:rtl w:val="0"/>
        </w:rPr>
        <w:t xml:space="preserve">New expansion card enhances broadcast capabilities by adding AES67 and RAVENNA capabilities to flagship DAD interfaces</w:t>
      </w:r>
      <w:r w:rsidDel="00000000" w:rsidR="00000000" w:rsidRPr="00000000">
        <w:rPr>
          <w:rtl w:val="0"/>
        </w:rPr>
      </w:r>
    </w:p>
    <w:p w:rsidR="00000000" w:rsidDel="00000000" w:rsidP="00000000" w:rsidRDefault="00000000" w:rsidRPr="00000000" w14:paraId="00000003">
      <w:pPr>
        <w:spacing w:after="160" w:line="288"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NEW YORK, NY</w:t>
      </w:r>
      <w:r w:rsidDel="00000000" w:rsidR="00000000" w:rsidRPr="00000000">
        <w:rPr>
          <w:rFonts w:ascii="Arial" w:cs="Arial" w:eastAsia="Arial" w:hAnsi="Arial"/>
          <w:b w:val="1"/>
          <w:bCs w:val="1"/>
          <w:sz w:val="22"/>
          <w:szCs w:val="22"/>
          <w:rtl w:val="0"/>
        </w:rPr>
        <w:t xml:space="preserve">, October 19, 2026 — </w:t>
      </w:r>
      <w:hyperlink r:id="rId7">
        <w:r w:rsidDel="00000000" w:rsidR="00000000" w:rsidRPr="00000000">
          <w:rPr>
            <w:rFonts w:ascii="Arial" w:cs="Arial" w:eastAsia="Arial" w:hAnsi="Arial"/>
            <w:b w:val="1"/>
            <w:bCs w:val="1"/>
            <w:color w:val="1155cc"/>
            <w:sz w:val="22"/>
            <w:szCs w:val="22"/>
            <w:u w:val="single"/>
            <w:rtl w:val="0"/>
          </w:rPr>
          <w:t xml:space="preserve">Digital Audio Denmark (DAD)</w:t>
        </w:r>
      </w:hyperlink>
      <w:r w:rsidDel="00000000" w:rsidR="00000000" w:rsidRPr="00000000">
        <w:rPr>
          <w:rFonts w:ascii="Arial" w:cs="Arial" w:eastAsia="Arial" w:hAnsi="Arial"/>
          <w:b w:val="1"/>
          <w:bCs w:val="1"/>
          <w:sz w:val="22"/>
          <w:szCs w:val="22"/>
          <w:rtl w:val="0"/>
        </w:rPr>
        <w:t xml:space="preserve"> [Booth#761] announces that they will showcase the new </w:t>
      </w:r>
      <w:hyperlink r:id="rId8">
        <w:r w:rsidDel="00000000" w:rsidR="00000000" w:rsidRPr="00000000">
          <w:rPr>
            <w:rFonts w:ascii="Arial" w:cs="Arial" w:eastAsia="Arial" w:hAnsi="Arial"/>
            <w:b w:val="1"/>
            <w:bCs w:val="1"/>
            <w:color w:val="1155cc"/>
            <w:sz w:val="22"/>
            <w:szCs w:val="22"/>
            <w:u w:val="single"/>
            <w:rtl w:val="0"/>
          </w:rPr>
          <w:t xml:space="preserve">ST 2110-30 expansion</w:t>
        </w:r>
      </w:hyperlink>
      <w:r w:rsidDel="00000000" w:rsidR="00000000" w:rsidRPr="00000000">
        <w:rPr>
          <w:rFonts w:ascii="Arial" w:cs="Arial" w:eastAsia="Arial" w:hAnsi="Arial"/>
          <w:b w:val="1"/>
          <w:bCs w:val="1"/>
          <w:sz w:val="22"/>
          <w:szCs w:val="22"/>
          <w:rtl w:val="0"/>
        </w:rPr>
        <w:t xml:space="preserve"> to their Thunder|Core and Penta-series interfaces at the </w:t>
      </w:r>
      <w:hyperlink r:id="rId9">
        <w:r w:rsidDel="00000000" w:rsidR="00000000" w:rsidRPr="00000000">
          <w:rPr>
            <w:rFonts w:ascii="Arial" w:cs="Arial" w:eastAsia="Arial" w:hAnsi="Arial"/>
            <w:b w:val="1"/>
            <w:bCs w:val="1"/>
            <w:color w:val="1155cc"/>
            <w:sz w:val="22"/>
            <w:szCs w:val="22"/>
            <w:u w:val="single"/>
            <w:rtl w:val="0"/>
          </w:rPr>
          <w:t xml:space="preserve">New York NAB show</w:t>
        </w:r>
      </w:hyperlink>
      <w:r w:rsidDel="00000000" w:rsidR="00000000" w:rsidRPr="00000000">
        <w:rPr>
          <w:rFonts w:ascii="Arial" w:cs="Arial" w:eastAsia="Arial" w:hAnsi="Arial"/>
          <w:b w:val="1"/>
          <w:bCs w:val="1"/>
          <w:sz w:val="22"/>
          <w:szCs w:val="22"/>
          <w:rtl w:val="0"/>
        </w:rPr>
        <w:t xml:space="preserve">. The new card adds AoIP connectivity with AES67 and RAVENNA capabilities, making DAD’s ecosystem of world-class audio interfaces more compatible with IP Ethernet Audio Formats in Broadcast installations as well as any other applications that require pristine A/D and D/A conversion, remote-controlled microphone preamps, monitor control, routing, format and sample-rate conversion. The brand will be exhibiting as part of the Dale Pro Audio booth from October 21-22, 2026 at the Javits Center in New York, NY. </w:t>
      </w:r>
    </w:p>
    <w:p w:rsidR="00000000" w:rsidDel="00000000" w:rsidP="00000000" w:rsidRDefault="00000000" w:rsidRPr="00000000" w14:paraId="00000004">
      <w:pPr>
        <w:spacing w:after="160" w:line="288"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For more information, please click here </w:t>
      </w:r>
      <w:hyperlink r:id="rId10">
        <w:r w:rsidDel="00000000" w:rsidR="00000000" w:rsidRPr="00000000">
          <w:rPr>
            <w:rFonts w:ascii="Arial" w:cs="Arial" w:eastAsia="Arial" w:hAnsi="Arial"/>
            <w:b w:val="1"/>
            <w:bCs w:val="1"/>
            <w:sz w:val="22"/>
            <w:szCs w:val="22"/>
            <w:u w:val="single"/>
            <w:rtl w:val="0"/>
          </w:rPr>
          <w:t xml:space="preserve">https://digitalaudio.dk/expansion-options/</w:t>
        </w:r>
      </w:hyperlink>
      <w:r w:rsidDel="00000000" w:rsidR="00000000" w:rsidRPr="00000000">
        <w:rPr>
          <w:rtl w:val="0"/>
        </w:rPr>
      </w:r>
    </w:p>
    <w:p w:rsidR="00000000" w:rsidDel="00000000" w:rsidP="00000000" w:rsidRDefault="00000000" w:rsidRPr="00000000" w14:paraId="00000005">
      <w:pPr>
        <w:spacing w:after="160"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“We design our audio interfaces with the idea of the widest possible format compatibility in mind so that we can best serve the needs of audio professionals in every corner of the industry,” explains NTP Technology COO Mikael Vest. “The addition of ST 2110-30 Network Capabilities with AES67 and RAVENNA build in, implemented on our new 128 channel ST 2110-30 RAVENNA I/O card, make our devices more usable for the AoIP workflows of the broadcast and live audio applications, and provide added flexibility and control for the professionals working within them.”</w:t>
      </w:r>
    </w:p>
    <w:p w:rsidR="00000000" w:rsidDel="00000000" w:rsidP="00000000" w:rsidRDefault="00000000" w:rsidRPr="00000000" w14:paraId="00000006">
      <w:pPr>
        <w:spacing w:after="160"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Thunder | Core and Penta audio interfaces provide a variety of digital and analogue input and output options. All the signals are available in the large internal routing matrix which has a capacity of up-to 2,048 x 2,048 non-blocking connections. The number of channels depends on the actual input and output configuration of the audio interface. A 64 channel bus summing system is a part of the matrix, and provides via the Pro | Mon functionality unique and flexible summing and monitoring configurations that can be targeted for different workflows. </w:t>
      </w:r>
    </w:p>
    <w:p w:rsidR="00000000" w:rsidDel="00000000" w:rsidP="00000000" w:rsidRDefault="00000000" w:rsidRPr="00000000" w14:paraId="00000007">
      <w:pPr>
        <w:spacing w:after="160"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 combination with our networking capabilities we can ensure seamless compatibility within AoIP environments and versatile configurations with IP Ethernet Audio Formats into our product functionality providing strong solutions for Routing, Monitoring, Format Conversion and general Audio I/O” add Mikael Vest</w:t>
      </w:r>
    </w:p>
    <w:p w:rsidR="00000000" w:rsidDel="00000000" w:rsidP="00000000" w:rsidRDefault="00000000" w:rsidRPr="00000000" w14:paraId="00000008">
      <w:pPr>
        <w:spacing w:after="160" w:line="25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For more information on the ST 2110-30 RAVENNA card, our AoIP capabilities and Device-Specific Functionality please refer to:</w:t>
      </w:r>
    </w:p>
    <w:p w:rsidR="00000000" w:rsidDel="00000000" w:rsidP="00000000" w:rsidRDefault="00000000" w:rsidRPr="00000000" w14:paraId="00000009">
      <w:pPr>
        <w:spacing w:after="160" w:line="256" w:lineRule="auto"/>
        <w:rPr>
          <w:rFonts w:ascii="Arial" w:cs="Arial" w:eastAsia="Arial" w:hAnsi="Arial"/>
          <w:sz w:val="22"/>
          <w:szCs w:val="22"/>
        </w:rPr>
      </w:pPr>
      <w:hyperlink r:id="rId11">
        <w:r w:rsidDel="00000000" w:rsidR="00000000" w:rsidRPr="00000000">
          <w:rPr>
            <w:rFonts w:ascii="Arial" w:cs="Arial" w:eastAsia="Arial" w:hAnsi="Arial"/>
            <w:color w:val="1155cc"/>
            <w:sz w:val="22"/>
            <w:szCs w:val="22"/>
            <w:u w:val="single"/>
            <w:rtl w:val="0"/>
          </w:rPr>
          <w:t xml:space="preserve">https://digitalaudio.dk/st-2110-30-network-capabilities/</w:t>
        </w:r>
      </w:hyperlink>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About NTP Technology</w:t>
      </w:r>
    </w:p>
    <w:p w:rsidR="00000000" w:rsidDel="00000000" w:rsidP="00000000" w:rsidRDefault="00000000" w:rsidRPr="00000000" w14:paraId="0000000B">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NTP Technology with the brand DAD - Digital Audio Denmark (www.digitalaudio.dk), is renowned worldwide for analog-to-digital and digital-to-analog audio converters delivering outstanding flexibility and sonic performance. Based in Copenhagen, NTP is part of the Dan Technologies Group, one of Europe's leading suppliers of audio, video, transmission products and digital media solutions.</w:t>
      </w:r>
    </w:p>
    <w:sectPr>
      <w:headerReference r:id="rId12" w:type="default"/>
      <w:headerReference r:id="rId13" w:type="first"/>
      <w:headerReference r:id="rId14" w:type="even"/>
      <w:pgSz w:h="16840" w:w="11900" w:orient="portrait"/>
      <w:pgMar w:bottom="1440" w:top="1260" w:left="1440" w:right="1440" w:header="52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center" w:leader="none" w:pos="4513"/>
        <w:tab w:val="right" w:leader="none" w:pos="900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color w:val="000000"/>
      </w:rPr>
      <w:drawing>
        <wp:inline distB="0" distT="0" distL="0" distR="0">
          <wp:extent cx="1773409" cy="821824"/>
          <wp:effectExtent b="0" l="0" r="0" t="0"/>
          <wp:docPr descr="A black and gold logo&#10;&#10;Description automatically generated" id="1329982968" name="image1.png"/>
          <a:graphic>
            <a:graphicData uri="http://schemas.openxmlformats.org/drawingml/2006/picture">
              <pic:pic>
                <pic:nvPicPr>
                  <pic:cNvPr descr="A black and gold logo&#10;&#10;Description automatically generated" id="0" name="image1.png"/>
                  <pic:cNvPicPr preferRelativeResize="0"/>
                </pic:nvPicPr>
                <pic:blipFill>
                  <a:blip r:embed="rId1"/>
                  <a:srcRect b="0" l="0" r="0" t="0"/>
                  <a:stretch>
                    <a:fillRect/>
                  </a:stretch>
                </pic:blipFill>
                <pic:spPr>
                  <a:xfrm>
                    <a:off x="0" y="0"/>
                    <a:ext cx="1773409" cy="82182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Standardskrifttypeiafsn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oversigt"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0.0" w:type="dxa"/>
        <w:left w:w="0.0" w:type="dxa"/>
        <w:bottom w:w="0.0" w:type="dxa"/>
        <w:right w:w="0.0" w:type="dxa"/>
      </w:tblCellMar>
    </w:tblPr>
  </w:style>
  <w:style w:type="table" w:styleId="TableNormal4" w:customStyle="1">
    <w:name w:val="TableNormal"/>
    <w:tblPr>
      <w:tblCellMar>
        <w:top w:w="0.0" w:type="dxa"/>
        <w:left w:w="0.0" w:type="dxa"/>
        <w:bottom w:w="0.0" w:type="dxa"/>
        <w:right w:w="0.0" w:type="dxa"/>
      </w:tblCellMar>
    </w:tblPr>
  </w:style>
  <w:style w:type="table" w:styleId="TableNormal5" w:customStyle="1">
    <w:name w:val="TableNormal"/>
    <w:tblPr>
      <w:tblCellMar>
        <w:top w:w="0.0" w:type="dxa"/>
        <w:left w:w="0.0" w:type="dxa"/>
        <w:bottom w:w="0.0" w:type="dxa"/>
        <w:right w:w="0.0" w:type="dxa"/>
      </w:tblCellMar>
    </w:tblPr>
  </w:style>
  <w:style w:type="table" w:styleId="TableNormal6" w:customStyle="1">
    <w:name w:val="TableNormal"/>
    <w:tblPr>
      <w:tblCellMar>
        <w:top w:w="0.0" w:type="dxa"/>
        <w:left w:w="0.0" w:type="dxa"/>
        <w:bottom w:w="0.0" w:type="dxa"/>
        <w:right w:w="0.0" w:type="dxa"/>
      </w:tblCellMar>
    </w:tblPr>
  </w:style>
  <w:style w:type="table" w:styleId="TableNormal7" w:customStyle="1">
    <w:name w:val="TableNormal"/>
    <w:tblPr>
      <w:tblCellMar>
        <w:top w:w="0.0" w:type="dxa"/>
        <w:left w:w="0.0" w:type="dxa"/>
        <w:bottom w:w="0.0" w:type="dxa"/>
        <w:right w:w="0.0" w:type="dxa"/>
      </w:tblCellMar>
    </w:tblPr>
  </w:style>
  <w:style w:type="character" w:styleId="Hyperlink">
    <w:name w:val="Hyperlink"/>
    <w:rPr>
      <w:u w:val="single"/>
    </w:rPr>
  </w:style>
  <w:style w:type="paragraph" w:styleId="Body" w:customStyle="1">
    <w:name w:val="Body"/>
    <w:rPr>
      <w:rFonts w:cs="Arial Unicode MS"/>
      <w:color w:val="000000"/>
      <w:u w:color="000000"/>
      <w:lang w:val="it-IT"/>
      <w14:textOutline w14:cap="flat" w14:cmpd="sng" w14:algn="ctr">
        <w14:noFill/>
        <w14:prstDash w14:val="solid"/>
        <w14:bevel/>
      </w14:textOutline>
    </w:rPr>
  </w:style>
  <w:style w:type="paragraph" w:styleId="HeaderFooter" w:customStyle="1">
    <w:name w:val="Header &amp; Footer"/>
    <w:pPr>
      <w:tabs>
        <w:tab w:val="right" w:pos="9020"/>
      </w:tabs>
    </w:pPr>
    <w:rPr>
      <w:rFonts w:ascii="Helvetica Neue" w:cs="Helvetica Neue" w:eastAsia="Helvetica Neue" w:hAnsi="Helvetica Neue"/>
      <w:color w:val="000000"/>
      <w14:textOutline w14:cap="flat" w14:cmpd="sng" w14:algn="ctr">
        <w14:noFill/>
        <w14:prstDash w14:val="solid"/>
        <w14:bevel/>
      </w14:textOutline>
    </w:rPr>
  </w:style>
  <w:style w:type="paragraph" w:styleId="Heading" w:customStyle="1">
    <w:name w:val="Heading"/>
    <w:next w:val="Body"/>
    <w:pPr>
      <w:keepNext w:val="1"/>
      <w:keepLines w:val="1"/>
      <w:spacing w:after="120" w:before="480"/>
      <w:outlineLvl w:val="0"/>
    </w:pPr>
    <w:rPr>
      <w:b w:val="1"/>
      <w:bCs w:val="1"/>
      <w:color w:val="000000"/>
      <w:sz w:val="48"/>
      <w:szCs w:val="48"/>
      <w:u w:color="000000"/>
      <w14:textOutline w14:cap="flat" w14:cmpd="sng" w14:algn="ctr">
        <w14:noFill/>
        <w14:prstDash w14:val="solid"/>
        <w14:bevel/>
      </w14:textOutline>
    </w:rPr>
  </w:style>
  <w:style w:type="character" w:styleId="Link" w:customStyle="1">
    <w:name w:val="Link"/>
    <w:rPr>
      <w:outline w:val="0"/>
      <w:color w:val="0000ff"/>
      <w:u w:color="0000ff" w:val="single"/>
    </w:rPr>
  </w:style>
  <w:style w:type="character" w:styleId="Hyperlink0" w:customStyle="1">
    <w:name w:val="Hyperlink.0"/>
    <w:basedOn w:val="Link"/>
    <w:rPr>
      <w:rFonts w:ascii="Times New Roman" w:cs="Times New Roman" w:eastAsia="Times New Roman" w:hAnsi="Times New Roman"/>
      <w:i w:val="1"/>
      <w:iCs w:val="1"/>
      <w:outline w:val="0"/>
      <w:color w:val="0000ff"/>
      <w:u w:color="0000ff" w:val="single"/>
    </w:rPr>
  </w:style>
  <w:style w:type="paragraph" w:styleId="Sidefod">
    <w:name w:val="footer"/>
    <w:basedOn w:val="Normal"/>
    <w:link w:val="SidefodTegn"/>
    <w:uiPriority w:val="99"/>
    <w:unhideWhenUsed w:val="1"/>
    <w:rsid w:val="00F61F12"/>
    <w:pPr>
      <w:tabs>
        <w:tab w:val="center" w:pos="4680"/>
        <w:tab w:val="right" w:pos="9360"/>
      </w:tabs>
    </w:pPr>
  </w:style>
  <w:style w:type="character" w:styleId="SidefodTegn" w:customStyle="1">
    <w:name w:val="Sidefod Tegn"/>
    <w:basedOn w:val="Standardskrifttypeiafsnit"/>
    <w:link w:val="Sidefod"/>
    <w:uiPriority w:val="99"/>
    <w:rsid w:val="00F61F12"/>
    <w:rPr>
      <w:sz w:val="24"/>
      <w:szCs w:val="24"/>
    </w:rPr>
  </w:style>
  <w:style w:type="paragraph" w:styleId="Sidehoved">
    <w:name w:val="header"/>
    <w:basedOn w:val="Normal"/>
    <w:link w:val="SidehovedTegn"/>
    <w:uiPriority w:val="99"/>
    <w:unhideWhenUsed w:val="1"/>
    <w:rsid w:val="00F61F12"/>
    <w:pPr>
      <w:tabs>
        <w:tab w:val="center" w:pos="4680"/>
        <w:tab w:val="right" w:pos="9360"/>
      </w:tabs>
    </w:pPr>
  </w:style>
  <w:style w:type="character" w:styleId="SidehovedTegn" w:customStyle="1">
    <w:name w:val="Sidehoved Tegn"/>
    <w:basedOn w:val="Standardskrifttypeiafsnit"/>
    <w:link w:val="Sidehoved"/>
    <w:uiPriority w:val="99"/>
    <w:rsid w:val="00F61F12"/>
    <w:rPr>
      <w:sz w:val="24"/>
      <w:szCs w:val="24"/>
    </w:rPr>
  </w:style>
  <w:style w:type="paragraph" w:styleId="Korrektur">
    <w:name w:val="Revision"/>
    <w:hidden w:val="1"/>
    <w:uiPriority w:val="99"/>
    <w:semiHidden w:val="1"/>
    <w:rsid w:val="000D0612"/>
  </w:style>
  <w:style w:type="character" w:styleId="Kommentarhenvisning">
    <w:name w:val="annotation reference"/>
    <w:basedOn w:val="Standardskrifttypeiafsnit"/>
    <w:uiPriority w:val="99"/>
    <w:semiHidden w:val="1"/>
    <w:unhideWhenUsed w:val="1"/>
    <w:rsid w:val="00E52EA7"/>
    <w:rPr>
      <w:sz w:val="16"/>
      <w:szCs w:val="16"/>
    </w:rPr>
  </w:style>
  <w:style w:type="paragraph" w:styleId="Kommentartekst">
    <w:name w:val="annotation text"/>
    <w:basedOn w:val="Normal"/>
    <w:link w:val="KommentartekstTegn"/>
    <w:uiPriority w:val="99"/>
    <w:semiHidden w:val="1"/>
    <w:unhideWhenUsed w:val="1"/>
    <w:rsid w:val="00E52EA7"/>
    <w:rPr>
      <w:sz w:val="20"/>
      <w:szCs w:val="20"/>
    </w:rPr>
  </w:style>
  <w:style w:type="character" w:styleId="KommentartekstTegn" w:customStyle="1">
    <w:name w:val="Kommentartekst Tegn"/>
    <w:basedOn w:val="Standardskrifttypeiafsnit"/>
    <w:link w:val="Kommentartekst"/>
    <w:uiPriority w:val="99"/>
    <w:semiHidden w:val="1"/>
    <w:rsid w:val="00E52EA7"/>
  </w:style>
  <w:style w:type="paragraph" w:styleId="Kommentaremne">
    <w:name w:val="annotation subject"/>
    <w:basedOn w:val="Kommentartekst"/>
    <w:next w:val="Kommentartekst"/>
    <w:link w:val="KommentaremneTegn"/>
    <w:uiPriority w:val="99"/>
    <w:semiHidden w:val="1"/>
    <w:unhideWhenUsed w:val="1"/>
    <w:rsid w:val="00E52EA7"/>
    <w:rPr>
      <w:b w:val="1"/>
      <w:bCs w:val="1"/>
    </w:rPr>
  </w:style>
  <w:style w:type="character" w:styleId="KommentaremneTegn" w:customStyle="1">
    <w:name w:val="Kommentaremne Tegn"/>
    <w:basedOn w:val="KommentartekstTegn"/>
    <w:link w:val="Kommentaremne"/>
    <w:uiPriority w:val="99"/>
    <w:semiHidden w:val="1"/>
    <w:rsid w:val="00E52EA7"/>
    <w:rPr>
      <w:b w:val="1"/>
      <w:bCs w:val="1"/>
    </w:rPr>
  </w:style>
  <w:style w:type="character" w:styleId="Ulstomtale">
    <w:name w:val="Unresolved Mention"/>
    <w:basedOn w:val="Standardskrifttypeiafsnit"/>
    <w:uiPriority w:val="99"/>
    <w:semiHidden w:val="1"/>
    <w:unhideWhenUsed w:val="1"/>
    <w:rsid w:val="002B7E02"/>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digitalaudio.dk/st-2110-30-network-capabilities/" TargetMode="External"/><Relationship Id="rId10" Type="http://schemas.openxmlformats.org/officeDocument/2006/relationships/hyperlink" Target="https://digitalaudio.dk/expansion-options/"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abshow.com/new-york/" TargetMode="Externa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igitalaudio.dk/" TargetMode="External"/><Relationship Id="rId8" Type="http://schemas.openxmlformats.org/officeDocument/2006/relationships/hyperlink" Target="https://digitalaudio.dk/expansion-option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L9WAJf33n9wouZlrukqz6t/jaQ==">CgMxLjAyD2lkLmpxMmt6Yzd5ZDI0MDgAciExZXB3cjNyWkllc2xFZzYwVHJRYWVvR0Znbi1WZ0RwMUc=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2026-08-17T15:12:00Z</dcterms:created>
  <dc:creator>Mikael Vest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0x0101004C878AA88FA341468500A4AF7165383B</vt:lpwstr>
  </property>
  <property fmtid="{D5CDD505-2E9C-101B-9397-08002B2CF9AE}" pid="3" name="_dlc_DocIdItemGuid">
    <vt:lpwstr>0510a194-970f-4669-b81b-4a6a64dd6b75</vt:lpwstr>
  </property>
  <property fmtid="{D5CDD505-2E9C-101B-9397-08002B2CF9AE}" pid="4" name="MediaServiceImageTags">
    <vt:lpwstr/>
  </property>
</Properties>
</file>