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85A7B5E" w:rsidP="30DBA918" w:rsidRDefault="185A7B5E" w14:paraId="13CE15F9" w14:textId="265BA99D">
      <w:pPr>
        <w:spacing w:before="299" w:beforeAutospacing="off" w:after="299" w:afterAutospacing="off"/>
        <w:jc w:val="center"/>
        <w:rPr>
          <w:rFonts w:ascii="Arial" w:hAnsi="Arial" w:eastAsia="Arial" w:cs="Arial"/>
          <w:noProof w:val="0"/>
          <w:sz w:val="24"/>
          <w:szCs w:val="24"/>
          <w:lang w:val="es-ES"/>
        </w:rPr>
      </w:pPr>
      <w:r w:rsidRPr="30DBA918" w:rsidR="185A7B5E">
        <w:rPr>
          <w:rFonts w:ascii="Arial" w:hAnsi="Arial" w:eastAsia="Arial" w:cs="Arial"/>
          <w:b w:val="1"/>
          <w:bCs w:val="1"/>
          <w:noProof w:val="0"/>
          <w:sz w:val="24"/>
          <w:szCs w:val="24"/>
          <w:lang w:val="es-ES"/>
        </w:rPr>
        <w:t>ManageEngine</w:t>
      </w:r>
      <w:r w:rsidRPr="30DBA918" w:rsidR="185A7B5E">
        <w:rPr>
          <w:rFonts w:ascii="Arial" w:hAnsi="Arial" w:eastAsia="Arial" w:cs="Arial"/>
          <w:b w:val="1"/>
          <w:bCs w:val="1"/>
          <w:noProof w:val="0"/>
          <w:sz w:val="24"/>
          <w:szCs w:val="24"/>
          <w:lang w:val="es-ES"/>
        </w:rPr>
        <w:t xml:space="preserve"> integra capacidades DEX en </w:t>
      </w:r>
      <w:r w:rsidRPr="30DBA918" w:rsidR="185A7B5E">
        <w:rPr>
          <w:rFonts w:ascii="Arial" w:hAnsi="Arial" w:eastAsia="Arial" w:cs="Arial"/>
          <w:b w:val="1"/>
          <w:bCs w:val="1"/>
          <w:noProof w:val="0"/>
          <w:sz w:val="24"/>
          <w:szCs w:val="24"/>
          <w:lang w:val="es-ES"/>
        </w:rPr>
        <w:t>Endpoint</w:t>
      </w:r>
      <w:r w:rsidRPr="30DBA918" w:rsidR="185A7B5E">
        <w:rPr>
          <w:rFonts w:ascii="Arial" w:hAnsi="Arial" w:eastAsia="Arial" w:cs="Arial"/>
          <w:b w:val="1"/>
          <w:bCs w:val="1"/>
          <w:noProof w:val="0"/>
          <w:sz w:val="24"/>
          <w:szCs w:val="24"/>
          <w:lang w:val="es-ES"/>
        </w:rPr>
        <w:t xml:space="preserve"> Central, avanzando hacia la gestión autónoma de </w:t>
      </w:r>
      <w:r w:rsidRPr="30DBA918" w:rsidR="185A7B5E">
        <w:rPr>
          <w:rFonts w:ascii="Arial" w:hAnsi="Arial" w:eastAsia="Arial" w:cs="Arial"/>
          <w:b w:val="1"/>
          <w:bCs w:val="1"/>
          <w:noProof w:val="0"/>
          <w:sz w:val="24"/>
          <w:szCs w:val="24"/>
          <w:lang w:val="es-ES"/>
        </w:rPr>
        <w:t>endpoints</w:t>
      </w:r>
      <w:r w:rsidRPr="30DBA918" w:rsidR="185A7B5E">
        <w:rPr>
          <w:rFonts w:ascii="Arial" w:hAnsi="Arial" w:eastAsia="Arial" w:cs="Arial"/>
          <w:b w:val="1"/>
          <w:bCs w:val="1"/>
          <w:noProof w:val="0"/>
          <w:sz w:val="24"/>
          <w:szCs w:val="24"/>
          <w:lang w:val="es-ES"/>
        </w:rPr>
        <w:t xml:space="preserve"> </w:t>
      </w:r>
      <w:r w:rsidRPr="30DBA918" w:rsidR="185A7B5E">
        <w:rPr>
          <w:rFonts w:ascii="Arial" w:hAnsi="Arial" w:eastAsia="Arial" w:cs="Arial"/>
          <w:noProof w:val="0"/>
          <w:sz w:val="24"/>
          <w:szCs w:val="24"/>
          <w:lang w:val="es-ES"/>
        </w:rPr>
        <w:t xml:space="preserve"> </w:t>
      </w:r>
    </w:p>
    <w:p w:rsidR="185A7B5E" w:rsidP="30DBA918" w:rsidRDefault="185A7B5E" w14:paraId="1BF316EA" w14:textId="452E0FBA">
      <w:pPr>
        <w:pStyle w:val="Normal"/>
        <w:spacing w:before="240" w:beforeAutospacing="off" w:after="240" w:afterAutospacing="off"/>
        <w:ind w:left="0"/>
        <w:jc w:val="both"/>
        <w:rPr>
          <w:rFonts w:ascii="Arial" w:hAnsi="Arial" w:eastAsia="Arial" w:cs="Arial"/>
          <w:b w:val="0"/>
          <w:bCs w:val="0"/>
          <w:i w:val="1"/>
          <w:iCs w:val="1"/>
          <w:noProof w:val="0"/>
          <w:sz w:val="22"/>
          <w:szCs w:val="22"/>
          <w:lang w:val="es-ES"/>
        </w:rPr>
      </w:pPr>
      <w:r w:rsidRPr="30DBA918" w:rsidR="185A7B5E">
        <w:rPr>
          <w:rFonts w:ascii="Arial" w:hAnsi="Arial" w:eastAsia="Arial" w:cs="Arial"/>
          <w:b w:val="0"/>
          <w:bCs w:val="0"/>
          <w:i w:val="1"/>
          <w:iCs w:val="1"/>
          <w:noProof w:val="0"/>
          <w:sz w:val="22"/>
          <w:szCs w:val="22"/>
          <w:lang w:val="es-ES"/>
        </w:rPr>
        <w:t xml:space="preserve">Las nuevas capacidades permiten a los equipos de TI resolver problemas de forma proactiva, reducir </w:t>
      </w:r>
      <w:bookmarkStart w:name="_Int_tVzRMPRh" w:id="1944854714"/>
      <w:r w:rsidRPr="30DBA918" w:rsidR="185A7B5E">
        <w:rPr>
          <w:rFonts w:ascii="Arial" w:hAnsi="Arial" w:eastAsia="Arial" w:cs="Arial"/>
          <w:b w:val="0"/>
          <w:bCs w:val="0"/>
          <w:i w:val="1"/>
          <w:iCs w:val="1"/>
          <w:noProof w:val="0"/>
          <w:sz w:val="22"/>
          <w:szCs w:val="22"/>
          <w:lang w:val="es-ES"/>
        </w:rPr>
        <w:t>tickets</w:t>
      </w:r>
      <w:bookmarkEnd w:id="1944854714"/>
      <w:r w:rsidRPr="30DBA918" w:rsidR="185A7B5E">
        <w:rPr>
          <w:rFonts w:ascii="Arial" w:hAnsi="Arial" w:eastAsia="Arial" w:cs="Arial"/>
          <w:b w:val="0"/>
          <w:bCs w:val="0"/>
          <w:i w:val="1"/>
          <w:iCs w:val="1"/>
          <w:noProof w:val="0"/>
          <w:sz w:val="22"/>
          <w:szCs w:val="22"/>
          <w:lang w:val="es-ES"/>
        </w:rPr>
        <w:t xml:space="preserve"> y garantizar experiencias fluidas para los empleados</w:t>
      </w:r>
    </w:p>
    <w:p w:rsidR="185A7B5E" w:rsidP="30DBA918" w:rsidRDefault="185A7B5E" w14:paraId="199755BC" w14:textId="27C9A5A8">
      <w:pPr>
        <w:pStyle w:val="ListParagraph"/>
        <w:numPr>
          <w:ilvl w:val="0"/>
          <w:numId w:val="1"/>
        </w:numPr>
        <w:spacing w:before="240" w:beforeAutospacing="off" w:after="240" w:afterAutospacing="off"/>
        <w:jc w:val="both"/>
        <w:rPr>
          <w:rFonts w:ascii="Arial" w:hAnsi="Arial" w:eastAsia="Arial" w:cs="Arial"/>
          <w:b w:val="0"/>
          <w:bCs w:val="0"/>
          <w:noProof w:val="0"/>
          <w:sz w:val="22"/>
          <w:szCs w:val="22"/>
          <w:lang w:val="es-ES"/>
        </w:rPr>
      </w:pPr>
      <w:r w:rsidRPr="30DBA918" w:rsidR="185A7B5E">
        <w:rPr>
          <w:rFonts w:ascii="Arial" w:hAnsi="Arial" w:eastAsia="Arial" w:cs="Arial"/>
          <w:b w:val="0"/>
          <w:bCs w:val="0"/>
          <w:noProof w:val="0"/>
          <w:sz w:val="22"/>
          <w:szCs w:val="22"/>
          <w:lang w:val="es-ES"/>
        </w:rPr>
        <w:t>Los análisis, los diagnósticos y la automatización en tiempo real ayudan a los equipos de TI a abordar problemas de rendimiento antes de que interrumpan las operaciones comerciales.</w:t>
      </w:r>
    </w:p>
    <w:p w:rsidR="185A7B5E" w:rsidP="30DBA918" w:rsidRDefault="185A7B5E" w14:paraId="257DE154" w14:textId="5DFEF98C">
      <w:pPr>
        <w:pStyle w:val="ListParagraph"/>
        <w:numPr>
          <w:ilvl w:val="0"/>
          <w:numId w:val="1"/>
        </w:numPr>
        <w:jc w:val="both"/>
        <w:rPr>
          <w:rFonts w:ascii="Arial" w:hAnsi="Arial" w:eastAsia="Arial" w:cs="Arial"/>
          <w:sz w:val="22"/>
          <w:szCs w:val="22"/>
        </w:rPr>
      </w:pPr>
      <w:r w:rsidRPr="30DBA918" w:rsidR="185A7B5E">
        <w:rPr>
          <w:rFonts w:ascii="Arial" w:hAnsi="Arial" w:eastAsia="Arial" w:cs="Arial"/>
          <w:sz w:val="22"/>
          <w:szCs w:val="22"/>
        </w:rPr>
        <w:t>La gestión, la seguridad y las capacidades de experiencia unificadas, ofrecidas en una única plataforma con un solo agente, reducen la carga operativa de las organizaciones.</w:t>
      </w:r>
    </w:p>
    <w:p w:rsidR="185A7B5E" w:rsidP="30DBA918" w:rsidRDefault="185A7B5E" w14:paraId="1D678528" w14:textId="7FB102D2">
      <w:pPr>
        <w:pStyle w:val="ListParagraph"/>
        <w:numPr>
          <w:ilvl w:val="0"/>
          <w:numId w:val="1"/>
        </w:numPr>
        <w:jc w:val="both"/>
        <w:rPr>
          <w:rFonts w:ascii="Arial" w:hAnsi="Arial" w:eastAsia="Arial" w:cs="Arial"/>
          <w:sz w:val="22"/>
          <w:szCs w:val="22"/>
        </w:rPr>
      </w:pPr>
      <w:r w:rsidRPr="30DBA918" w:rsidR="185A7B5E">
        <w:rPr>
          <w:rFonts w:ascii="Arial" w:hAnsi="Arial" w:eastAsia="Arial" w:cs="Arial"/>
          <w:sz w:val="22"/>
          <w:szCs w:val="22"/>
        </w:rPr>
        <w:t xml:space="preserve">Una prueba gratuita está disponible en </w:t>
      </w:r>
      <w:hyperlink r:id="R02697f0cc35744e6">
        <w:r w:rsidRPr="30DBA918" w:rsidR="185A7B5E">
          <w:rPr>
            <w:rStyle w:val="Hyperlink"/>
            <w:rFonts w:ascii="Arial" w:hAnsi="Arial" w:eastAsia="Arial" w:cs="Arial"/>
            <w:sz w:val="22"/>
            <w:szCs w:val="22"/>
          </w:rPr>
          <w:t>www.mnge.it/DeX</w:t>
        </w:r>
      </w:hyperlink>
    </w:p>
    <w:p w:rsidR="185A7B5E" w:rsidP="30DBA918" w:rsidRDefault="185A7B5E" w14:paraId="36913853" w14:textId="22E8325F">
      <w:pPr>
        <w:spacing w:before="240" w:beforeAutospacing="off" w:after="240" w:afterAutospacing="off"/>
        <w:jc w:val="both"/>
        <w:rPr>
          <w:rFonts w:ascii="Arial" w:hAnsi="Arial" w:eastAsia="Arial" w:cs="Arial"/>
          <w:b w:val="0"/>
          <w:bCs w:val="0"/>
          <w:noProof w:val="0"/>
          <w:sz w:val="22"/>
          <w:szCs w:val="22"/>
          <w:lang w:val="es-ES"/>
        </w:rPr>
      </w:pPr>
      <w:r w:rsidRPr="30DBA918" w:rsidR="185A7B5E">
        <w:rPr>
          <w:rFonts w:ascii="Arial" w:hAnsi="Arial" w:eastAsia="Arial" w:cs="Arial"/>
          <w:b w:val="1"/>
          <w:bCs w:val="1"/>
          <w:noProof w:val="0"/>
          <w:sz w:val="22"/>
          <w:szCs w:val="22"/>
          <w:lang w:val="es-ES"/>
        </w:rPr>
        <w:t>AUSTIN, Texas</w:t>
      </w:r>
      <w:r w:rsidRPr="30DBA918" w:rsidR="7A917016">
        <w:rPr>
          <w:rFonts w:ascii="Arial" w:hAnsi="Arial" w:eastAsia="Arial" w:cs="Arial"/>
          <w:b w:val="0"/>
          <w:bCs w:val="0"/>
          <w:noProof w:val="0"/>
          <w:sz w:val="22"/>
          <w:szCs w:val="22"/>
          <w:lang w:val="es-ES"/>
        </w:rPr>
        <w:t xml:space="preserve">- </w:t>
      </w:r>
      <w:r w:rsidRPr="30DBA918" w:rsidR="6D4DAFC2">
        <w:rPr>
          <w:rFonts w:ascii="Arial" w:hAnsi="Arial" w:eastAsia="Arial" w:cs="Arial"/>
          <w:b w:val="0"/>
          <w:bCs w:val="0"/>
          <w:noProof w:val="0"/>
          <w:sz w:val="22"/>
          <w:szCs w:val="22"/>
          <w:lang w:val="es-ES"/>
        </w:rPr>
        <w:t>ManageEngine</w:t>
      </w:r>
      <w:r w:rsidRPr="30DBA918" w:rsidR="6D4DAFC2">
        <w:rPr>
          <w:rFonts w:ascii="Arial" w:hAnsi="Arial" w:eastAsia="Arial" w:cs="Arial"/>
          <w:b w:val="0"/>
          <w:bCs w:val="0"/>
          <w:noProof w:val="0"/>
          <w:sz w:val="22"/>
          <w:szCs w:val="22"/>
          <w:lang w:val="es-ES"/>
        </w:rPr>
        <w:t xml:space="preserve">, una división de Zoho </w:t>
      </w:r>
      <w:r w:rsidRPr="30DBA918" w:rsidR="6D4DAFC2">
        <w:rPr>
          <w:rFonts w:ascii="Arial" w:hAnsi="Arial" w:eastAsia="Arial" w:cs="Arial"/>
          <w:b w:val="0"/>
          <w:bCs w:val="0"/>
          <w:noProof w:val="0"/>
          <w:sz w:val="22"/>
          <w:szCs w:val="22"/>
          <w:lang w:val="es-ES"/>
        </w:rPr>
        <w:t>Corporation</w:t>
      </w:r>
      <w:r w:rsidRPr="30DBA918" w:rsidR="6D4DAFC2">
        <w:rPr>
          <w:rFonts w:ascii="Arial" w:hAnsi="Arial" w:eastAsia="Arial" w:cs="Arial"/>
          <w:b w:val="0"/>
          <w:bCs w:val="0"/>
          <w:noProof w:val="0"/>
          <w:sz w:val="22"/>
          <w:szCs w:val="22"/>
          <w:lang w:val="es-ES"/>
        </w:rPr>
        <w:t xml:space="preserve"> y proveedor líder de soluciones de gestión de TI empresarial, anunció hoy la incorporación de capacidades de experiencia digital del empleado (DEX) en </w:t>
      </w:r>
      <w:r w:rsidRPr="30DBA918" w:rsidR="6D4DAFC2">
        <w:rPr>
          <w:rFonts w:ascii="Arial" w:hAnsi="Arial" w:eastAsia="Arial" w:cs="Arial"/>
          <w:b w:val="0"/>
          <w:bCs w:val="0"/>
          <w:noProof w:val="0"/>
          <w:sz w:val="22"/>
          <w:szCs w:val="22"/>
          <w:lang w:val="es-ES"/>
        </w:rPr>
        <w:t>Endpoint</w:t>
      </w:r>
      <w:r w:rsidRPr="30DBA918" w:rsidR="6D4DAFC2">
        <w:rPr>
          <w:rFonts w:ascii="Arial" w:hAnsi="Arial" w:eastAsia="Arial" w:cs="Arial"/>
          <w:b w:val="0"/>
          <w:bCs w:val="0"/>
          <w:noProof w:val="0"/>
          <w:sz w:val="22"/>
          <w:szCs w:val="22"/>
          <w:lang w:val="es-ES"/>
        </w:rPr>
        <w:t xml:space="preserve"> Central, su plataforma unificada de gestión y seguridad de </w:t>
      </w:r>
      <w:r w:rsidRPr="30DBA918" w:rsidR="6D4DAFC2">
        <w:rPr>
          <w:rFonts w:ascii="Arial" w:hAnsi="Arial" w:eastAsia="Arial" w:cs="Arial"/>
          <w:b w:val="0"/>
          <w:bCs w:val="0"/>
          <w:noProof w:val="0"/>
          <w:sz w:val="22"/>
          <w:szCs w:val="22"/>
          <w:lang w:val="es-ES"/>
        </w:rPr>
        <w:t>endpoints</w:t>
      </w:r>
      <w:r w:rsidRPr="30DBA918" w:rsidR="6D4DAFC2">
        <w:rPr>
          <w:rFonts w:ascii="Arial" w:hAnsi="Arial" w:eastAsia="Arial" w:cs="Arial"/>
          <w:b w:val="0"/>
          <w:bCs w:val="0"/>
          <w:noProof w:val="0"/>
          <w:sz w:val="22"/>
          <w:szCs w:val="22"/>
          <w:lang w:val="es-ES"/>
        </w:rPr>
        <w:t xml:space="preserve">. Esta mejora estratégica, es un paso hacia la gestión autónoma de </w:t>
      </w:r>
      <w:r w:rsidRPr="30DBA918" w:rsidR="6D4DAFC2">
        <w:rPr>
          <w:rFonts w:ascii="Arial" w:hAnsi="Arial" w:eastAsia="Arial" w:cs="Arial"/>
          <w:b w:val="0"/>
          <w:bCs w:val="0"/>
          <w:noProof w:val="0"/>
          <w:sz w:val="22"/>
          <w:szCs w:val="22"/>
          <w:lang w:val="es-ES"/>
        </w:rPr>
        <w:t>endpoints</w:t>
      </w:r>
      <w:r w:rsidRPr="30DBA918" w:rsidR="6D4DAFC2">
        <w:rPr>
          <w:rFonts w:ascii="Arial" w:hAnsi="Arial" w:eastAsia="Arial" w:cs="Arial"/>
          <w:b w:val="0"/>
          <w:bCs w:val="0"/>
          <w:noProof w:val="0"/>
          <w:sz w:val="22"/>
          <w:szCs w:val="22"/>
          <w:lang w:val="es-ES"/>
        </w:rPr>
        <w:t xml:space="preserve">, aborda la creciente necesidad de que los equipos de TI ofrezcan una mejor experiencia a los empleados, además de gestionar y proteger los dispositivos. A través de este lanzamiento, </w:t>
      </w:r>
      <w:r w:rsidRPr="30DBA918" w:rsidR="6D4DAFC2">
        <w:rPr>
          <w:rFonts w:ascii="Arial" w:hAnsi="Arial" w:eastAsia="Arial" w:cs="Arial"/>
          <w:b w:val="0"/>
          <w:bCs w:val="0"/>
          <w:noProof w:val="0"/>
          <w:sz w:val="22"/>
          <w:szCs w:val="22"/>
          <w:lang w:val="es-ES"/>
        </w:rPr>
        <w:t>ManageEngine</w:t>
      </w:r>
      <w:r w:rsidRPr="30DBA918" w:rsidR="6D4DAFC2">
        <w:rPr>
          <w:rFonts w:ascii="Arial" w:hAnsi="Arial" w:eastAsia="Arial" w:cs="Arial"/>
          <w:b w:val="0"/>
          <w:bCs w:val="0"/>
          <w:noProof w:val="0"/>
          <w:sz w:val="22"/>
          <w:szCs w:val="22"/>
          <w:lang w:val="es-ES"/>
        </w:rPr>
        <w:t xml:space="preserve"> tiene como objetivo permitir a las organizaciones cumplir con los requisitos del trabajo moderno sin añadir complejidad.</w:t>
      </w:r>
    </w:p>
    <w:p w:rsidR="6D4DAFC2" w:rsidP="30DBA918" w:rsidRDefault="6D4DAFC2" w14:paraId="50DC2D04" w14:textId="044F5919">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 xml:space="preserve">La productividad de los empleados ahora depende más que nunca del rendimiento de los dispositivos y las aplicaciones. Según la Encuesta de Trabajadores Digitales de Gartner® de 2024, casi el 90% de los encuestados está de acuerdo en que la tecnología digital proporcionada por sus organizaciones les ha permitido realizar sus tareas laborales de manera eficiente. Sin embargo, problemas como demoras en los tiempos de </w:t>
      </w:r>
      <w:r w:rsidRPr="30DBA918" w:rsidR="6D4DAFC2">
        <w:rPr>
          <w:rFonts w:ascii="Arial" w:hAnsi="Arial" w:eastAsia="Arial" w:cs="Arial"/>
          <w:b w:val="0"/>
          <w:bCs w:val="0"/>
          <w:noProof w:val="0"/>
          <w:sz w:val="22"/>
          <w:szCs w:val="22"/>
          <w:lang w:val="es-ES"/>
        </w:rPr>
        <w:t>arranque,</w:t>
      </w:r>
      <w:r w:rsidRPr="30DBA918" w:rsidR="6D4DAFC2">
        <w:rPr>
          <w:rFonts w:ascii="Arial" w:hAnsi="Arial" w:eastAsia="Arial" w:cs="Arial"/>
          <w:b w:val="0"/>
          <w:bCs w:val="0"/>
          <w:noProof w:val="0"/>
          <w:sz w:val="22"/>
          <w:szCs w:val="22"/>
          <w:lang w:val="es-ES"/>
        </w:rPr>
        <w:t xml:space="preserve"> fallas de aplicaciones o inicios de sesión lentos a menudo pasan desapercibidos hasta que interrumpen significativamente las operaciones. Sin una visibilidad adecuada, los equipos de TI son alertados de estos problemas solo cuando los empleados envían </w:t>
      </w:r>
      <w:r w:rsidRPr="30DBA918" w:rsidR="6D4DAFC2">
        <w:rPr>
          <w:rFonts w:ascii="Arial" w:hAnsi="Arial" w:eastAsia="Arial" w:cs="Arial"/>
          <w:b w:val="0"/>
          <w:bCs w:val="0"/>
          <w:noProof w:val="0"/>
          <w:sz w:val="22"/>
          <w:szCs w:val="22"/>
          <w:lang w:val="es-ES"/>
        </w:rPr>
        <w:t>tickets</w:t>
      </w:r>
      <w:r w:rsidRPr="30DBA918" w:rsidR="6D4DAFC2">
        <w:rPr>
          <w:rFonts w:ascii="Arial" w:hAnsi="Arial" w:eastAsia="Arial" w:cs="Arial"/>
          <w:b w:val="0"/>
          <w:bCs w:val="0"/>
          <w:noProof w:val="0"/>
          <w:sz w:val="22"/>
          <w:szCs w:val="22"/>
          <w:lang w:val="es-ES"/>
        </w:rPr>
        <w:t xml:space="preserve"> de soporte, momento en el que los problemas son más difíciles y costosos de resolver.</w:t>
      </w:r>
    </w:p>
    <w:p w:rsidR="6D4DAFC2" w:rsidP="30DBA918" w:rsidRDefault="6D4DAFC2" w14:paraId="7257E34C" w14:textId="01FD5170">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“El trabajo híbrido ha hecho que la experiencia digital sea un factor determinante en la productividad y retención de los empleados”, dijo Chirag Mehta, vicepresidente y analista principal de Constellation Research. “Los compradores buscan visibilidad y automatización integradas que permitan a los equipos de TI pasar del soporte reactivo al compromiso proactivo”.</w:t>
      </w:r>
    </w:p>
    <w:p w:rsidR="6D4DAFC2" w:rsidP="30DBA918" w:rsidRDefault="6D4DAFC2" w14:paraId="54A0DB1C" w14:textId="42E39477">
      <w:pPr>
        <w:pStyle w:val="Normal"/>
        <w:spacing w:before="240" w:beforeAutospacing="off" w:after="240" w:afterAutospacing="off"/>
        <w:jc w:val="both"/>
        <w:rPr>
          <w:rFonts w:ascii="Arial" w:hAnsi="Arial" w:eastAsia="Arial" w:cs="Arial"/>
          <w:b w:val="1"/>
          <w:bCs w:val="1"/>
          <w:noProof w:val="0"/>
          <w:sz w:val="22"/>
          <w:szCs w:val="22"/>
          <w:lang w:val="es-ES"/>
        </w:rPr>
      </w:pPr>
      <w:r w:rsidRPr="30DBA918" w:rsidR="6D4DAFC2">
        <w:rPr>
          <w:rFonts w:ascii="Arial" w:hAnsi="Arial" w:eastAsia="Arial" w:cs="Arial"/>
          <w:b w:val="1"/>
          <w:bCs w:val="1"/>
          <w:noProof w:val="0"/>
          <w:sz w:val="22"/>
          <w:szCs w:val="22"/>
          <w:lang w:val="es-ES"/>
        </w:rPr>
        <w:t xml:space="preserve">Transformando datos brutos en </w:t>
      </w:r>
      <w:r w:rsidRPr="30DBA918" w:rsidR="6D4DAFC2">
        <w:rPr>
          <w:rFonts w:ascii="Arial" w:hAnsi="Arial" w:eastAsia="Arial" w:cs="Arial"/>
          <w:b w:val="1"/>
          <w:bCs w:val="1"/>
          <w:noProof w:val="0"/>
          <w:sz w:val="22"/>
          <w:szCs w:val="22"/>
          <w:lang w:val="es-ES"/>
        </w:rPr>
        <w:t>insights</w:t>
      </w:r>
      <w:r w:rsidRPr="30DBA918" w:rsidR="6D4DAFC2">
        <w:rPr>
          <w:rFonts w:ascii="Arial" w:hAnsi="Arial" w:eastAsia="Arial" w:cs="Arial"/>
          <w:b w:val="1"/>
          <w:bCs w:val="1"/>
          <w:noProof w:val="0"/>
          <w:sz w:val="22"/>
          <w:szCs w:val="22"/>
          <w:lang w:val="es-ES"/>
        </w:rPr>
        <w:t xml:space="preserve"> accionables  </w:t>
      </w:r>
    </w:p>
    <w:p w:rsidR="6D4DAFC2" w:rsidP="30DBA918" w:rsidRDefault="6D4DAFC2" w14:paraId="7270B31D" w14:textId="6899383E">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Las nuevas capacidades DEX se basan en la telemetría y las funciones de remediación de Endpoint Central al transformar datos de rendimiento brutos en análisis de experiencia accionables. Al unir la monitorización, el diagnóstico y la remediación automatizada en una única plataforma, Endpoint Central elimina la necesidad de múltiples herramientas independientes, reduciendo la complejidad y permitiendo a los equipos de TI pasar directamente de la visibilidad a la resolución.</w:t>
      </w:r>
    </w:p>
    <w:p w:rsidR="6D4DAFC2" w:rsidP="30DBA918" w:rsidRDefault="6D4DAFC2" w14:paraId="132B58D7" w14:textId="3EB0274D">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Las características clave incluyen:</w:t>
      </w:r>
    </w:p>
    <w:p w:rsidR="6D4DAFC2" w:rsidP="30DBA918" w:rsidRDefault="6D4DAFC2" w14:paraId="61E26C2B" w14:textId="35CD1047">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Monitorización y análisis de la experiencia: Monitorea continuamente picos de CPU, alto uso de memoria, problemas de disco y más para detectar signos tempranos de fricción.</w:t>
      </w:r>
    </w:p>
    <w:p w:rsidR="6D4DAFC2" w:rsidP="30DBA918" w:rsidRDefault="6D4DAFC2" w14:paraId="698E3CD2" w14:textId="7C9467AB">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Análisis y causa raíz: Correlaciona los signos de bajo rendimiento con causas como el desgaste del hardware o aplicaciones que consumen muchos recursos, acelerando la resolución de problemas.</w:t>
      </w:r>
    </w:p>
    <w:p w:rsidR="6D4DAFC2" w:rsidP="30DBA918" w:rsidRDefault="6D4DAFC2" w14:paraId="7C27444F" w14:textId="3E40EB56">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Alertas priorizadas y flujos de trabajo de remediación: Clasifica los problemas por su gravedad y permite la remediación con un solo clic o de forma automatizada a través de una biblioteca de acciones incorporada o flujos de trabajo definidos por el usuario.</w:t>
      </w:r>
    </w:p>
    <w:p w:rsidR="6D4DAFC2" w:rsidP="30DBA918" w:rsidRDefault="6D4DAFC2" w14:paraId="258041F0" w14:textId="5F7D4C7D">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Puntuación y benchmarking de la experiencia: Califica los dispositivos y aplicaciones según métricas de rendimiento y estabilidad, permitiendo a los equipos de TI comparar los resultados con las líneas base de la organización y seguir el progreso de los esfuerzos de remediación y la salud general de los endpoints a lo largo del tiempo.</w:t>
      </w:r>
    </w:p>
    <w:p w:rsidR="6D4DAFC2" w:rsidP="30DBA918" w:rsidRDefault="6D4DAFC2" w14:paraId="404D880F" w14:textId="49190287">
      <w:pPr>
        <w:pStyle w:val="Normal"/>
        <w:spacing w:before="240" w:beforeAutospacing="off" w:after="240" w:afterAutospacing="off"/>
        <w:jc w:val="both"/>
        <w:rPr>
          <w:rFonts w:ascii="Arial" w:hAnsi="Arial" w:eastAsia="Arial" w:cs="Arial"/>
          <w:b w:val="1"/>
          <w:bCs w:val="1"/>
          <w:noProof w:val="0"/>
          <w:sz w:val="22"/>
          <w:szCs w:val="22"/>
          <w:lang w:val="es-ES"/>
        </w:rPr>
      </w:pPr>
      <w:r w:rsidRPr="30DBA918" w:rsidR="6D4DAFC2">
        <w:rPr>
          <w:rFonts w:ascii="Arial" w:hAnsi="Arial" w:eastAsia="Arial" w:cs="Arial"/>
          <w:b w:val="1"/>
          <w:bCs w:val="1"/>
          <w:noProof w:val="0"/>
          <w:sz w:val="22"/>
          <w:szCs w:val="22"/>
          <w:lang w:val="es-ES"/>
        </w:rPr>
        <w:t xml:space="preserve">Mirando hacia el futuro  </w:t>
      </w:r>
    </w:p>
    <w:p w:rsidR="6D4DAFC2" w:rsidP="30DBA918" w:rsidRDefault="6D4DAFC2" w14:paraId="79975BFE" w14:textId="31A4FD98">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Las futuras versiones mejorarán los análisis predictivos, ampliarán la automatización resolutiva y aplicarán inteligencia artificial contextual en la telemetría y los flujos de trabajo. ManageEngine también fortalecerá los controles proactivos, ampliará las integraciones del ecosistema y garantizará que la plataforma se adapte a las necesidades cambiantes del lugar de trabajo.</w:t>
      </w:r>
    </w:p>
    <w:p w:rsidR="6D4DAFC2" w:rsidP="30DBA918" w:rsidRDefault="6D4DAFC2" w14:paraId="5F2060D9" w14:textId="039151A8">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“Nuestro objetivo principal es la gestión autónoma de endpoints, entregada a través de una plataforma unificada que garantice de forma proactiva que todos los endpoints cumplan con las políticas, mantengan un rendimiento óptimo y permanezcan seguros, con la intervención de TI requerida solo en casos excepcionales”, dijo Mathivanan Venkatachalam, vicepresidente de ManageEngine. “Ya hemos consolidado las capacidades de gestión, seguridad y experiencia dentro de nuestra plataforma, y continuamos expandiendo su alcance con cada lanzamiento. La gestión de DEX es uno de los pilares principales que nos acerca a esta visión”.</w:t>
      </w:r>
    </w:p>
    <w:p w:rsidR="6D4DAFC2" w:rsidP="30DBA918" w:rsidRDefault="6D4DAFC2" w14:paraId="7A0846EF" w14:textId="2AAD2658">
      <w:pPr>
        <w:pStyle w:val="Normal"/>
        <w:spacing w:before="240" w:beforeAutospacing="off" w:after="240" w:afterAutospacing="off"/>
        <w:jc w:val="both"/>
        <w:rPr>
          <w:rFonts w:ascii="Arial" w:hAnsi="Arial" w:eastAsia="Arial" w:cs="Arial"/>
          <w:b w:val="1"/>
          <w:bCs w:val="1"/>
          <w:noProof w:val="0"/>
          <w:sz w:val="22"/>
          <w:szCs w:val="22"/>
          <w:lang w:val="es-ES"/>
        </w:rPr>
      </w:pPr>
      <w:r w:rsidRPr="30DBA918" w:rsidR="6D4DAFC2">
        <w:rPr>
          <w:rFonts w:ascii="Arial" w:hAnsi="Arial" w:eastAsia="Arial" w:cs="Arial"/>
          <w:b w:val="1"/>
          <w:bCs w:val="1"/>
          <w:noProof w:val="0"/>
          <w:sz w:val="22"/>
          <w:szCs w:val="22"/>
          <w:lang w:val="es-ES"/>
        </w:rPr>
        <w:t xml:space="preserve">Precios y disponibilidad  </w:t>
      </w:r>
    </w:p>
    <w:p w:rsidR="6D4DAFC2" w:rsidP="30DBA918" w:rsidRDefault="6D4DAFC2" w14:paraId="338DC1B8" w14:textId="4A1F834F">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 xml:space="preserve">Las nuevas capacidades DEX están disponibles de inmediato como un producto SaaS independiente llamado DEX Manager Plus o como un complemento para Endpoint Central. Las soluciones están disponibles a nivel mundial y están diseñadas para organizaciones de todos los tamaños, e integradores de sistemas globales. Una prueba gratuita está disponible en </w:t>
      </w:r>
      <w:hyperlink r:id="Rc433d095262c4113">
        <w:r w:rsidRPr="30DBA918" w:rsidR="6D4DAFC2">
          <w:rPr>
            <w:rStyle w:val="Hyperlink"/>
            <w:rFonts w:ascii="Arial" w:hAnsi="Arial" w:eastAsia="Arial" w:cs="Arial"/>
            <w:b w:val="0"/>
            <w:bCs w:val="0"/>
            <w:noProof w:val="0"/>
            <w:sz w:val="22"/>
            <w:szCs w:val="22"/>
            <w:lang w:val="es-ES"/>
          </w:rPr>
          <w:t>www.mnge.it/DeX</w:t>
        </w:r>
      </w:hyperlink>
      <w:r w:rsidRPr="30DBA918" w:rsidR="6D4DAFC2">
        <w:rPr>
          <w:rFonts w:ascii="Arial" w:hAnsi="Arial" w:eastAsia="Arial" w:cs="Arial"/>
          <w:b w:val="0"/>
          <w:bCs w:val="0"/>
          <w:noProof w:val="0"/>
          <w:sz w:val="22"/>
          <w:szCs w:val="22"/>
          <w:lang w:val="es-ES"/>
        </w:rPr>
        <w:t>.</w:t>
      </w:r>
    </w:p>
    <w:p w:rsidR="30DBA918" w:rsidP="30DBA918" w:rsidRDefault="30DBA918" w14:paraId="325A72A7" w14:textId="149E978B">
      <w:pPr>
        <w:pStyle w:val="Normal"/>
        <w:spacing w:before="240" w:beforeAutospacing="off" w:after="240" w:afterAutospacing="off"/>
        <w:jc w:val="both"/>
        <w:rPr>
          <w:rFonts w:ascii="Arial" w:hAnsi="Arial" w:eastAsia="Arial" w:cs="Arial"/>
          <w:b w:val="0"/>
          <w:bCs w:val="0"/>
          <w:noProof w:val="0"/>
          <w:sz w:val="22"/>
          <w:szCs w:val="22"/>
          <w:lang w:val="es-ES"/>
        </w:rPr>
      </w:pPr>
    </w:p>
    <w:p w:rsidR="6D4DAFC2" w:rsidP="30DBA918" w:rsidRDefault="6D4DAFC2" w14:paraId="7CE85CAF" w14:textId="1048E9FE">
      <w:pPr>
        <w:pStyle w:val="Normal"/>
        <w:spacing w:before="240" w:beforeAutospacing="off" w:after="240" w:afterAutospacing="off"/>
        <w:jc w:val="both"/>
        <w:rPr>
          <w:rFonts w:ascii="Arial" w:hAnsi="Arial" w:eastAsia="Arial" w:cs="Arial"/>
          <w:b w:val="1"/>
          <w:bCs w:val="1"/>
          <w:noProof w:val="0"/>
          <w:sz w:val="22"/>
          <w:szCs w:val="22"/>
          <w:lang w:val="es-ES"/>
        </w:rPr>
      </w:pPr>
      <w:r w:rsidRPr="30DBA918" w:rsidR="6D4DAFC2">
        <w:rPr>
          <w:rFonts w:ascii="Arial" w:hAnsi="Arial" w:eastAsia="Arial" w:cs="Arial"/>
          <w:b w:val="1"/>
          <w:bCs w:val="1"/>
          <w:noProof w:val="0"/>
          <w:sz w:val="22"/>
          <w:szCs w:val="22"/>
          <w:lang w:val="es-ES"/>
        </w:rPr>
        <w:t xml:space="preserve">Acerca de DEX Manager Plus  </w:t>
      </w:r>
    </w:p>
    <w:p w:rsidR="6D4DAFC2" w:rsidP="30DBA918" w:rsidRDefault="6D4DAFC2" w14:paraId="1BC7F55D" w14:textId="5EADFE79">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ManageEngine DEX Manager Plus es una solución de experiencia digital del empleado (DEX) basada en la nube que ayuda a los equipos de TI a monitorizar, diagnosticar y remediar problemas de rendimiento de los endpoints de forma proactiva. Ofrece telemetría en tiempo real, análisis de experiencia y remediación automatizada para reducir tickets, mejorar la productividad y aumentar la satisfacción de los empleados en los lugares de trabajo híbridos.</w:t>
      </w:r>
    </w:p>
    <w:p w:rsidR="6D4DAFC2" w:rsidP="30DBA918" w:rsidRDefault="6D4DAFC2" w14:paraId="7990122B" w14:textId="5B6E1C6C">
      <w:pPr>
        <w:pStyle w:val="Normal"/>
        <w:spacing w:before="240" w:beforeAutospacing="off" w:after="240" w:afterAutospacing="off"/>
        <w:jc w:val="both"/>
        <w:rPr>
          <w:rFonts w:ascii="Arial" w:hAnsi="Arial" w:eastAsia="Arial" w:cs="Arial"/>
          <w:b w:val="1"/>
          <w:bCs w:val="1"/>
          <w:noProof w:val="0"/>
          <w:sz w:val="22"/>
          <w:szCs w:val="22"/>
          <w:lang w:val="es-ES"/>
        </w:rPr>
      </w:pPr>
      <w:r w:rsidRPr="30DBA918" w:rsidR="6D4DAFC2">
        <w:rPr>
          <w:rFonts w:ascii="Arial" w:hAnsi="Arial" w:eastAsia="Arial" w:cs="Arial"/>
          <w:b w:val="1"/>
          <w:bCs w:val="1"/>
          <w:noProof w:val="0"/>
          <w:sz w:val="22"/>
          <w:szCs w:val="22"/>
          <w:lang w:val="es-ES"/>
        </w:rPr>
        <w:t xml:space="preserve">Acerca de </w:t>
      </w:r>
      <w:r w:rsidRPr="30DBA918" w:rsidR="6D4DAFC2">
        <w:rPr>
          <w:rFonts w:ascii="Arial" w:hAnsi="Arial" w:eastAsia="Arial" w:cs="Arial"/>
          <w:b w:val="1"/>
          <w:bCs w:val="1"/>
          <w:noProof w:val="0"/>
          <w:sz w:val="22"/>
          <w:szCs w:val="22"/>
          <w:lang w:val="es-ES"/>
        </w:rPr>
        <w:t>Endpoint</w:t>
      </w:r>
      <w:r w:rsidRPr="30DBA918" w:rsidR="6D4DAFC2">
        <w:rPr>
          <w:rFonts w:ascii="Arial" w:hAnsi="Arial" w:eastAsia="Arial" w:cs="Arial"/>
          <w:b w:val="1"/>
          <w:bCs w:val="1"/>
          <w:noProof w:val="0"/>
          <w:sz w:val="22"/>
          <w:szCs w:val="22"/>
          <w:lang w:val="es-ES"/>
        </w:rPr>
        <w:t xml:space="preserve"> Central  </w:t>
      </w:r>
    </w:p>
    <w:p w:rsidR="6D4DAFC2" w:rsidP="30DBA918" w:rsidRDefault="6D4DAFC2" w14:paraId="27152F05" w14:textId="50A320C6">
      <w:pPr>
        <w:pStyle w:val="Normal"/>
        <w:spacing w:before="240" w:beforeAutospacing="off" w:after="240" w:afterAutospacing="off"/>
        <w:jc w:val="both"/>
      </w:pPr>
      <w:r w:rsidRPr="30DBA918" w:rsidR="6D4DAFC2">
        <w:rPr>
          <w:rFonts w:ascii="Arial" w:hAnsi="Arial" w:eastAsia="Arial" w:cs="Arial"/>
          <w:b w:val="0"/>
          <w:bCs w:val="0"/>
          <w:noProof w:val="0"/>
          <w:sz w:val="22"/>
          <w:szCs w:val="22"/>
          <w:lang w:val="es-ES"/>
        </w:rPr>
        <w:t>Endpoint Central es una solución UEM y EPP que gestiona y protege el lugar de trabajo digital actual en diversos tipos de dispositivos y sistemas operativos. Aclamado por analistas de la industria como Gartner®, Forrester e IDC, utiliza un único agente ligero para ofrecer una gestión completa del ciclo de vida de los dispositivos, consolidada con capacidades de seguridad como la gestión de la superficie de ataque, la detección y respuesta a amenazas, y el cumplimiento. Las sólidas funciones de solución de problemas remotos, autoservicio y análisis proactivos ayudan a reducir el tiempo de inactividad y a mejorar la experiencia general del usuario final. Disponible tanto en las instalaciones como como solución SaaS, Endpoint Central es utilizado por más de 25,000 empresas en todo el mundo, encajando perfectamente en sus infraestructuras de TI existentes y permitiendo la interoperabilidad. Para obtener más información, visita manageengine.com/endpoint-central.</w:t>
      </w:r>
    </w:p>
    <w:p w:rsidR="30DBA918" w:rsidP="30DBA918" w:rsidRDefault="30DBA918" w14:paraId="19CB1225" w14:textId="41E3F8FE">
      <w:pPr>
        <w:spacing w:before="240" w:beforeAutospacing="off" w:after="240" w:afterAutospacing="off"/>
        <w:jc w:val="both"/>
        <w:rPr>
          <w:rFonts w:ascii="Arial" w:hAnsi="Arial" w:eastAsia="Arial" w:cs="Arial"/>
          <w:b w:val="0"/>
          <w:bCs w:val="0"/>
          <w:noProof w:val="0"/>
          <w:sz w:val="22"/>
          <w:szCs w:val="22"/>
          <w:lang w:val="es-ES"/>
        </w:rPr>
      </w:pPr>
    </w:p>
    <w:sectPr>
      <w:pgSz w:w="11906" w:h="16838" w:orient="portrait"/>
      <w:pgMar w:top="1440" w:right="1440" w:bottom="1440" w:left="1440" w:header="720" w:footer="720" w:gutter="0"/>
      <w:cols w:space="720"/>
      <w:docGrid w:linePitch="360"/>
      <w:headerReference w:type="default" r:id="R61217d07deeb4890"/>
      <w:footerReference w:type="default" r:id="R6960437f8e3047b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D38993" w:rsidTr="2FD38993" w14:paraId="3C7D963F">
      <w:trPr>
        <w:trHeight w:val="300"/>
      </w:trPr>
      <w:tc>
        <w:tcPr>
          <w:tcW w:w="3005" w:type="dxa"/>
          <w:tcMar/>
        </w:tcPr>
        <w:p w:rsidR="2FD38993" w:rsidP="2FD38993" w:rsidRDefault="2FD38993" w14:paraId="2673539C" w14:textId="561DFC98">
          <w:pPr>
            <w:pStyle w:val="Header"/>
            <w:bidi w:val="0"/>
            <w:ind w:left="-115"/>
            <w:jc w:val="left"/>
          </w:pPr>
        </w:p>
      </w:tc>
      <w:tc>
        <w:tcPr>
          <w:tcW w:w="3005" w:type="dxa"/>
          <w:tcMar/>
        </w:tcPr>
        <w:p w:rsidR="2FD38993" w:rsidP="2FD38993" w:rsidRDefault="2FD38993" w14:paraId="46053A3A" w14:textId="3EFCA5E8">
          <w:pPr>
            <w:pStyle w:val="Header"/>
            <w:bidi w:val="0"/>
            <w:jc w:val="center"/>
          </w:pPr>
        </w:p>
      </w:tc>
      <w:tc>
        <w:tcPr>
          <w:tcW w:w="3005" w:type="dxa"/>
          <w:tcMar/>
        </w:tcPr>
        <w:p w:rsidR="2FD38993" w:rsidP="2FD38993" w:rsidRDefault="2FD38993" w14:paraId="05E6AF5E" w14:textId="767803CC">
          <w:pPr>
            <w:pStyle w:val="Header"/>
            <w:bidi w:val="0"/>
            <w:ind w:right="-115"/>
            <w:jc w:val="right"/>
          </w:pPr>
        </w:p>
      </w:tc>
    </w:tr>
  </w:tbl>
  <w:p w:rsidR="2FD38993" w:rsidP="2FD38993" w:rsidRDefault="2FD38993" w14:paraId="10827D4B" w14:textId="6D45B77C">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2FD38993" w:rsidTr="06CC9028" w14:paraId="071699FA">
      <w:trPr>
        <w:trHeight w:val="300"/>
      </w:trPr>
      <w:tc>
        <w:tcPr>
          <w:tcW w:w="3005" w:type="dxa"/>
          <w:tcMar/>
        </w:tcPr>
        <w:p w:rsidR="2FD38993" w:rsidP="2FD38993" w:rsidRDefault="2FD38993" w14:paraId="5708A374" w14:textId="5476AA09">
          <w:pPr>
            <w:pStyle w:val="Header"/>
            <w:bidi w:val="0"/>
            <w:ind w:left="-115"/>
            <w:jc w:val="left"/>
          </w:pPr>
        </w:p>
      </w:tc>
      <w:tc>
        <w:tcPr>
          <w:tcW w:w="3005" w:type="dxa"/>
          <w:tcMar/>
        </w:tcPr>
        <w:p w:rsidR="2FD38993" w:rsidP="06CC9028" w:rsidRDefault="2FD38993" w14:paraId="796AD7D8" w14:textId="4D3845CF">
          <w:pPr>
            <w:bidi w:val="0"/>
            <w:jc w:val="center"/>
          </w:pPr>
          <w:r w:rsidR="06CC9028">
            <w:drawing>
              <wp:inline wp14:editId="6CB748CD" wp14:anchorId="2820CA47">
                <wp:extent cx="1771650" cy="314325"/>
                <wp:effectExtent l="0" t="0" r="0" b="0"/>
                <wp:docPr id="185393287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53932874" name=""/>
                        <pic:cNvPicPr/>
                      </pic:nvPicPr>
                      <pic:blipFill>
                        <a:blip xmlns:r="http://schemas.openxmlformats.org/officeDocument/2006/relationships" r:embed="rId1061649401">
                          <a:extLst>
                            <a:ext xmlns:a="http://schemas.openxmlformats.org/drawingml/2006/main" uri="{28A0092B-C50C-407E-A947-70E740481C1C}">
                              <a14:useLocalDpi xmlns:a14="http://schemas.microsoft.com/office/drawing/2010/main" val="0"/>
                            </a:ext>
                          </a:extLst>
                        </a:blip>
                        <a:stretch>
                          <a:fillRect/>
                        </a:stretch>
                      </pic:blipFill>
                      <pic:spPr>
                        <a:xfrm>
                          <a:off x="0" y="0"/>
                          <a:ext cx="1771650" cy="314325"/>
                        </a:xfrm>
                        <a:prstGeom prst="rect">
                          <a:avLst/>
                        </a:prstGeom>
                      </pic:spPr>
                    </pic:pic>
                  </a:graphicData>
                </a:graphic>
              </wp:inline>
            </w:drawing>
          </w:r>
        </w:p>
      </w:tc>
      <w:tc>
        <w:tcPr>
          <w:tcW w:w="3005" w:type="dxa"/>
          <w:tcMar/>
        </w:tcPr>
        <w:p w:rsidR="2FD38993" w:rsidP="2FD38993" w:rsidRDefault="2FD38993" w14:paraId="4014209B" w14:textId="5A8B882C">
          <w:pPr>
            <w:pStyle w:val="Header"/>
            <w:bidi w:val="0"/>
            <w:ind w:right="-115"/>
            <w:jc w:val="right"/>
          </w:pPr>
        </w:p>
      </w:tc>
    </w:tr>
  </w:tbl>
  <w:p w:rsidR="2FD38993" w:rsidP="2FD38993" w:rsidRDefault="2FD38993" w14:paraId="0B5E7025" w14:textId="747D8379">
    <w:pPr>
      <w:pStyle w:val="Header"/>
      <w:bidi w:val="0"/>
    </w:pPr>
  </w:p>
</w:hdr>
</file>

<file path=word/intelligence2.xml><?xml version="1.0" encoding="utf-8"?>
<int2:intelligence xmlns:int2="http://schemas.microsoft.com/office/intelligence/2020/intelligence">
  <int2:observations>
    <int2:bookmark int2:bookmarkName="_Int_tVzRMPRh" int2:invalidationBookmarkName="" int2:hashCode="03DZzVYlpTS4WL" int2:id="tvPpiFUw">
      <int2:state int2:type="styl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cd7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C04AA7"/>
    <w:rsid w:val="06CC9028"/>
    <w:rsid w:val="0CC04AA7"/>
    <w:rsid w:val="0EDE391E"/>
    <w:rsid w:val="14BC415D"/>
    <w:rsid w:val="185A7B5E"/>
    <w:rsid w:val="1A5CC6B7"/>
    <w:rsid w:val="2A5C5803"/>
    <w:rsid w:val="2FD38993"/>
    <w:rsid w:val="30DBA918"/>
    <w:rsid w:val="57561214"/>
    <w:rsid w:val="59C89AB8"/>
    <w:rsid w:val="63E0E744"/>
    <w:rsid w:val="6D4DAFC2"/>
    <w:rsid w:val="7A917016"/>
    <w:rsid w:val="7D911E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4AA7"/>
  <w15:chartTrackingRefBased/>
  <w15:docId w15:val="{F177813C-05CE-42EC-971D-E791738296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A5CC6B7"/>
    <w:pPr>
      <w:spacing/>
      <w:ind w:left="720"/>
      <w:contextualSpacing/>
    </w:pPr>
  </w:style>
  <w:style w:type="character" w:styleId="Hyperlink">
    <w:uiPriority w:val="99"/>
    <w:name w:val="Hyperlink"/>
    <w:basedOn w:val="DefaultParagraphFont"/>
    <w:unhideWhenUsed/>
    <w:rsid w:val="1A5CC6B7"/>
    <w:rPr>
      <w:color w:val="467886"/>
      <w:u w:val="single"/>
    </w:rPr>
  </w:style>
  <w:style w:type="paragraph" w:styleId="Header">
    <w:uiPriority w:val="99"/>
    <w:name w:val="header"/>
    <w:basedOn w:val="Normal"/>
    <w:unhideWhenUsed/>
    <w:rsid w:val="2FD38993"/>
    <w:pPr>
      <w:tabs>
        <w:tab w:val="center" w:leader="none" w:pos="4680"/>
        <w:tab w:val="right" w:leader="none" w:pos="9360"/>
      </w:tabs>
      <w:spacing w:after="0" w:line="240" w:lineRule="auto"/>
    </w:pPr>
  </w:style>
  <w:style w:type="paragraph" w:styleId="Footer">
    <w:uiPriority w:val="99"/>
    <w:name w:val="footer"/>
    <w:basedOn w:val="Normal"/>
    <w:unhideWhenUsed/>
    <w:rsid w:val="2FD3899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67caa5d74e54390" /><Relationship Type="http://schemas.openxmlformats.org/officeDocument/2006/relationships/header" Target="header.xml" Id="R61217d07deeb4890" /><Relationship Type="http://schemas.openxmlformats.org/officeDocument/2006/relationships/footer" Target="footer.xml" Id="R6960437f8e3047b2" /><Relationship Type="http://schemas.openxmlformats.org/officeDocument/2006/relationships/hyperlink" Target="https://www.mnge.it/DeX" TargetMode="External" Id="R02697f0cc35744e6" /><Relationship Type="http://schemas.openxmlformats.org/officeDocument/2006/relationships/hyperlink" Target="https://www.mnge.it/DeX" TargetMode="External" Id="Rc433d095262c4113" /><Relationship Type="http://schemas.microsoft.com/office/2020/10/relationships/intelligence" Target="intelligence2.xml" Id="R44ff88d8c5fb41cb" /></Relationships>
</file>

<file path=word/_rels/header.xml.rels>&#65279;<?xml version="1.0" encoding="utf-8"?><Relationships xmlns="http://schemas.openxmlformats.org/package/2006/relationships"><Relationship Type="http://schemas.openxmlformats.org/officeDocument/2006/relationships/image" Target="/media/image.png" Id="rId106164940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E318BB474A249A699A48DC3C1829C" ma:contentTypeVersion="11" ma:contentTypeDescription="Create a new document." ma:contentTypeScope="" ma:versionID="181787c9f31b91b9025ef8d2c0a0a0b7">
  <xsd:schema xmlns:xsd="http://www.w3.org/2001/XMLSchema" xmlns:xs="http://www.w3.org/2001/XMLSchema" xmlns:p="http://schemas.microsoft.com/office/2006/metadata/properties" xmlns:ns2="1d2510fb-3fbc-4e74-b2d8-a9f8422b2fcb" targetNamespace="http://schemas.microsoft.com/office/2006/metadata/properties" ma:root="true" ma:fieldsID="3ca6ae60215253376bad04c4a534a45d" ns2:_="">
    <xsd:import namespace="1d2510fb-3fbc-4e74-b2d8-a9f8422b2f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10fb-3fbc-4e74-b2d8-a9f8422b2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510fb-3fbc-4e74-b2d8-a9f8422b2f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A76DA0-1288-4672-BDF8-DB0DF2817393}"/>
</file>

<file path=customXml/itemProps2.xml><?xml version="1.0" encoding="utf-8"?>
<ds:datastoreItem xmlns:ds="http://schemas.openxmlformats.org/officeDocument/2006/customXml" ds:itemID="{76AEE459-CA63-49A3-9600-E86F94CD9925}"/>
</file>

<file path=customXml/itemProps3.xml><?xml version="1.0" encoding="utf-8"?>
<ds:datastoreItem xmlns:ds="http://schemas.openxmlformats.org/officeDocument/2006/customXml" ds:itemID="{F9CEAF9C-0F72-40DB-94EA-7A08F700D7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Rosario Guadalupe Robiou Vivero</dc:creator>
  <keywords/>
  <dc:description/>
  <lastModifiedBy>Rosario Guadalupe Robiou Vivero</lastModifiedBy>
  <dcterms:created xsi:type="dcterms:W3CDTF">2025-09-09T18:52:49.0000000Z</dcterms:created>
  <dcterms:modified xsi:type="dcterms:W3CDTF">2025-09-22T16:47:46.2826971Z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0x0101001FDE318BB474A249A699A48DC3C1829C</vt:lpwstr>
  </property>
  <property fmtid="{D5CDD505-2E9C-101B-9397-08002B2CF9AE}" pid="3" name="MediaServiceImageTags">
    <vt:lpwstr/>
  </property>
</Properties>
</file>