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b w:val="1"/>
          <w:sz w:val="28"/>
          <w:szCs w:val="28"/>
          <w:rtl w:val="0"/>
        </w:rPr>
        <w:t xml:space="preserve">Waze muestra su orgullo gay y prepara alternativas para el desfile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i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40" w:lineRule="auto"/>
        <w:ind w:left="720" w:hanging="360"/>
        <w:contextualSpacing w:val="1"/>
        <w:jc w:val="center"/>
        <w:rPr>
          <w:i w:val="1"/>
        </w:rPr>
      </w:pPr>
      <w:r w:rsidDel="00000000" w:rsidR="00000000" w:rsidRPr="00000000">
        <w:rPr>
          <w:i w:val="1"/>
          <w:rtl w:val="0"/>
        </w:rPr>
        <w:t xml:space="preserve">Wazers pueden mostrar su orgullo cambiando su estado de ánimo en la app para mostrarse “orgullosos” y “orgullosas”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40" w:lineRule="auto"/>
        <w:ind w:left="720" w:hanging="360"/>
        <w:contextualSpacing w:val="1"/>
        <w:jc w:val="center"/>
        <w:rPr>
          <w:i w:val="1"/>
        </w:rPr>
      </w:pPr>
      <w:r w:rsidDel="00000000" w:rsidR="00000000" w:rsidRPr="00000000">
        <w:rPr>
          <w:i w:val="1"/>
          <w:rtl w:val="0"/>
        </w:rPr>
        <w:t xml:space="preserve">Podrán ver todos los cierres y tener la mejor ruta evitando el tráfico de la zona durante las movilizaciones</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t xml:space="preserve">Waze, la app de tráfico y navegación que une a la mayor comunidad de conductores en todo el mundo, se une a las actividades por el Orgullo LGBTTI, (Orgullo Lésbico-Gay), permitiendo que los wazers puedan modificar su estado de ánimo para mostrarse “orgullosos” mientras conducen.</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t xml:space="preserve">Los conductores podrán hacerlo accediendo al Menú principal de Waze dentro del apartado Estado de Ánimo. En esta sección ya se encuentran disponibles los iconos de “orgulloso” y “orgullosa” para que los wazers puedan elegirlos y festejar mientras conducen. </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t xml:space="preserve">Adicional a esto, Waze se encuentra preparada para los cierres, desvíos y alternativas de tránsito durante la 39 Marcha del Orgullo LGBTTTI que se realizará el sábado 24 de junio en la Ciudad de México, y que se prevé tenga una asistencia de  medio millón de personas de todas partes de la República, quienes se congregarán en el  Ángel de la Independencia y avanzarán sobre Paseo de la Reforma, Juárez, Eje Central, Cinco de Mayo y hasta llegar al zócalo capitalino. A través de Waze, los conductores podrán revisar las rutas tanto para llegar a los puntos aledaños, como para desplazarse en alternativas si desean evitar el embotellamiento.</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color w:val="222222"/>
          <w:rtl w:val="0"/>
        </w:rPr>
        <w:t xml:space="preserve">Para descargar la aplicación de manera gratuita, entra a </w:t>
      </w:r>
      <w:hyperlink r:id="rId5">
        <w:r w:rsidDel="00000000" w:rsidR="00000000" w:rsidRPr="00000000">
          <w:rPr>
            <w:color w:val="1155cc"/>
            <w:rtl w:val="0"/>
          </w:rPr>
          <w:t xml:space="preserve">waze.com/get</w:t>
        </w:r>
      </w:hyperlink>
      <w:r w:rsidDel="00000000" w:rsidR="00000000" w:rsidRPr="00000000">
        <w:rPr>
          <w:color w:val="222222"/>
          <w:rtl w:val="0"/>
        </w:rPr>
        <w:t xml:space="preserve">, o bien, realiza la descarga desde Google Play Store o App Store</w:t>
      </w:r>
      <w:r w:rsidDel="00000000" w:rsidR="00000000" w:rsidRPr="00000000">
        <w:rPr>
          <w:color w:val="263238"/>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0000ff"/>
          <w:sz w:val="20"/>
          <w:szCs w:val="20"/>
        </w:rPr>
      </w:pPr>
      <w:hyperlink r:id="rId6">
        <w:r w:rsidDel="00000000" w:rsidR="00000000" w:rsidRPr="00000000">
          <w:rPr>
            <w:color w:val="0000ff"/>
            <w:sz w:val="20"/>
            <w:szCs w:val="20"/>
            <w:u w:val="single"/>
            <w:rtl w:val="0"/>
          </w:rPr>
          <w:t xml:space="preserve">http://www.waze.com</w:t>
        </w:r>
      </w:hyperlink>
      <w:hyperlink r:id="rId7">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0000ff"/>
          <w:sz w:val="20"/>
          <w:szCs w:val="20"/>
        </w:rPr>
      </w:pPr>
      <w:r w:rsidDel="00000000" w:rsidR="00000000" w:rsidRPr="00000000">
        <w:rPr>
          <w:color w:val="0000ff"/>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highlight w:val="white"/>
        </w:rPr>
      </w:pPr>
      <w:r w:rsidDel="00000000" w:rsidR="00000000" w:rsidRPr="00000000">
        <w:rPr>
          <w:highlight w:val="white"/>
          <w:rtl w:val="0"/>
        </w:rPr>
        <w:t xml:space="preserve">T.: 63 92 1100 Ext.: 3612</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highlight w:val="white"/>
        </w:rPr>
      </w:pPr>
      <w:r w:rsidDel="00000000" w:rsidR="00000000" w:rsidRPr="00000000">
        <w:rPr>
          <w:highlight w:val="white"/>
          <w:rtl w:val="0"/>
        </w:rPr>
        <w:t xml:space="preserve">M.: 55 4030 7473</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hyperlink r:id="rId10">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1557338</wp:posOffset>
          </wp:positionH>
          <wp:positionV relativeFrom="paragraph">
            <wp:posOffset>19050</wp:posOffset>
          </wp:positionV>
          <wp:extent cx="2595563" cy="883212"/>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geraldine@anothercompany.com.mx" TargetMode="External"/><Relationship Id="rId9" Type="http://schemas.openxmlformats.org/officeDocument/2006/relationships/hyperlink" Target="about:blank" TargetMode="External"/><Relationship Id="rId5" Type="http://schemas.openxmlformats.org/officeDocument/2006/relationships/hyperlink" Target="https://www.waze.com/get"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