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9500" w14:textId="77777777" w:rsidR="007362B5" w:rsidRPr="007362B5" w:rsidRDefault="007362B5" w:rsidP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7362B5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 xml:space="preserve">Communiqué de presse, presse papier. </w:t>
      </w:r>
    </w:p>
    <w:p w14:paraId="39B2F778" w14:textId="77777777" w:rsidR="007362B5" w:rsidRPr="007362B5" w:rsidRDefault="007362B5" w:rsidP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7362B5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 xml:space="preserve">Presse papier, papier. </w:t>
      </w:r>
    </w:p>
    <w:p w14:paraId="21CC8199" w14:textId="77777777" w:rsidR="007362B5" w:rsidRPr="007362B5" w:rsidRDefault="007362B5" w:rsidP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7362B5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 xml:space="preserve">Papier, billet de banque. </w:t>
      </w:r>
    </w:p>
    <w:p w14:paraId="3D949D9A" w14:textId="77777777" w:rsidR="007362B5" w:rsidRPr="007362B5" w:rsidRDefault="007362B5" w:rsidP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7362B5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 xml:space="preserve">Billet de banque, banque. </w:t>
      </w:r>
    </w:p>
    <w:p w14:paraId="25FE1FEE" w14:textId="3D29704B" w:rsidR="007362B5" w:rsidRDefault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7362B5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>Banque, CBC.</w:t>
      </w:r>
    </w:p>
    <w:p w14:paraId="211BBEFC" w14:textId="77777777" w:rsidR="007362B5" w:rsidRDefault="007362B5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</w:p>
    <w:p w14:paraId="656D99B1" w14:textId="46D67304" w:rsidR="00D205DF" w:rsidRPr="00A736B4" w:rsidRDefault="00D205DF">
      <w:pPr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</w:pPr>
      <w:r w:rsidRPr="00A736B4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 xml:space="preserve">CBC et TBWA nous démontrent qu’on peut penser à sa banque </w:t>
      </w:r>
      <w:r w:rsidR="00A736B4">
        <w:rPr>
          <w:rFonts w:ascii="Averta for TBWA Regular" w:hAnsi="Averta for TBWA Regular" w:cstheme="minorBidi"/>
          <w:b/>
          <w:noProof w:val="0"/>
          <w:sz w:val="32"/>
          <w:szCs w:val="28"/>
          <w:lang w:val="fr-FR"/>
        </w:rPr>
        <w:t>n’importe quand et n’importe où</w:t>
      </w:r>
    </w:p>
    <w:p w14:paraId="534233D2" w14:textId="77777777" w:rsidR="003312E2" w:rsidRPr="00BF49F0" w:rsidRDefault="003312E2">
      <w:pPr>
        <w:rPr>
          <w:rFonts w:ascii="Helvetica" w:hAnsi="Helvetica"/>
          <w:sz w:val="22"/>
          <w:szCs w:val="22"/>
        </w:rPr>
      </w:pPr>
    </w:p>
    <w:p w14:paraId="4F72B28E" w14:textId="0EFC46EB" w:rsidR="00EA750C" w:rsidRDefault="00363C5C" w:rsidP="00A736B4">
      <w:pPr>
        <w:jc w:val="both"/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Aujourd’hui, o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n aime faire ce que l’on veut quand on veut. Et c</w:t>
      </w:r>
      <w:r w:rsidR="007F2F89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ela vaut aussi 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pour nos habitudes ban</w:t>
      </w:r>
      <w:bookmarkStart w:id="0" w:name="_GoBack"/>
      <w:bookmarkEnd w:id="0"/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caires</w:t>
      </w:r>
      <w:r w:rsidR="005D268B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: on veut pouvoir faire </w:t>
      </w:r>
      <w:r w:rsidR="0018239E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nos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paiements </w:t>
      </w:r>
      <w:r w:rsidR="00BF49F0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où que l’on soit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, faire une simulation pour son prêt auto le dimanche, vérifier l’état de ses comptes à n’importe quelle heure du jour et de la nuit ou encore discuter avec un expert même tard </w:t>
      </w:r>
      <w:r w:rsidR="0018239E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en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soir</w:t>
      </w:r>
      <w:r w:rsidR="0018239E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ée</w:t>
      </w:r>
      <w:r w:rsid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.</w:t>
      </w:r>
    </w:p>
    <w:p w14:paraId="2E2B8BB6" w14:textId="77777777" w:rsidR="00A736B4" w:rsidRPr="00A736B4" w:rsidRDefault="00A736B4" w:rsidP="00A736B4">
      <w:pPr>
        <w:jc w:val="both"/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</w:p>
    <w:p w14:paraId="7E38E2B9" w14:textId="4E1C9E2A" w:rsidR="00EA750C" w:rsidRDefault="007B0F6D" w:rsidP="00A736B4">
      <w:pPr>
        <w:jc w:val="both"/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CBC l’a bien compris et 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a mis en place toute une </w:t>
      </w:r>
      <w:r w:rsidR="008440E8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série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de canaux pour être </w:t>
      </w:r>
      <w:r w:rsidR="0052727D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aux cô</w:t>
      </w:r>
      <w:r w:rsidR="00BF0137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tés de ses</w:t>
      </w:r>
      <w:r w:rsidR="0052727D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client</w:t>
      </w:r>
      <w:r w:rsidR="00BF0137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s</w:t>
      </w:r>
      <w:r w:rsidR="0052727D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quand il</w:t>
      </w:r>
      <w:r w:rsidR="00BF0137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s</w:t>
      </w:r>
      <w:r w:rsidR="0052727D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le </w:t>
      </w:r>
      <w:r w:rsidR="007362B5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sentent :</w:t>
      </w:r>
      <w:r w:rsidR="00CE115C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vidé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o chat, </w:t>
      </w:r>
      <w:r w:rsidR="00BF49F0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réseaux sociaux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, téléphone, rendez-vous en agence</w:t>
      </w:r>
      <w:r w:rsidR="00BF49F0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et applications diverses</w:t>
      </w:r>
      <w:r w:rsidR="00EA750C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.</w:t>
      </w:r>
    </w:p>
    <w:p w14:paraId="04905853" w14:textId="77777777" w:rsidR="00A736B4" w:rsidRPr="00A736B4" w:rsidRDefault="00A736B4" w:rsidP="00A736B4">
      <w:pPr>
        <w:jc w:val="both"/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</w:p>
    <w:p w14:paraId="675EDE0C" w14:textId="269F50C8" w:rsidR="00EA750C" w:rsidRPr="00A736B4" w:rsidRDefault="00EA750C" w:rsidP="00A736B4">
      <w:pPr>
        <w:jc w:val="both"/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Pour illustrer cela, TBWA a imaginé des spots TV et radio qui racontent avec une logique imparable et complètement absurde que l’on peut penser à sa banque dans le bus, au cinéma, à l’aéroport, au petit déjeuner, le</w:t>
      </w:r>
      <w:r w:rsidR="004723D9"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soir et même le week-end, bref n’importe quand et </w:t>
      </w:r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n’importe où. Des suites d’idées qui </w:t>
      </w:r>
      <w:proofErr w:type="gramStart"/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démontrent</w:t>
      </w:r>
      <w:proofErr w:type="gramEnd"/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 xml:space="preserve"> que CBC est </w:t>
      </w:r>
      <w:r w:rsidR="001A59EA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aux côtés de ses clients quand ils l’ont décidé</w:t>
      </w:r>
      <w:r w:rsidRPr="00A736B4"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  <w:t>.</w:t>
      </w:r>
    </w:p>
    <w:p w14:paraId="75637A02" w14:textId="77777777" w:rsidR="005F4C82" w:rsidRDefault="005F4C82">
      <w:pPr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</w:p>
    <w:p w14:paraId="79FCD8F3" w14:textId="77777777" w:rsidR="00A736B4" w:rsidRPr="00A736B4" w:rsidRDefault="00A736B4">
      <w:pPr>
        <w:rPr>
          <w:rFonts w:ascii="Averta for TBWA Regular" w:hAnsi="Averta for TBWA Regular" w:cstheme="minorBidi"/>
          <w:noProof w:val="0"/>
          <w:sz w:val="28"/>
          <w:szCs w:val="28"/>
          <w:lang w:val="fr-FR"/>
        </w:rPr>
      </w:pPr>
    </w:p>
    <w:p w14:paraId="044C85C2" w14:textId="269F9F05" w:rsidR="005F4C82" w:rsidRDefault="007B0F6D" w:rsidP="005F4C82">
      <w:pPr>
        <w:rPr>
          <w:rFonts w:ascii="Averta for TBWA Regular" w:hAnsi="Averta for TBWA Regular" w:cstheme="minorBidi"/>
          <w:b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b/>
          <w:noProof w:val="0"/>
          <w:sz w:val="22"/>
          <w:szCs w:val="22"/>
          <w:lang w:val="fr-FR"/>
        </w:rPr>
        <w:t>Cré</w:t>
      </w:r>
      <w:r w:rsidR="005F4C82" w:rsidRPr="00A736B4">
        <w:rPr>
          <w:rFonts w:ascii="Averta for TBWA Regular" w:hAnsi="Averta for TBWA Regular" w:cstheme="minorBidi"/>
          <w:b/>
          <w:noProof w:val="0"/>
          <w:sz w:val="22"/>
          <w:szCs w:val="22"/>
          <w:lang w:val="fr-FR"/>
        </w:rPr>
        <w:t>dits Campagne CBC</w:t>
      </w:r>
    </w:p>
    <w:p w14:paraId="0D07A976" w14:textId="77777777" w:rsidR="00A736B4" w:rsidRPr="00A736B4" w:rsidRDefault="00A736B4" w:rsidP="005F4C82">
      <w:pPr>
        <w:rPr>
          <w:rFonts w:ascii="Averta for TBWA Regular" w:hAnsi="Averta for TBWA Regular" w:cstheme="minorBidi"/>
          <w:b/>
          <w:noProof w:val="0"/>
          <w:sz w:val="22"/>
          <w:szCs w:val="22"/>
          <w:lang w:val="fr-FR"/>
        </w:rPr>
      </w:pPr>
    </w:p>
    <w:p w14:paraId="1FF2DD49" w14:textId="01AAFF5D" w:rsidR="00AD0D49" w:rsidRPr="00A736B4" w:rsidRDefault="00C269D3" w:rsidP="00AD0D49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Client</w:t>
      </w:r>
      <w:r w:rsidR="0035080C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</w:t>
      </w:r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: </w:t>
      </w:r>
      <w:r w:rsidR="00FB1CE3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ab/>
      </w:r>
      <w:r w:rsidR="00FB1CE3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ab/>
      </w:r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CBC – Sandra </w:t>
      </w:r>
      <w:proofErr w:type="spellStart"/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Cir</w:t>
      </w:r>
      <w:r w:rsidR="00AD0D49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</w:t>
      </w:r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h</w:t>
      </w:r>
      <w:r w:rsidR="00AD0D49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irillo</w:t>
      </w:r>
      <w:proofErr w:type="spellEnd"/>
      <w:r w:rsidR="00AD0D49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, </w:t>
      </w:r>
      <w:r w:rsidR="003D5601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Valérie</w:t>
      </w:r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 </w:t>
      </w:r>
      <w:proofErr w:type="spellStart"/>
      <w:r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S</w:t>
      </w:r>
      <w:r w:rsidR="001F444F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t</w:t>
      </w:r>
      <w:r w:rsidR="00FB1CE3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oupy</w:t>
      </w:r>
      <w:proofErr w:type="spellEnd"/>
      <w:r w:rsidR="00FB1CE3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, Aurélie </w:t>
      </w:r>
      <w:proofErr w:type="spellStart"/>
      <w:r w:rsidR="00FB1CE3" w:rsidRPr="00A736B4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Piel</w:t>
      </w:r>
      <w:proofErr w:type="spellEnd"/>
    </w:p>
    <w:p w14:paraId="1ED4F3C4" w14:textId="44544435" w:rsidR="001F444F" w:rsidRPr="00A736B4" w:rsidRDefault="001F444F" w:rsidP="001F444F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Creative Director: </w:t>
      </w:r>
      <w:r w:rsidR="00FB1CE3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Marie-Laure Cliquennois, Gert Pauwels</w:t>
      </w:r>
    </w:p>
    <w:p w14:paraId="081D6C03" w14:textId="24F8F7D2" w:rsidR="005F4C82" w:rsidRPr="00A736B4" w:rsidRDefault="005F4C82" w:rsidP="005F4C82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Accounts: </w:t>
      </w:r>
      <w:r w:rsidR="00FB1CE3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="00FB1CE3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="005D268B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Geert Po</w:t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targent</w:t>
      </w:r>
      <w:r w:rsidR="00FB1CE3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, Pauline Kinet, Emilie Kino</w:t>
      </w:r>
    </w:p>
    <w:p w14:paraId="6BC57538" w14:textId="221D365F" w:rsidR="005F4C82" w:rsidRPr="00A736B4" w:rsidRDefault="00FB1CE3" w:rsidP="005F4C82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Strategy: </w:t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  <w:t>Stephanie Vercruysse</w:t>
      </w:r>
    </w:p>
    <w:p w14:paraId="2DCAD708" w14:textId="5A9F7B91" w:rsidR="003312E2" w:rsidRPr="00A736B4" w:rsidRDefault="005F4C82" w:rsidP="00EC5007">
      <w:pPr>
        <w:ind w:left="2160" w:hanging="2160"/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Création: </w:t>
      </w:r>
      <w:r w:rsidR="00FB1CE3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Marie-Laure Cliquennois, Vincent Nivarlet</w:t>
      </w:r>
    </w:p>
    <w:p w14:paraId="1A7A02DA" w14:textId="2151CFD9" w:rsidR="005F4C82" w:rsidRPr="00A736B4" w:rsidRDefault="003312E2" w:rsidP="00EC5007">
      <w:pPr>
        <w:ind w:left="2160" w:hanging="2160"/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ab/>
      </w:r>
      <w:r w:rsidR="001F444F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Eric Maerschalk, Michael Mikiels</w:t>
      </w:r>
    </w:p>
    <w:p w14:paraId="55CC1526" w14:textId="5E989929" w:rsidR="005F4C82" w:rsidRPr="00A736B4" w:rsidRDefault="005F4C82" w:rsidP="005F4C82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lastRenderedPageBreak/>
        <w:t>Production company</w:t>
      </w:r>
      <w:r w:rsidR="00EC5007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 TV &amp; radio: </w:t>
      </w: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SAKE Productions</w:t>
      </w:r>
    </w:p>
    <w:p w14:paraId="4A43D460" w14:textId="77777777" w:rsidR="0018239E" w:rsidRPr="00A736B4" w:rsidRDefault="0018239E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RTV Producer: Mieke Vandewalle </w:t>
      </w:r>
    </w:p>
    <w:p w14:paraId="12640818" w14:textId="77777777" w:rsidR="00BA6773" w:rsidRPr="00A736B4" w:rsidRDefault="00BA6773" w:rsidP="00BA6773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Photographer/Director: Annabel Sougné</w:t>
      </w:r>
    </w:p>
    <w:p w14:paraId="22974804" w14:textId="77777777" w:rsidR="00BA6773" w:rsidRPr="00A736B4" w:rsidRDefault="00BA6773" w:rsidP="00BA6773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DOP: Benjamin Speyer</w:t>
      </w:r>
    </w:p>
    <w:p w14:paraId="0219D510" w14:textId="1C8C2452" w:rsidR="0018239E" w:rsidRPr="00A736B4" w:rsidRDefault="0018239E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Image Bank: G</w:t>
      </w:r>
      <w:r w:rsidR="00BF49F0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etty Images, Shutterstock, 123R</w:t>
      </w:r>
    </w:p>
    <w:p w14:paraId="31774CCD" w14:textId="77777777" w:rsidR="000F5F39" w:rsidRPr="00A736B4" w:rsidRDefault="000F5F39" w:rsidP="000F5F39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Art buyer: Elly Laureys</w:t>
      </w:r>
    </w:p>
    <w:p w14:paraId="340F6589" w14:textId="02900138" w:rsidR="0018239E" w:rsidRPr="00A736B4" w:rsidRDefault="00FB6F10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Post-Production: </w:t>
      </w:r>
      <w:r w:rsidR="0018239E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SAKE</w:t>
      </w:r>
    </w:p>
    <w:p w14:paraId="4DB6FE61" w14:textId="231F2FB8" w:rsidR="0018239E" w:rsidRPr="00A736B4" w:rsidRDefault="00FB6F10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Post-producer: </w:t>
      </w:r>
      <w:r w:rsidR="0018239E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Geneviève Paindaveine </w:t>
      </w:r>
    </w:p>
    <w:p w14:paraId="0049B645" w14:textId="20E54714" w:rsidR="0018239E" w:rsidRPr="00A736B4" w:rsidRDefault="00FB6F10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Online edit &amp; colorgrading: </w:t>
      </w:r>
      <w:r w:rsidR="0018239E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Enzo Piccinato</w:t>
      </w:r>
    </w:p>
    <w:p w14:paraId="26E21F2E" w14:textId="5A450AD4" w:rsidR="0018239E" w:rsidRPr="00A736B4" w:rsidRDefault="00FB6F10" w:rsidP="0018239E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Sound</w:t>
      </w:r>
      <w:r w:rsidR="0018239E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: Gwenn Nicolay</w:t>
      </w:r>
    </w:p>
    <w:p w14:paraId="4BB718EB" w14:textId="25BD4281" w:rsidR="0018239E" w:rsidRPr="00A736B4" w:rsidRDefault="00B464AC">
      <w:pPr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</w:pPr>
      <w:r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PR:</w:t>
      </w:r>
      <w:r w:rsidR="00FB6F10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 xml:space="preserve"> </w:t>
      </w:r>
      <w:r w:rsidR="0018239E" w:rsidRPr="00A736B4">
        <w:rPr>
          <w:rFonts w:ascii="Averta for TBWA Regular" w:hAnsi="Averta for TBWA Regular" w:cstheme="minorBidi"/>
          <w:noProof w:val="0"/>
          <w:sz w:val="22"/>
          <w:szCs w:val="22"/>
          <w:lang w:val="fr-FR"/>
        </w:rPr>
        <w:t>Pride</w:t>
      </w:r>
    </w:p>
    <w:sectPr w:rsidR="0018239E" w:rsidRPr="00A736B4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8E3A" w14:textId="77777777" w:rsidR="00FD717A" w:rsidRDefault="00FD717A" w:rsidP="00D634A0">
      <w:r>
        <w:separator/>
      </w:r>
    </w:p>
  </w:endnote>
  <w:endnote w:type="continuationSeparator" w:id="0">
    <w:p w14:paraId="64805A22" w14:textId="77777777" w:rsidR="00FD717A" w:rsidRDefault="00FD717A" w:rsidP="00D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79E1" w14:textId="77777777" w:rsidR="00FD717A" w:rsidRDefault="00FD717A" w:rsidP="00D634A0">
      <w:r>
        <w:separator/>
      </w:r>
    </w:p>
  </w:footnote>
  <w:footnote w:type="continuationSeparator" w:id="0">
    <w:p w14:paraId="5C8E1F5B" w14:textId="77777777" w:rsidR="00FD717A" w:rsidRDefault="00FD717A" w:rsidP="00D63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2CF1" w14:textId="7FA87B85" w:rsidR="00347412" w:rsidRDefault="00347412" w:rsidP="00347412">
    <w:pPr>
      <w:pStyle w:val="Header"/>
      <w:tabs>
        <w:tab w:val="left" w:pos="733"/>
      </w:tabs>
    </w:pPr>
    <w:r w:rsidRPr="00347412">
      <w:tab/>
    </w:r>
    <w:r w:rsidRPr="00E454B8">
      <w:rPr>
        <w:rFonts w:asciiTheme="minorHAnsi" w:hAnsiTheme="minorHAnsi"/>
        <w:color w:val="717171"/>
        <w:sz w:val="20"/>
      </w:rPr>
      <w:drawing>
        <wp:anchor distT="0" distB="0" distL="114300" distR="114300" simplePos="0" relativeHeight="251659264" behindDoc="1" locked="0" layoutInCell="1" allowOverlap="1" wp14:anchorId="7D978863" wp14:editId="39582D89">
          <wp:simplePos x="0" y="0"/>
          <wp:positionH relativeFrom="page">
            <wp:posOffset>1143000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B43"/>
    <w:multiLevelType w:val="hybridMultilevel"/>
    <w:tmpl w:val="C48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918F6"/>
    <w:multiLevelType w:val="hybridMultilevel"/>
    <w:tmpl w:val="958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F"/>
    <w:rsid w:val="0002532C"/>
    <w:rsid w:val="000F5F39"/>
    <w:rsid w:val="00120631"/>
    <w:rsid w:val="0018239E"/>
    <w:rsid w:val="001A59EA"/>
    <w:rsid w:val="001F444F"/>
    <w:rsid w:val="00201536"/>
    <w:rsid w:val="00280694"/>
    <w:rsid w:val="003312E2"/>
    <w:rsid w:val="00347412"/>
    <w:rsid w:val="003501AD"/>
    <w:rsid w:val="0035046F"/>
    <w:rsid w:val="0035080C"/>
    <w:rsid w:val="00363C5C"/>
    <w:rsid w:val="00373912"/>
    <w:rsid w:val="003A13E5"/>
    <w:rsid w:val="003A4CB3"/>
    <w:rsid w:val="003D5601"/>
    <w:rsid w:val="003D6B3D"/>
    <w:rsid w:val="004208D2"/>
    <w:rsid w:val="00454C5F"/>
    <w:rsid w:val="004723D9"/>
    <w:rsid w:val="00505043"/>
    <w:rsid w:val="0052727D"/>
    <w:rsid w:val="005376C7"/>
    <w:rsid w:val="005519F5"/>
    <w:rsid w:val="005D268B"/>
    <w:rsid w:val="005F4C82"/>
    <w:rsid w:val="00615987"/>
    <w:rsid w:val="006954BA"/>
    <w:rsid w:val="006E392C"/>
    <w:rsid w:val="007362B5"/>
    <w:rsid w:val="00746B6B"/>
    <w:rsid w:val="00765C33"/>
    <w:rsid w:val="007B0F6D"/>
    <w:rsid w:val="007D2D38"/>
    <w:rsid w:val="007D3A5F"/>
    <w:rsid w:val="007F2F89"/>
    <w:rsid w:val="008440E8"/>
    <w:rsid w:val="0088129F"/>
    <w:rsid w:val="008900CC"/>
    <w:rsid w:val="008D5812"/>
    <w:rsid w:val="0090463E"/>
    <w:rsid w:val="00986960"/>
    <w:rsid w:val="009B723E"/>
    <w:rsid w:val="009E2283"/>
    <w:rsid w:val="00A366B3"/>
    <w:rsid w:val="00A567BB"/>
    <w:rsid w:val="00A628FE"/>
    <w:rsid w:val="00A64036"/>
    <w:rsid w:val="00A736B4"/>
    <w:rsid w:val="00A74D9A"/>
    <w:rsid w:val="00AD0D49"/>
    <w:rsid w:val="00AE1C59"/>
    <w:rsid w:val="00B43687"/>
    <w:rsid w:val="00B464AC"/>
    <w:rsid w:val="00BA6773"/>
    <w:rsid w:val="00BF0137"/>
    <w:rsid w:val="00BF49F0"/>
    <w:rsid w:val="00C269D3"/>
    <w:rsid w:val="00CE115C"/>
    <w:rsid w:val="00CF0A38"/>
    <w:rsid w:val="00D205DF"/>
    <w:rsid w:val="00D56991"/>
    <w:rsid w:val="00D634A0"/>
    <w:rsid w:val="00D8547A"/>
    <w:rsid w:val="00D9554B"/>
    <w:rsid w:val="00DD0838"/>
    <w:rsid w:val="00E2644E"/>
    <w:rsid w:val="00EA5B8F"/>
    <w:rsid w:val="00EA750C"/>
    <w:rsid w:val="00EC5007"/>
    <w:rsid w:val="00F632A7"/>
    <w:rsid w:val="00FB1CE3"/>
    <w:rsid w:val="00FB6F10"/>
    <w:rsid w:val="00FC5548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875F6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AD0D49"/>
    <w:rPr>
      <w:rFonts w:ascii="Helvetica" w:eastAsia="MS Mincho" w:hAnsi="Helvetica"/>
      <w:noProof w:val="0"/>
      <w:color w:val="32323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A0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A0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9"/>
    <w:rPr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Aurelie Coeckelbergh</cp:lastModifiedBy>
  <cp:revision>12</cp:revision>
  <cp:lastPrinted>2017-01-30T14:05:00Z</cp:lastPrinted>
  <dcterms:created xsi:type="dcterms:W3CDTF">2017-01-30T13:49:00Z</dcterms:created>
  <dcterms:modified xsi:type="dcterms:W3CDTF">2017-01-30T15:56:00Z</dcterms:modified>
</cp:coreProperties>
</file>