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Adyen reporta un crecimiento de 67</w:t>
      </w:r>
      <w:r w:rsidDel="00000000" w:rsidR="00000000" w:rsidRPr="00000000">
        <w:rPr>
          <w:b w:val="1"/>
          <w:sz w:val="36"/>
          <w:szCs w:val="36"/>
          <w:rtl w:val="0"/>
        </w:rPr>
        <w:t xml:space="preserve">%</w:t>
      </w:r>
      <w:r w:rsidDel="00000000" w:rsidR="00000000" w:rsidRPr="00000000">
        <w:rPr>
          <w:b w:val="1"/>
          <w:sz w:val="36"/>
          <w:szCs w:val="36"/>
          <w:rtl w:val="0"/>
        </w:rPr>
        <w:t xml:space="preserv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en volumen procesado en el primer semestre de 2021</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La compañía también registró un incremento en sus ingresos netos de 46% durante el periodo; en América Latina fue del 26%.</w:t>
      </w:r>
    </w:p>
    <w:p w:rsidR="00000000" w:rsidDel="00000000" w:rsidP="00000000" w:rsidRDefault="00000000" w:rsidRPr="00000000" w14:paraId="00000005">
      <w:pPr>
        <w:ind w:left="720" w:firstLine="0"/>
        <w:jc w:val="left"/>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19 de agosto de 2021.- </w:t>
      </w:r>
      <w:r w:rsidDel="00000000" w:rsidR="00000000" w:rsidRPr="00000000">
        <w:rPr>
          <w:rtl w:val="0"/>
        </w:rPr>
        <w:t xml:space="preserve">Adyen, la plataforma de pagos utilizada por las compañías de mayor crecimiento en el mundo, reportó un total de 216,000 millones de euros procesados durante el </w:t>
      </w:r>
      <w:hyperlink r:id="rId6">
        <w:r w:rsidDel="00000000" w:rsidR="00000000" w:rsidRPr="00000000">
          <w:rPr>
            <w:color w:val="1155cc"/>
            <w:u w:val="single"/>
            <w:rtl w:val="0"/>
          </w:rPr>
          <w:t xml:space="preserve">primer semestre</w:t>
        </w:r>
      </w:hyperlink>
      <w:r w:rsidDel="00000000" w:rsidR="00000000" w:rsidRPr="00000000">
        <w:rPr>
          <w:rtl w:val="0"/>
        </w:rPr>
        <w:t xml:space="preserve"> del 2021, </w:t>
      </w:r>
      <w:r w:rsidDel="00000000" w:rsidR="00000000" w:rsidRPr="00000000">
        <w:rPr>
          <w:b w:val="1"/>
          <w:rtl w:val="0"/>
        </w:rPr>
        <w:t xml:space="preserve">un volumen 67% mayo</w:t>
      </w:r>
      <w:r w:rsidDel="00000000" w:rsidR="00000000" w:rsidRPr="00000000">
        <w:rPr>
          <w:rtl w:val="0"/>
        </w:rPr>
        <w:t xml:space="preserve">r con respecto al mismo periodo del año pasado.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Sumado a lo anterior, Adyen reportó ingresos netos de 445 millones de euros, cifra 46% mayor al año anterior; en el caso de </w:t>
      </w:r>
      <w:r w:rsidDel="00000000" w:rsidR="00000000" w:rsidRPr="00000000">
        <w:rPr>
          <w:b w:val="1"/>
          <w:rtl w:val="0"/>
        </w:rPr>
        <w:t xml:space="preserve">Latinoamérica, ese incremento fue del 26%</w:t>
      </w:r>
      <w:r w:rsidDel="00000000" w:rsidR="00000000" w:rsidRPr="00000000">
        <w:rPr>
          <w:rtl w:val="0"/>
        </w:rPr>
        <w:t xml:space="preserve">. Además, registró un flujo operativo EBITDA global de 272.7 millones de euros, 65</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mayor al reportado</w:t>
      </w:r>
      <w:r w:rsidDel="00000000" w:rsidR="00000000" w:rsidRPr="00000000">
        <w:rPr>
          <w:rtl w:val="0"/>
        </w:rPr>
        <w:t xml:space="preserve"> en la primera mitad de 2020.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t>
      </w:r>
      <w:r w:rsidDel="00000000" w:rsidR="00000000" w:rsidRPr="00000000">
        <w:rPr>
          <w:i w:val="1"/>
          <w:rtl w:val="0"/>
        </w:rPr>
        <w:t xml:space="preserve">El conjunto de productos de Adyen es cada vez más maduro y continúa brindando oportunidades para una constante evolución en el sistema de pagos nacional, al tiempo que resuelve los desafíos que enfrentan las organizaciones en materia de digitalización, tecnología y pagos. Seguimos creciendo enfocados en ser la plataforma que haga más sencilla la vida, tanto de consumidores como de comercios, fomentando la aceleración digital en el país y ayudando a los comercios a evolucionar en favor de sus operaciones</w:t>
      </w:r>
      <w:r w:rsidDel="00000000" w:rsidR="00000000" w:rsidRPr="00000000">
        <w:rPr>
          <w:rtl w:val="0"/>
        </w:rPr>
        <w:t xml:space="preserve">”, considera Erick MacKinney, Country Manager de Adyen México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Adyen destaca que los primeros seis meses de 2021 fueron de fuerte crecimiento, principalmente por las tendencias de preferencia de los compradores que fueron adoptadas por los comercios, tales como como el uso de métodos alternativos al efectivo, estrategias de venta a través del comercio contextual, entre otras soluciones digitales.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Ejemplo de esto en México es el caso del Hot Sale en la edición 2021 donde empresas como </w:t>
      </w:r>
      <w:hyperlink r:id="rId7">
        <w:r w:rsidDel="00000000" w:rsidR="00000000" w:rsidRPr="00000000">
          <w:rPr>
            <w:color w:val="1155cc"/>
            <w:u w:val="single"/>
            <w:rtl w:val="0"/>
          </w:rPr>
          <w:t xml:space="preserve">Innovasport</w:t>
        </w:r>
      </w:hyperlink>
      <w:r w:rsidDel="00000000" w:rsidR="00000000" w:rsidRPr="00000000">
        <w:rPr>
          <w:rtl w:val="0"/>
        </w:rPr>
        <w:t xml:space="preserve"> vieron un crecimiento de participación a través de sus canales de venta digital </w:t>
      </w:r>
      <w:r w:rsidDel="00000000" w:rsidR="00000000" w:rsidRPr="00000000">
        <w:rPr>
          <w:b w:val="1"/>
          <w:rtl w:val="0"/>
        </w:rPr>
        <w:t xml:space="preserve">pasando del 8% en años anteriores al 2020 a tener el 20%</w:t>
      </w:r>
      <w:r w:rsidDel="00000000" w:rsidR="00000000" w:rsidRPr="00000000">
        <w:rPr>
          <w:rtl w:val="0"/>
        </w:rPr>
        <w:t xml:space="preserve"> de sus transacciones totales a través de su canal de eCommerce durante la temporada de venta digital. O como </w:t>
      </w:r>
      <w:hyperlink r:id="rId8">
        <w:r w:rsidDel="00000000" w:rsidR="00000000" w:rsidRPr="00000000">
          <w:rPr>
            <w:color w:val="1155cc"/>
            <w:u w:val="single"/>
            <w:rtl w:val="0"/>
          </w:rPr>
          <w:t xml:space="preserve">Viva Aerobús</w:t>
        </w:r>
      </w:hyperlink>
      <w:r w:rsidDel="00000000" w:rsidR="00000000" w:rsidRPr="00000000">
        <w:rPr>
          <w:rtl w:val="0"/>
        </w:rPr>
        <w:t xml:space="preserve"> que vió un </w:t>
      </w:r>
      <w:r w:rsidDel="00000000" w:rsidR="00000000" w:rsidRPr="00000000">
        <w:rPr>
          <w:b w:val="1"/>
          <w:rtl w:val="0"/>
        </w:rPr>
        <w:t xml:space="preserve">crecimiento del 20% de ventas online </w:t>
      </w:r>
      <w:r w:rsidDel="00000000" w:rsidR="00000000" w:rsidRPr="00000000">
        <w:rPr>
          <w:rtl w:val="0"/>
        </w:rPr>
        <w:t xml:space="preserve">durante el primer semestre del año al adoptar estrategias y soluciones como Pay-by-Link</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Además, existe un crecimiento significativo en el comercio minorista, con volúmenes importantes tanto en tienda como en ecommerce. El volumen de transacciones en terminales punto de venta (POS) se duplicó con respecto al primer semestre de 2020, alcanzando un total de 22,800 millones de euros en este periodo, lo que representa el 11% del volumen total procesado.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Lo anterior enfatiza la relevancia de la propuesta de Adyen de comercio unificado. Dicho enfoque se ha vuelto cada vez más crítico para los comercios, lo que hace que su solución se vuelva una necesidad para gran parte del mercado, generando mayores asociaciones. También resalta que la solución de autenticación basada en el protocolo 3DS2 continúa brindando seguridad a las firmas y certeza en el intento por incrementar sus tasas de autorización.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Por región, Norteamérica se destaca como la más sólida con un crecimiento de 80% en sus ingresos netos, lo que los lleva a representar actualmente el 22% del total de ingresos de la firma a nivel global.</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Adyen añade que su equivalente de trabajadores de tiempo completo requeridos para operar (FTE por sus siglas en inglés) creció a 1,955, bajo un enfoque continuo a seguir creciendo e incluyendo a más talento.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C">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1D">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9">
      <w:pPr>
        <w:spacing w:line="276" w:lineRule="auto"/>
        <w:jc w:val="both"/>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hyperlink" Target="https://www.adyen.com/es_MX/investor-relations/h1-2021#highlights" TargetMode="External"/><Relationship Id="rId7" Type="http://schemas.openxmlformats.org/officeDocument/2006/relationships/hyperlink" Target="https://www.adyen.com/es_MX/press-and-media/2021/hot-sale-2021-innovasport-mantiene-los-niveles-del-boom-del-ecommerce-con-la-tecnologa-de-ady" TargetMode="External"/><Relationship Id="rId8" Type="http://schemas.openxmlformats.org/officeDocument/2006/relationships/hyperlink" Target="https://www.adyen.com/es_MX/press-and-media/2021/viva-aerobs-increment-20-sus-ventas-mediante-pay-by-link-en-los-ltimos-seis-me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