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C2FCA" w14:textId="7DABFEA1" w:rsidR="00E75F28" w:rsidRDefault="003359F0" w:rsidP="00E75F28">
      <w:pPr>
        <w:jc w:val="both"/>
        <w:rPr>
          <w:rFonts w:ascii="Times New Roman" w:hAnsi="Times New Roman" w:cs="Times New Roman"/>
        </w:rPr>
      </w:pPr>
      <w:r w:rsidRPr="003359F0">
        <w:rPr>
          <w:rFonts w:ascii="Averta for TBWA" w:hAnsi="Averta for TBWA"/>
          <w:b/>
          <w:bCs/>
          <w:sz w:val="36"/>
          <w:szCs w:val="36"/>
        </w:rPr>
        <w:t>TBWA EN ING, THAT’S</w:t>
      </w:r>
      <w:r w:rsidRPr="003359F0">
        <w:rPr>
          <w:rFonts w:ascii="Cambria" w:hAnsi="Cambria" w:cs="Cambria"/>
          <w:b/>
          <w:bCs/>
          <w:sz w:val="36"/>
          <w:szCs w:val="36"/>
        </w:rPr>
        <w:t> </w:t>
      </w:r>
      <w:r w:rsidRPr="003359F0">
        <w:rPr>
          <w:rFonts w:ascii="Averta for TBWA" w:hAnsi="Averta for TBWA"/>
          <w:b/>
          <w:bCs/>
          <w:strike/>
          <w:sz w:val="36"/>
          <w:szCs w:val="36"/>
        </w:rPr>
        <w:t>AMOREEEEE</w:t>
      </w:r>
      <w:r w:rsidRPr="003359F0">
        <w:rPr>
          <w:rFonts w:ascii="Cambria" w:hAnsi="Cambria" w:cs="Cambria"/>
          <w:b/>
          <w:bCs/>
          <w:sz w:val="36"/>
          <w:szCs w:val="36"/>
        </w:rPr>
        <w:t> </w:t>
      </w:r>
      <w:r w:rsidRPr="003359F0">
        <w:rPr>
          <w:rFonts w:ascii="Averta for TBWA" w:hAnsi="Averta for TBWA"/>
          <w:b/>
          <w:bCs/>
          <w:sz w:val="36"/>
          <w:szCs w:val="36"/>
        </w:rPr>
        <w:t>DO MOREEEEE!</w:t>
      </w:r>
      <w:r w:rsidRPr="003359F0">
        <w:rPr>
          <w:rFonts w:ascii="Cambria" w:hAnsi="Cambria" w:cs="Cambria"/>
          <w:b/>
          <w:bCs/>
          <w:sz w:val="36"/>
          <w:szCs w:val="36"/>
        </w:rPr>
        <w:t> </w:t>
      </w:r>
    </w:p>
    <w:p w14:paraId="528DC83F" w14:textId="3CFC6B9A" w:rsidR="00E75F28" w:rsidRPr="003359F0" w:rsidRDefault="003359F0" w:rsidP="00E75F28">
      <w:pPr>
        <w:rPr>
          <w:rFonts w:ascii="Averta for TBWA Extrabold" w:hAnsi="Averta for TBWA Extrabold" w:cs="Times New Roman"/>
          <w:b/>
          <w:bCs/>
          <w:sz w:val="16"/>
          <w:szCs w:val="16"/>
          <w:lang w:val="nl-BE"/>
        </w:rPr>
      </w:pPr>
      <w:r w:rsidRPr="003359F0">
        <w:rPr>
          <w:rFonts w:ascii="Averta for TBWA Extrabold" w:hAnsi="Averta for TBWA Extrabold" w:cs="Times New Roman"/>
          <w:b/>
          <w:bCs/>
          <w:sz w:val="16"/>
          <w:szCs w:val="16"/>
          <w:lang w:val="nl-BE"/>
        </w:rPr>
        <w:t>1/10/2024</w:t>
      </w:r>
    </w:p>
    <w:p w14:paraId="6751C3DF" w14:textId="77777777" w:rsidR="00E75F28" w:rsidRPr="003359F0" w:rsidRDefault="00E75F28" w:rsidP="00E75F28">
      <w:pPr>
        <w:jc w:val="both"/>
        <w:rPr>
          <w:rFonts w:ascii="Times New Roman" w:hAnsi="Times New Roman" w:cs="Times New Roman"/>
          <w:lang w:val="nl-BE"/>
        </w:rPr>
      </w:pPr>
    </w:p>
    <w:p w14:paraId="084A1372" w14:textId="1BB5D8CC" w:rsidR="003359F0" w:rsidRPr="003359F0" w:rsidRDefault="003359F0" w:rsidP="003359F0">
      <w:pPr>
        <w:rPr>
          <w:rFonts w:ascii="Averta for TBWA" w:hAnsi="Averta for TBWA" w:cs="Times New Roman"/>
          <w:b/>
          <w:bCs/>
          <w:lang w:val="nl-BE"/>
        </w:rPr>
      </w:pPr>
      <w:r w:rsidRPr="003359F0">
        <w:rPr>
          <w:rFonts w:ascii="Averta for TBWA" w:hAnsi="Averta for TBWA" w:cs="Times New Roman"/>
          <w:b/>
          <w:bCs/>
          <w:noProof/>
          <w:lang w:val="nl-BE"/>
        </w:rPr>
        <w:t>TBWA lanceert deze maand de nieuwe campagne voor ‘ING Do More’, een compleet bankpakket met een zichtrekening en talloze voordelen.</w:t>
      </w:r>
      <w:r w:rsidRPr="003359F0">
        <w:rPr>
          <w:rFonts w:ascii="Cambria" w:hAnsi="Cambria" w:cs="Cambria"/>
          <w:b/>
          <w:bCs/>
          <w:noProof/>
          <w:lang w:val="nl-BE"/>
        </w:rPr>
        <w:t> </w:t>
      </w:r>
      <w:r w:rsidRPr="003359F0">
        <w:rPr>
          <w:rFonts w:ascii="Averta for TBWA" w:hAnsi="Averta for TBWA" w:cs="Times New Roman"/>
          <w:b/>
          <w:bCs/>
          <w:noProof/>
          <w:lang w:val="nl-BE"/>
        </w:rPr>
        <w:t>In deze nieuwe TV-spot volgen we het verhaal van Mona, een jonge moeder die -wat er ook gebeurt- zingend door het leven gaat dankzij het ING Do More-pack.</w:t>
      </w:r>
      <w:r w:rsidRPr="003359F0">
        <w:rPr>
          <w:rFonts w:ascii="Cambria" w:hAnsi="Cambria" w:cs="Cambria"/>
          <w:b/>
          <w:bCs/>
          <w:noProof/>
          <w:lang w:val="nl-BE"/>
        </w:rPr>
        <w:t> </w:t>
      </w:r>
      <w:r w:rsidRPr="003359F0">
        <w:rPr>
          <w:rFonts w:ascii="Averta for TBWA" w:hAnsi="Averta for TBWA" w:cs="Times New Roman"/>
          <w:noProof/>
          <w:lang w:val="nl-BE"/>
        </w:rPr>
        <w:br/>
      </w:r>
      <w:r w:rsidRPr="003359F0">
        <w:rPr>
          <w:rFonts w:ascii="Averta for TBWA" w:hAnsi="Averta for TBWA" w:cs="Times New Roman"/>
          <w:noProof/>
          <w:lang w:val="nl-BE"/>
        </w:rPr>
        <w:br/>
        <w:t>Een pas gekochte vaas die stuk valt? Geen probleem, want ze heeft een aankoopverzekering. That’s Do Moreeeee. Contactloos betalen terwijl je je handen vol hebt? Dat gaat allemaal met Do Moreeeee! Deze en nog veel meer voordelen worden tot leven gebracht in een vrolijke, speelse campagne geregisseerd door Christophe Dolcerocca i.s.m. productiehuis Wenneker. Leuk detail: het bekende liedje "That’s Amorééééé" kreeg een moderne twist met de hulp van Poum Tchak. Allemaal om te laten zien hoe vlotjes alles kan met het Do More pack van ING. Bekijk het hieronder:</w:t>
      </w:r>
    </w:p>
    <w:p w14:paraId="1CD8C3F9" w14:textId="77777777" w:rsidR="003359F0" w:rsidRPr="003359F0" w:rsidRDefault="003359F0" w:rsidP="003359F0">
      <w:pPr>
        <w:pBdr>
          <w:bottom w:val="single" w:sz="6" w:space="1" w:color="auto"/>
        </w:pBdr>
        <w:rPr>
          <w:rFonts w:ascii="Averta for TBWA" w:hAnsi="Averta for TBWA" w:cs="Times New Roman"/>
          <w:noProof/>
          <w:lang w:val="en-BE"/>
        </w:rPr>
      </w:pPr>
      <w:r w:rsidRPr="003359F0">
        <w:rPr>
          <w:rFonts w:ascii="Cambria" w:hAnsi="Cambria" w:cs="Cambria"/>
          <w:noProof/>
          <w:lang w:val="en-BE"/>
        </w:rPr>
        <w:t> </w:t>
      </w:r>
    </w:p>
    <w:p w14:paraId="1F5C5B70" w14:textId="6091552C" w:rsidR="00E75F28" w:rsidRPr="003359F0" w:rsidRDefault="00E75F28" w:rsidP="00E75F28">
      <w:pPr>
        <w:pBdr>
          <w:bottom w:val="single" w:sz="6" w:space="1" w:color="auto"/>
        </w:pBdr>
        <w:rPr>
          <w:rFonts w:ascii="Averta for TBWA" w:hAnsi="Averta for TBWA" w:cs="Times New Roman"/>
          <w:lang w:val="nl-BE"/>
        </w:rPr>
      </w:pPr>
    </w:p>
    <w:p w14:paraId="588EA496" w14:textId="77777777" w:rsidR="00E75F28" w:rsidRPr="003359F0" w:rsidRDefault="00E75F28" w:rsidP="00E75F28">
      <w:pPr>
        <w:rPr>
          <w:rFonts w:ascii="Averta for TBWA" w:hAnsi="Averta for TBWA" w:cs="Times New Roman"/>
          <w:lang w:val="nl-BE"/>
        </w:rPr>
      </w:pPr>
    </w:p>
    <w:p w14:paraId="2BCD6C11" w14:textId="16145AC3" w:rsidR="00E75F28" w:rsidRPr="003359F0" w:rsidRDefault="00E75F28" w:rsidP="00E75F28">
      <w:pPr>
        <w:rPr>
          <w:rFonts w:ascii="Averta for TBWA Extrabold" w:hAnsi="Averta for TBWA Extrabold" w:cs="Times New Roman"/>
          <w:b/>
          <w:bCs/>
          <w:sz w:val="20"/>
          <w:szCs w:val="20"/>
        </w:rPr>
      </w:pPr>
      <w:r w:rsidRPr="003359F0">
        <w:rPr>
          <w:rFonts w:ascii="Averta for TBWA Extrabold" w:hAnsi="Averta for TBWA Extrabold" w:cs="Times New Roman"/>
          <w:b/>
          <w:bCs/>
          <w:sz w:val="20"/>
          <w:szCs w:val="20"/>
        </w:rPr>
        <w:t xml:space="preserve">&lt;Insert contact TBWA: </w:t>
      </w:r>
      <w:r w:rsidR="003359F0" w:rsidRPr="003359F0">
        <w:rPr>
          <w:rFonts w:ascii="Averta for TBWA Extrabold" w:hAnsi="Averta for TBWA Extrabold" w:cs="Times New Roman"/>
          <w:b/>
          <w:bCs/>
          <w:sz w:val="20"/>
          <w:szCs w:val="20"/>
        </w:rPr>
        <w:t>Elien Onclinx – Account Director</w:t>
      </w:r>
      <w:r w:rsidR="003359F0">
        <w:rPr>
          <w:rFonts w:ascii="Averta for TBWA Extrabold" w:hAnsi="Averta for TBWA Extrabold" w:cs="Times New Roman"/>
          <w:b/>
          <w:bCs/>
          <w:sz w:val="20"/>
          <w:szCs w:val="20"/>
        </w:rPr>
        <w:t xml:space="preserve"> </w:t>
      </w:r>
      <w:r w:rsidR="003359F0" w:rsidRPr="003359F0">
        <w:rPr>
          <w:rFonts w:ascii="Averta for TBWA Extrabold" w:hAnsi="Averta for TBWA Extrabold" w:cs="Times New Roman"/>
          <w:b/>
          <w:bCs/>
          <w:sz w:val="20"/>
          <w:szCs w:val="20"/>
        </w:rPr>
        <w:t>- elien.onclinx@tbwa.be</w:t>
      </w:r>
      <w:r w:rsidRPr="003359F0">
        <w:rPr>
          <w:rFonts w:ascii="Averta for TBWA Extrabold" w:hAnsi="Averta for TBWA Extrabold" w:cs="Times New Roman"/>
          <w:b/>
          <w:bCs/>
          <w:sz w:val="20"/>
          <w:szCs w:val="20"/>
        </w:rPr>
        <w:t>&gt;</w:t>
      </w:r>
    </w:p>
    <w:p w14:paraId="01A90218" w14:textId="4F7F550E" w:rsidR="00E75F28" w:rsidRPr="00E75F28" w:rsidRDefault="00E75F28" w:rsidP="00E75F28">
      <w:pPr>
        <w:rPr>
          <w:rFonts w:ascii="Averta for TBWA Extrabold" w:hAnsi="Averta for TBWA Extrabold" w:cs="Times New Roman"/>
          <w:b/>
          <w:bCs/>
          <w:sz w:val="20"/>
          <w:szCs w:val="20"/>
        </w:rPr>
      </w:pPr>
      <w:r w:rsidRPr="00E75F28">
        <w:rPr>
          <w:rFonts w:ascii="Averta for TBWA Extrabold" w:hAnsi="Averta for TBWA Extrabold" w:cs="Times New Roman"/>
          <w:b/>
          <w:bCs/>
          <w:sz w:val="20"/>
          <w:szCs w:val="20"/>
        </w:rPr>
        <w:t>&lt;Insert contact TBWA: PR&gt;</w:t>
      </w:r>
    </w:p>
    <w:p w14:paraId="7AAA3485" w14:textId="77777777" w:rsidR="003359F0" w:rsidRPr="003359F0" w:rsidRDefault="00E75F28" w:rsidP="003359F0">
      <w:pPr>
        <w:rPr>
          <w:rFonts w:ascii="Averta for TBWA Extrabold" w:hAnsi="Averta for TBWA Extrabold" w:cs="Times New Roman"/>
          <w:b/>
          <w:bCs/>
          <w:sz w:val="20"/>
          <w:szCs w:val="20"/>
          <w:lang w:val="en-BE"/>
        </w:rPr>
      </w:pPr>
      <w:r w:rsidRPr="00E75F28">
        <w:rPr>
          <w:rFonts w:ascii="Averta for TBWA Extrabold" w:hAnsi="Averta for TBWA Extrabold" w:cs="Times New Roman"/>
          <w:b/>
          <w:bCs/>
          <w:sz w:val="20"/>
          <w:szCs w:val="20"/>
        </w:rPr>
        <w:t>&lt;Insert contact Client&gt;</w:t>
      </w:r>
      <w:r w:rsidR="003359F0">
        <w:rPr>
          <w:rFonts w:ascii="Averta for TBWA Extrabold" w:hAnsi="Averta for TBWA Extrabold" w:cs="Times New Roman"/>
          <w:b/>
          <w:bCs/>
          <w:sz w:val="20"/>
          <w:szCs w:val="20"/>
        </w:rPr>
        <w:t xml:space="preserve"> Laurence </w:t>
      </w:r>
      <w:proofErr w:type="spellStart"/>
      <w:r w:rsidR="003359F0">
        <w:rPr>
          <w:rFonts w:ascii="Averta for TBWA Extrabold" w:hAnsi="Averta for TBWA Extrabold" w:cs="Times New Roman"/>
          <w:b/>
          <w:bCs/>
          <w:sz w:val="20"/>
          <w:szCs w:val="20"/>
        </w:rPr>
        <w:t>Georlette</w:t>
      </w:r>
      <w:proofErr w:type="spellEnd"/>
      <w:r w:rsidR="003359F0">
        <w:rPr>
          <w:rFonts w:ascii="Averta for TBWA Extrabold" w:hAnsi="Averta for TBWA Extrabold" w:cs="Times New Roman"/>
          <w:b/>
          <w:bCs/>
          <w:sz w:val="20"/>
          <w:szCs w:val="20"/>
        </w:rPr>
        <w:t xml:space="preserve"> - </w:t>
      </w:r>
      <w:r w:rsidR="003359F0" w:rsidRPr="003359F0">
        <w:rPr>
          <w:rFonts w:ascii="Averta for TBWA Extrabold" w:hAnsi="Averta for TBWA Extrabold" w:cs="Times New Roman"/>
          <w:b/>
          <w:bCs/>
          <w:sz w:val="20"/>
          <w:szCs w:val="20"/>
          <w:lang w:val="en-BE"/>
        </w:rPr>
        <w:t>MarCom Retail</w:t>
      </w:r>
      <w:r w:rsidR="003359F0" w:rsidRPr="003359F0">
        <w:rPr>
          <w:rFonts w:ascii="Cambria" w:hAnsi="Cambria" w:cs="Cambria"/>
          <w:b/>
          <w:bCs/>
          <w:sz w:val="20"/>
          <w:szCs w:val="20"/>
          <w:lang w:val="en-BE"/>
        </w:rPr>
        <w:t> </w:t>
      </w:r>
    </w:p>
    <w:p w14:paraId="6CB03A66" w14:textId="224E363E" w:rsidR="00E75F28" w:rsidRPr="003359F0" w:rsidRDefault="003359F0" w:rsidP="00E75F28">
      <w:pPr>
        <w:rPr>
          <w:rFonts w:ascii="Averta for TBWA Extrabold" w:hAnsi="Averta for TBWA Extrabold" w:cs="Times New Roman"/>
          <w:b/>
          <w:bCs/>
          <w:sz w:val="20"/>
          <w:szCs w:val="20"/>
          <w:lang w:val="en-BE"/>
        </w:rPr>
      </w:pPr>
      <w:r w:rsidRPr="003359F0">
        <w:rPr>
          <w:rFonts w:ascii="Averta for TBWA Extrabold" w:hAnsi="Averta for TBWA Extrabold" w:cs="Times New Roman"/>
          <w:b/>
          <w:bCs/>
          <w:sz w:val="20"/>
          <w:szCs w:val="20"/>
          <w:lang w:val="en-BE"/>
        </w:rPr>
        <w:t>Center of Expertise Communications, Brand &amp; Marketing Communications</w:t>
      </w:r>
      <w:r w:rsidRPr="003359F0">
        <w:rPr>
          <w:rFonts w:ascii="Cambria" w:hAnsi="Cambria" w:cs="Cambria"/>
          <w:b/>
          <w:bCs/>
          <w:sz w:val="20"/>
          <w:szCs w:val="20"/>
          <w:lang w:val="en-BE"/>
        </w:rPr>
        <w:t> </w:t>
      </w:r>
      <w:r>
        <w:rPr>
          <w:rFonts w:ascii="Averta for TBWA Extrabold" w:hAnsi="Averta for TBWA Extrabold" w:cs="Times New Roman"/>
          <w:b/>
          <w:bCs/>
          <w:sz w:val="20"/>
          <w:szCs w:val="20"/>
          <w:lang w:val="en-BE"/>
        </w:rPr>
        <w:t xml:space="preserve">- </w:t>
      </w:r>
      <w:r w:rsidRPr="003359F0">
        <w:rPr>
          <w:rFonts w:ascii="Averta for TBWA Extrabold" w:hAnsi="Averta for TBWA Extrabold" w:cs="Times New Roman"/>
          <w:b/>
          <w:bCs/>
          <w:sz w:val="20"/>
          <w:szCs w:val="20"/>
        </w:rPr>
        <w:t>laurence.georlette@ing.com</w:t>
      </w:r>
    </w:p>
    <w:sectPr w:rsidR="00E75F28" w:rsidRPr="003359F0" w:rsidSect="000C133E">
      <w:headerReference w:type="default" r:id="rId6"/>
      <w:footerReference w:type="even" r:id="rId7"/>
      <w:footerReference w:type="default" r:id="rId8"/>
      <w:footerReference w:type="firs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C1EE5" w14:textId="77777777" w:rsidR="001D6456" w:rsidRDefault="001D6456" w:rsidP="00D90996">
      <w:r>
        <w:separator/>
      </w:r>
    </w:p>
  </w:endnote>
  <w:endnote w:type="continuationSeparator" w:id="0">
    <w:p w14:paraId="00FD2C3E" w14:textId="77777777" w:rsidR="001D6456" w:rsidRDefault="001D6456"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2FF" w:usb1="400004FF" w:usb2="00000000" w:usb3="00000000" w:csb0="0000019F"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A134" w14:textId="2DC66EDF" w:rsidR="003359F0" w:rsidRDefault="003359F0">
    <w:pPr>
      <w:pStyle w:val="Footer"/>
    </w:pPr>
    <w:r>
      <w:rPr>
        <w:noProof/>
      </w:rPr>
      <mc:AlternateContent>
        <mc:Choice Requires="wps">
          <w:drawing>
            <wp:anchor distT="0" distB="0" distL="0" distR="0" simplePos="0" relativeHeight="251661312" behindDoc="0" locked="0" layoutInCell="1" allowOverlap="1" wp14:anchorId="30983B14" wp14:editId="07FA6746">
              <wp:simplePos x="635" y="635"/>
              <wp:positionH relativeFrom="page">
                <wp:align>center</wp:align>
              </wp:positionH>
              <wp:positionV relativeFrom="page">
                <wp:align>bottom</wp:align>
              </wp:positionV>
              <wp:extent cx="2936875" cy="358140"/>
              <wp:effectExtent l="0" t="0" r="9525" b="0"/>
              <wp:wrapNone/>
              <wp:docPr id="774732412"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6875" cy="358140"/>
                      </a:xfrm>
                      <a:prstGeom prst="rect">
                        <a:avLst/>
                      </a:prstGeom>
                      <a:noFill/>
                      <a:ln>
                        <a:noFill/>
                      </a:ln>
                    </wps:spPr>
                    <wps:txbx>
                      <w:txbxContent>
                        <w:p w14:paraId="7AB3A277" w14:textId="586C96C8" w:rsidR="003359F0" w:rsidRPr="003359F0" w:rsidRDefault="003359F0" w:rsidP="003359F0">
                          <w:pPr>
                            <w:rPr>
                              <w:rFonts w:ascii="Calibri" w:eastAsia="Calibri" w:hAnsi="Calibri" w:cs="Calibri"/>
                              <w:noProof/>
                              <w:color w:val="000000"/>
                              <w:sz w:val="20"/>
                              <w:szCs w:val="20"/>
                            </w:rPr>
                          </w:pPr>
                          <w:r w:rsidRPr="003359F0">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83B14"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1.25pt;height:28.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oA7DAIAABYEAAAOAAAAZHJzL2Uyb0RvYy54bWysU99v2jAQfp+0/8Hy+0igo6MRoWKtmCah&#13;&#10;thKd+mwcm0SyfZZtSNhfv7NJoOv6VO3Fudyd78f3fZ7fdlqRg3C+AVPS8SinRBgOVWN2Jf31vPoy&#13;&#10;o8QHZiqmwIiSHoWnt4vPn+atLcQEalCVcASLGF+0tqR1CLbIMs9roZkfgRUGgxKcZgF/3S6rHGux&#13;&#10;ulbZJM+vsxZcZR1w4T16709Bukj1pRQ8PErpRSCqpDhbSKdL5zae2WLOip1jtm54Pwb7wBSaNQab&#13;&#10;nkvds8DI3jX/lNINd+BBhhEHnYGUDRdpB9xmnL/ZZlMzK9IuCI63Z5j8/yvLHw4b++RI6L5DhwRG&#13;&#10;QFrrC4/OuE8nnY5fnJRgHCE8nmETXSAcnZObq+vZtyklHGNX09n4a8I1u9y2zocfAjSJRkkd0pLQ&#13;&#10;Yoe1D9gRU4eU2MzAqlEqUaPMXw5MjJ7sMmK0Qrft+rm3UB1xHQcnpr3lqwZ7rpkPT8whtbgByjU8&#13;&#10;4iEVtCWF3qKkBvf7PX/MR8QxSkmLUimpQS1Ton4aZCKqajDcYGyTMb7JpznGzV7fAQpwjG/B8mSi&#13;&#10;1wU1mNKBfkEhL2MjDDHDsV1Jt4N5F06axYfAxXKZklBAloW12VgeS0ecIojP3Qtztkc6IEcPMOiI&#13;&#10;FW8AP+XGm94u9wFhT2xETE9A9lCj+BJJ/UOJ6n79n7Iuz3nxBwAA//8DAFBLAwQUAAYACAAAACEA&#13;&#10;ealicd4AAAAJAQAADwAAAGRycy9kb3ducmV2LnhtbEyPwW7CMBBE75X6D9ZW6q04DRBVIQ6qqHqi&#13;&#10;qgT00puxlyQQr6PYgfD33fZCLyOtRjM7r1iOrhVn7EPjScHzJAGBZLxtqFLwtXt/egERoiarW0+o&#13;&#10;4IoBluX9XaFz6y+0wfM2VoJLKORaQR1jl0sZTI1Oh4nvkNg7+N7pyGdfSdvrC5e7VqZJkkmnG+IP&#13;&#10;te5wVaM5bQenYL6JH8Mn7abfY3o9rruVmR7WRqnHh/FtwfK6ABFxjLcE/DLwfih52N4PZINoFTBN&#13;&#10;/FP2Zlk6B7Hn9mwGsizkf4LyBwAA//8DAFBLAQItABQABgAIAAAAIQC2gziS/gAAAOEBAAATAAAA&#13;&#10;AAAAAAAAAAAAAAAAAABbQ29udGVudF9UeXBlc10ueG1sUEsBAi0AFAAGAAgAAAAhADj9If/WAAAA&#13;&#10;lAEAAAsAAAAAAAAAAAAAAAAALwEAAF9yZWxzLy5yZWxzUEsBAi0AFAAGAAgAAAAhAPY6gDsMAgAA&#13;&#10;FgQAAA4AAAAAAAAAAAAAAAAALgIAAGRycy9lMm9Eb2MueG1sUEsBAi0AFAAGAAgAAAAhAHmpYnHe&#13;&#10;AAAACQEAAA8AAAAAAAAAAAAAAAAAZgQAAGRycy9kb3ducmV2LnhtbFBLBQYAAAAABAAEAPMAAABx&#13;&#10;BQAAAAA=&#13;&#10;" filled="f" stroked="f">
              <v:fill o:detectmouseclick="t"/>
              <v:textbox style="mso-fit-shape-to-text:t" inset="0,0,0,15pt">
                <w:txbxContent>
                  <w:p w14:paraId="7AB3A277" w14:textId="586C96C8" w:rsidR="003359F0" w:rsidRPr="003359F0" w:rsidRDefault="003359F0" w:rsidP="003359F0">
                    <w:pPr>
                      <w:rPr>
                        <w:rFonts w:ascii="Calibri" w:eastAsia="Calibri" w:hAnsi="Calibri" w:cs="Calibri"/>
                        <w:noProof/>
                        <w:color w:val="000000"/>
                        <w:sz w:val="20"/>
                        <w:szCs w:val="20"/>
                      </w:rPr>
                    </w:pPr>
                    <w:r w:rsidRPr="003359F0">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3E5C" w14:textId="5D9E6DBF" w:rsidR="003359F0" w:rsidRDefault="003359F0">
    <w:pPr>
      <w:pStyle w:val="Footer"/>
    </w:pPr>
    <w:r>
      <w:rPr>
        <w:noProof/>
      </w:rPr>
      <mc:AlternateContent>
        <mc:Choice Requires="wps">
          <w:drawing>
            <wp:anchor distT="0" distB="0" distL="0" distR="0" simplePos="0" relativeHeight="251662336" behindDoc="0" locked="0" layoutInCell="1" allowOverlap="1" wp14:anchorId="21E51D78" wp14:editId="2DC1105D">
              <wp:simplePos x="635" y="635"/>
              <wp:positionH relativeFrom="page">
                <wp:align>center</wp:align>
              </wp:positionH>
              <wp:positionV relativeFrom="page">
                <wp:align>bottom</wp:align>
              </wp:positionV>
              <wp:extent cx="2936875" cy="358140"/>
              <wp:effectExtent l="0" t="0" r="9525" b="0"/>
              <wp:wrapNone/>
              <wp:docPr id="1896521753"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6875" cy="358140"/>
                      </a:xfrm>
                      <a:prstGeom prst="rect">
                        <a:avLst/>
                      </a:prstGeom>
                      <a:noFill/>
                      <a:ln>
                        <a:noFill/>
                      </a:ln>
                    </wps:spPr>
                    <wps:txbx>
                      <w:txbxContent>
                        <w:p w14:paraId="2268E53A" w14:textId="2D2E9745" w:rsidR="003359F0" w:rsidRPr="003359F0" w:rsidRDefault="003359F0" w:rsidP="003359F0">
                          <w:pPr>
                            <w:rPr>
                              <w:rFonts w:ascii="Calibri" w:eastAsia="Calibri" w:hAnsi="Calibri" w:cs="Calibri"/>
                              <w:noProof/>
                              <w:color w:val="000000"/>
                              <w:sz w:val="20"/>
                              <w:szCs w:val="20"/>
                            </w:rPr>
                          </w:pPr>
                          <w:r w:rsidRPr="003359F0">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E51D78"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1.25pt;height:28.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tlUDwIAAB0EAAAOAAAAZHJzL2Uyb0RvYy54bWysU01v2zAMvQ/YfxB0X+ykS5cacYqsRYYB&#13;&#10;RVsgHXpWZCk2YIkCpcTOfv0oJU66bqdhF5kmKX689zS/7U3L9gp9A7bk41HOmbISqsZuS/7jZfVp&#13;&#10;xpkPwlaiBatKflCe3y4+fph3rlATqKGtFDIqYn3RuZLXIbgiy7yslRF+BE5ZCmpAIwL94jarUHRU&#13;&#10;3bTZJM+vsw6wcghSeU/e+2OQL1J9rZUMT1p7FVhbcpotpBPTuYlntpiLYovC1Y08jSH+YQojGktN&#13;&#10;z6XuRRBsh80fpUwjETzoMJJgMtC6kSrtQNuM83fbrGvhVNqFwPHuDJP/f2Xl437tnpGF/iv0RGAE&#13;&#10;pHO+8OSM+/QaTfzSpIziBOHhDJvqA5PknNxcXc++TDmTFLuazsafE67Z5bZDH74pMCwaJUeiJaEl&#13;&#10;9g8+UEdKHVJiMwurpm0TNa39zUGJ0ZNdRoxW6Dc9a6o342+gOtBWCEfCvZOrhlo/CB+eBRLDtAip&#13;&#10;NjzRoVvoSg4ni7Ma8Off/DGfgKcoZx0ppuSWJM1Z+90SIVFcg4GDsUnG+Caf5hS3O3MHpMMxPQkn&#13;&#10;k0leDO1gagTzSnpexkYUElZSu5JvBvMuHKVL70Gq5TIlkY6cCA927WQsHeGKWL70rwLdCfBAVD3C&#13;&#10;ICdRvMP9mBtverfcBUI/kRKhPQJ5Qpw0mLg6vZco8rf/Kevyqhe/AAAA//8DAFBLAwQUAAYACAAA&#13;&#10;ACEAealicd4AAAAJAQAADwAAAGRycy9kb3ducmV2LnhtbEyPwW7CMBBE75X6D9ZW6q04DRBVIQ6q&#13;&#10;qHqiqgT00puxlyQQr6PYgfD33fZCLyOtRjM7r1iOrhVn7EPjScHzJAGBZLxtqFLwtXt/egERoiar&#13;&#10;W0+o4IoBluX9XaFz6y+0wfM2VoJLKORaQR1jl0sZTI1Oh4nvkNg7+N7pyGdfSdvrC5e7VqZJkkmn&#13;&#10;G+IPte5wVaM5bQenYL6JH8Mn7abfY3o9rruVmR7WRqnHh/FtwfK6ABFxjLcE/DLwfih52N4PZINo&#13;&#10;FTBN/FP2Zlk6B7Hn9mwGsizkf4LyBwAA//8DAFBLAQItABQABgAIAAAAIQC2gziS/gAAAOEBAAAT&#13;&#10;AAAAAAAAAAAAAAAAAAAAAABbQ29udGVudF9UeXBlc10ueG1sUEsBAi0AFAAGAAgAAAAhADj9If/W&#13;&#10;AAAAlAEAAAsAAAAAAAAAAAAAAAAALwEAAF9yZWxzLy5yZWxzUEsBAi0AFAAGAAgAAAAhALV+2VQP&#13;&#10;AgAAHQQAAA4AAAAAAAAAAAAAAAAALgIAAGRycy9lMm9Eb2MueG1sUEsBAi0AFAAGAAgAAAAhAHmp&#13;&#10;YnHeAAAACQEAAA8AAAAAAAAAAAAAAAAAaQQAAGRycy9kb3ducmV2LnhtbFBLBQYAAAAABAAEAPMA&#13;&#10;AAB0BQAAAAA=&#13;&#10;" filled="f" stroked="f">
              <v:fill o:detectmouseclick="t"/>
              <v:textbox style="mso-fit-shape-to-text:t" inset="0,0,0,15pt">
                <w:txbxContent>
                  <w:p w14:paraId="2268E53A" w14:textId="2D2E9745" w:rsidR="003359F0" w:rsidRPr="003359F0" w:rsidRDefault="003359F0" w:rsidP="003359F0">
                    <w:pPr>
                      <w:rPr>
                        <w:rFonts w:ascii="Calibri" w:eastAsia="Calibri" w:hAnsi="Calibri" w:cs="Calibri"/>
                        <w:noProof/>
                        <w:color w:val="000000"/>
                        <w:sz w:val="20"/>
                        <w:szCs w:val="20"/>
                      </w:rPr>
                    </w:pPr>
                    <w:r w:rsidRPr="003359F0">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BDBC" w14:textId="0F9CC8D6" w:rsidR="003359F0" w:rsidRDefault="003359F0">
    <w:pPr>
      <w:pStyle w:val="Footer"/>
    </w:pPr>
    <w:r>
      <w:rPr>
        <w:noProof/>
      </w:rPr>
      <mc:AlternateContent>
        <mc:Choice Requires="wps">
          <w:drawing>
            <wp:anchor distT="0" distB="0" distL="0" distR="0" simplePos="0" relativeHeight="251660288" behindDoc="0" locked="0" layoutInCell="1" allowOverlap="1" wp14:anchorId="0CD17709" wp14:editId="48023480">
              <wp:simplePos x="635" y="635"/>
              <wp:positionH relativeFrom="page">
                <wp:align>center</wp:align>
              </wp:positionH>
              <wp:positionV relativeFrom="page">
                <wp:align>bottom</wp:align>
              </wp:positionV>
              <wp:extent cx="2936875" cy="358140"/>
              <wp:effectExtent l="0" t="0" r="9525" b="0"/>
              <wp:wrapNone/>
              <wp:docPr id="993556407"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6875" cy="358140"/>
                      </a:xfrm>
                      <a:prstGeom prst="rect">
                        <a:avLst/>
                      </a:prstGeom>
                      <a:noFill/>
                      <a:ln>
                        <a:noFill/>
                      </a:ln>
                    </wps:spPr>
                    <wps:txbx>
                      <w:txbxContent>
                        <w:p w14:paraId="08CD2843" w14:textId="418E36C1" w:rsidR="003359F0" w:rsidRPr="003359F0" w:rsidRDefault="003359F0" w:rsidP="003359F0">
                          <w:pPr>
                            <w:rPr>
                              <w:rFonts w:ascii="Calibri" w:eastAsia="Calibri" w:hAnsi="Calibri" w:cs="Calibri"/>
                              <w:noProof/>
                              <w:color w:val="000000"/>
                              <w:sz w:val="20"/>
                              <w:szCs w:val="20"/>
                            </w:rPr>
                          </w:pPr>
                          <w:r w:rsidRPr="003359F0">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17709"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1.25pt;height:28.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w4SEAIAAB0EAAAOAAAAZHJzL2Uyb0RvYy54bWysU01v2zAMvQ/YfxB0X+ykS5cacYqsRYYB&#13;&#10;QVsgHXpWZCk2YIkCpcTOfv0oJW66bqdhF5kmKX689zS/7U3LDgp9A7bk41HOmbISqsbuSv7jefVp&#13;&#10;xpkPwlaiBatKflSe3y4+fph3rlATqKGtFDIqYn3RuZLXIbgiy7yslRF+BE5ZCmpAIwL94i6rUHRU&#13;&#10;3bTZJM+vsw6wcghSeU/e+1OQL1J9rZUMj1p7FVhbcpotpBPTuY1ntpiLYofC1Y08jyH+YQojGktN&#13;&#10;X0vdiyDYHps/SplGInjQYSTBZKB1I1XagbYZ5++22dTCqbQLgePdK0z+/5WVD4eNe0IW+q/QE4ER&#13;&#10;kM75wpMz7tNrNPFLkzKKE4THV9hUH5gk5+Tm6nr2ZcqZpNjVdDb+nHDNLrcd+vBNgWHRKDkSLQkt&#13;&#10;cVj7QB0pdUiJzSysmrZN1LT2NwclRk92GTFaod/2rKlokmH8LVRH2grhRLh3ctVQ67Xw4UkgMUyL&#13;&#10;kGrDIx26ha7kcLY4qwF//s0f8wl4inLWkWJKbknSnLXfLRESxTUYOBjbZIxv8mlOcbs3d0A6HNOT&#13;&#10;cDKZ5MXQDqZGMC+k52VsRCFhJbUr+XYw78JJuvQepFouUxLpyImwthsnY+kIV8TyuX8R6M6AB6Lq&#13;&#10;AQY5ieId7qfceNO75T4Q+omUCO0JyDPipMHE1fm9RJG//U9Zl1e9+AUAAP//AwBQSwMEFAAGAAgA&#13;&#10;AAAhAHmpYnHeAAAACQEAAA8AAABkcnMvZG93bnJldi54bWxMj8FuwjAQRO+V+g/WVuqtOA0QVSEO&#13;&#10;qqh6oqoE9NKbsZckEK+j2IHw9932Qi8jrUYzO69Yjq4VZ+xD40nB8yQBgWS8bahS8LV7f3oBEaIm&#13;&#10;q1tPqOCKAZbl/V2hc+svtMHzNlaCSyjkWkEdY5dLGUyNToeJ75DYO/je6chnX0nb6wuXu1amSZJJ&#13;&#10;pxviD7XucFWjOW0Hp2C+iR/DJ+2m32N6Pa67lZke1kapx4fxbcHyugARcYy3BPwy8H4oedjeD2SD&#13;&#10;aBUwTfxT9mZZOgex5/ZsBrIs5H+C8gcAAP//AwBQSwECLQAUAAYACAAAACEAtoM4kv4AAADhAQAA&#13;&#10;EwAAAAAAAAAAAAAAAAAAAAAAW0NvbnRlbnRfVHlwZXNdLnhtbFBLAQItABQABgAIAAAAIQA4/SH/&#13;&#10;1gAAAJQBAAALAAAAAAAAAAAAAAAAAC8BAABfcmVscy8ucmVsc1BLAQItABQABgAIAAAAIQACvw4S&#13;&#10;EAIAAB0EAAAOAAAAAAAAAAAAAAAAAC4CAABkcnMvZTJvRG9jLnhtbFBLAQItABQABgAIAAAAIQB5&#13;&#10;qWJx3gAAAAkBAAAPAAAAAAAAAAAAAAAAAGoEAABkcnMvZG93bnJldi54bWxQSwUGAAAAAAQABADz&#13;&#10;AAAAdQUAAAAA&#13;&#10;" filled="f" stroked="f">
              <v:fill o:detectmouseclick="t"/>
              <v:textbox style="mso-fit-shape-to-text:t" inset="0,0,0,15pt">
                <w:txbxContent>
                  <w:p w14:paraId="08CD2843" w14:textId="418E36C1" w:rsidR="003359F0" w:rsidRPr="003359F0" w:rsidRDefault="003359F0" w:rsidP="003359F0">
                    <w:pPr>
                      <w:rPr>
                        <w:rFonts w:ascii="Calibri" w:eastAsia="Calibri" w:hAnsi="Calibri" w:cs="Calibri"/>
                        <w:noProof/>
                        <w:color w:val="000000"/>
                        <w:sz w:val="20"/>
                        <w:szCs w:val="20"/>
                      </w:rPr>
                    </w:pPr>
                    <w:r w:rsidRPr="003359F0">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53BF" w14:textId="77777777" w:rsidR="001D6456" w:rsidRDefault="001D6456" w:rsidP="00D90996">
      <w:r>
        <w:separator/>
      </w:r>
    </w:p>
  </w:footnote>
  <w:footnote w:type="continuationSeparator" w:id="0">
    <w:p w14:paraId="1FAEEA30" w14:textId="77777777" w:rsidR="001D6456" w:rsidRDefault="001D6456"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16CA7"/>
    <w:rsid w:val="00126425"/>
    <w:rsid w:val="001638C4"/>
    <w:rsid w:val="00172F10"/>
    <w:rsid w:val="001A2D55"/>
    <w:rsid w:val="001D6456"/>
    <w:rsid w:val="001E7DA2"/>
    <w:rsid w:val="00295BC4"/>
    <w:rsid w:val="003359F0"/>
    <w:rsid w:val="003A2851"/>
    <w:rsid w:val="003E76C2"/>
    <w:rsid w:val="003F5871"/>
    <w:rsid w:val="004078AA"/>
    <w:rsid w:val="0042368B"/>
    <w:rsid w:val="004D2633"/>
    <w:rsid w:val="004D6F49"/>
    <w:rsid w:val="004E635F"/>
    <w:rsid w:val="00546109"/>
    <w:rsid w:val="005605A7"/>
    <w:rsid w:val="0059059A"/>
    <w:rsid w:val="005E0D42"/>
    <w:rsid w:val="00697B03"/>
    <w:rsid w:val="006E4194"/>
    <w:rsid w:val="007F20C9"/>
    <w:rsid w:val="0083135D"/>
    <w:rsid w:val="00901B54"/>
    <w:rsid w:val="009071C2"/>
    <w:rsid w:val="00992019"/>
    <w:rsid w:val="009B0306"/>
    <w:rsid w:val="00B252D1"/>
    <w:rsid w:val="00B6095D"/>
    <w:rsid w:val="00BA54C1"/>
    <w:rsid w:val="00C2437C"/>
    <w:rsid w:val="00C37865"/>
    <w:rsid w:val="00C56B6C"/>
    <w:rsid w:val="00D02A6E"/>
    <w:rsid w:val="00D47CC3"/>
    <w:rsid w:val="00D90996"/>
    <w:rsid w:val="00E43170"/>
    <w:rsid w:val="00E75F28"/>
    <w:rsid w:val="00F17679"/>
    <w:rsid w:val="00F33B66"/>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637807">
      <w:bodyDiv w:val="1"/>
      <w:marLeft w:val="0"/>
      <w:marRight w:val="0"/>
      <w:marTop w:val="0"/>
      <w:marBottom w:val="0"/>
      <w:divBdr>
        <w:top w:val="none" w:sz="0" w:space="0" w:color="auto"/>
        <w:left w:val="none" w:sz="0" w:space="0" w:color="auto"/>
        <w:bottom w:val="none" w:sz="0" w:space="0" w:color="auto"/>
        <w:right w:val="none" w:sz="0" w:space="0" w:color="auto"/>
      </w:divBdr>
    </w:div>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1290934579">
      <w:bodyDiv w:val="1"/>
      <w:marLeft w:val="0"/>
      <w:marRight w:val="0"/>
      <w:marTop w:val="0"/>
      <w:marBottom w:val="0"/>
      <w:divBdr>
        <w:top w:val="none" w:sz="0" w:space="0" w:color="auto"/>
        <w:left w:val="none" w:sz="0" w:space="0" w:color="auto"/>
        <w:bottom w:val="none" w:sz="0" w:space="0" w:color="auto"/>
        <w:right w:val="none" w:sz="0" w:space="0" w:color="auto"/>
      </w:divBdr>
    </w:div>
    <w:div w:id="1835994458">
      <w:bodyDiv w:val="1"/>
      <w:marLeft w:val="0"/>
      <w:marRight w:val="0"/>
      <w:marTop w:val="0"/>
      <w:marBottom w:val="0"/>
      <w:divBdr>
        <w:top w:val="none" w:sz="0" w:space="0" w:color="auto"/>
        <w:left w:val="none" w:sz="0" w:space="0" w:color="auto"/>
        <w:bottom w:val="none" w:sz="0" w:space="0" w:color="auto"/>
        <w:right w:val="none" w:sz="0" w:space="0" w:color="auto"/>
      </w:divBdr>
    </w:div>
    <w:div w:id="20360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Elien Onclinx</cp:lastModifiedBy>
  <cp:revision>2</cp:revision>
  <cp:lastPrinted>2019-02-06T10:00:00Z</cp:lastPrinted>
  <dcterms:created xsi:type="dcterms:W3CDTF">2024-09-27T11:16:00Z</dcterms:created>
  <dcterms:modified xsi:type="dcterms:W3CDTF">2024-09-27T11:16:00Z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3b3877b7,2e2d7a7c,710aa019</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2024-09-27T11:15:37Z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3fbf0a5c-01f0-4fd5-9599-9402e0dca70a</vt:lpwstr>
  </property>
  <property fmtid="{D5CDD505-2E9C-101B-9397-08002B2CF9AE}" pid="11" name="MSIP_Label_8e19d756-792e-42a1-bcad-4cb9051ddd2d_ContentBits">
    <vt:lpwstr>2</vt:lpwstr>
  </property>
</Properties>
</file>