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0CCDB" w14:textId="77777777" w:rsidR="00E32F4B" w:rsidRPr="00D820D7" w:rsidRDefault="00E32F4B" w:rsidP="001A0B96">
      <w:pPr>
        <w:spacing w:after="0" w:line="360" w:lineRule="auto"/>
        <w:rPr>
          <w:rFonts w:ascii="Sennheiser Neue Regular" w:hAnsi="Sennheiser Neue Regular"/>
          <w:b/>
          <w:bCs/>
          <w:sz w:val="18"/>
          <w:szCs w:val="18"/>
          <w:lang w:val="fr-FR"/>
        </w:rPr>
      </w:pPr>
    </w:p>
    <w:p w14:paraId="22BDB2D4" w14:textId="79C01349" w:rsidR="009341D2" w:rsidRPr="00D820D7" w:rsidRDefault="00BA1FD3" w:rsidP="001A0B96">
      <w:pPr>
        <w:spacing w:after="0" w:line="360" w:lineRule="auto"/>
        <w:rPr>
          <w:color w:val="0095D5"/>
          <w:u w:color="0095D5"/>
        </w:rPr>
      </w:pPr>
      <w:proofErr w:type="spellStart"/>
      <w:r w:rsidRPr="00D820D7">
        <w:rPr>
          <w:color w:val="0095D5"/>
          <w:u w:color="0095D5"/>
        </w:rPr>
        <w:t>ProDVX</w:t>
      </w:r>
      <w:proofErr w:type="spellEnd"/>
      <w:r w:rsidRPr="00D820D7">
        <w:rPr>
          <w:color w:val="0095D5"/>
          <w:u w:color="0095D5"/>
        </w:rPr>
        <w:t xml:space="preserve"> </w:t>
      </w:r>
      <w:r w:rsidR="00D21941" w:rsidRPr="00D820D7">
        <w:rPr>
          <w:color w:val="0095D5"/>
          <w:u w:color="0095D5"/>
        </w:rPr>
        <w:t xml:space="preserve">Europe </w:t>
      </w:r>
      <w:r w:rsidR="001738E1" w:rsidRPr="00D820D7">
        <w:rPr>
          <w:color w:val="0095D5"/>
          <w:u w:color="0095D5"/>
        </w:rPr>
        <w:t>et</w:t>
      </w:r>
      <w:r w:rsidRPr="00D820D7">
        <w:rPr>
          <w:color w:val="0095D5"/>
          <w:u w:color="0095D5"/>
        </w:rPr>
        <w:t xml:space="preserve"> Sennheiser </w:t>
      </w:r>
      <w:r w:rsidR="001738E1" w:rsidRPr="00D820D7">
        <w:rPr>
          <w:color w:val="0095D5"/>
          <w:u w:color="0095D5"/>
        </w:rPr>
        <w:t>s’associent pour faciliter l’accès à des expériences audio inclusives</w:t>
      </w:r>
    </w:p>
    <w:p w14:paraId="513E42FD" w14:textId="77777777" w:rsidR="00BA1FD3" w:rsidRPr="00D820D7" w:rsidRDefault="00BA1FD3" w:rsidP="001A0B96">
      <w:pPr>
        <w:spacing w:after="0" w:line="360" w:lineRule="auto"/>
        <w:rPr>
          <w:rFonts w:ascii="Sennheiser Neue Regular" w:hAnsi="Sennheiser Neue Regular"/>
          <w:sz w:val="16"/>
          <w:szCs w:val="16"/>
          <w:lang w:val="fr-FR"/>
        </w:rPr>
      </w:pPr>
    </w:p>
    <w:p w14:paraId="5536AA21" w14:textId="47A7E994" w:rsidR="00071397" w:rsidRPr="00D820D7" w:rsidRDefault="005A5EAD" w:rsidP="00071397">
      <w:pPr>
        <w:spacing w:after="0" w:line="360" w:lineRule="auto"/>
        <w:rPr>
          <w:rFonts w:ascii="Sennheiser Neue Regular" w:hAnsi="Sennheiser Neue Regular"/>
          <w:b/>
          <w:bCs/>
          <w:sz w:val="16"/>
          <w:szCs w:val="16"/>
          <w:lang w:val="fr-FR"/>
        </w:rPr>
      </w:pPr>
      <w:proofErr w:type="spellStart"/>
      <w:r w:rsidRPr="00D820D7">
        <w:rPr>
          <w:rFonts w:ascii="Sennheiser Neue Regular" w:hAnsi="Sennheiser Neue Regular"/>
          <w:b/>
          <w:bCs/>
          <w:i/>
          <w:iCs/>
          <w:sz w:val="16"/>
          <w:szCs w:val="16"/>
          <w:lang w:val="fr-FR"/>
        </w:rPr>
        <w:t>Wedemark</w:t>
      </w:r>
      <w:proofErr w:type="spellEnd"/>
      <w:r w:rsidRPr="00D820D7">
        <w:rPr>
          <w:rFonts w:ascii="Sennheiser Neue Regular" w:hAnsi="Sennheiser Neue Regular"/>
          <w:b/>
          <w:bCs/>
          <w:i/>
          <w:iCs/>
          <w:sz w:val="16"/>
          <w:szCs w:val="16"/>
          <w:lang w:val="fr-FR"/>
        </w:rPr>
        <w:t xml:space="preserve">, </w:t>
      </w:r>
      <w:r w:rsidR="00747F95" w:rsidRPr="00D820D7">
        <w:rPr>
          <w:rFonts w:ascii="Sennheiser Neue Regular" w:hAnsi="Sennheiser Neue Regular"/>
          <w:b/>
          <w:bCs/>
          <w:i/>
          <w:iCs/>
          <w:sz w:val="16"/>
          <w:szCs w:val="16"/>
          <w:lang w:val="fr-FR"/>
        </w:rPr>
        <w:t>décembre</w:t>
      </w:r>
      <w:r w:rsidR="003F023B" w:rsidRPr="00D820D7">
        <w:rPr>
          <w:rFonts w:ascii="Sennheiser Neue Regular" w:hAnsi="Sennheiser Neue Regular"/>
          <w:b/>
          <w:bCs/>
          <w:i/>
          <w:iCs/>
          <w:sz w:val="16"/>
          <w:szCs w:val="16"/>
          <w:lang w:val="fr-FR"/>
        </w:rPr>
        <w:t xml:space="preserve"> 2025</w:t>
      </w:r>
      <w:r w:rsidR="003F023B" w:rsidRPr="00D820D7">
        <w:rPr>
          <w:rFonts w:ascii="Sennheiser Neue Regular" w:hAnsi="Sennheiser Neue Regular"/>
          <w:b/>
          <w:bCs/>
          <w:color w:val="FF0000"/>
          <w:sz w:val="16"/>
          <w:szCs w:val="16"/>
          <w:lang w:val="fr-FR"/>
        </w:rPr>
        <w:t xml:space="preserve"> </w:t>
      </w:r>
      <w:r w:rsidR="003F023B" w:rsidRPr="00D820D7">
        <w:rPr>
          <w:rFonts w:ascii="Sennheiser Neue Regular" w:hAnsi="Sennheiser Neue Regular"/>
          <w:b/>
          <w:bCs/>
          <w:sz w:val="16"/>
          <w:szCs w:val="16"/>
          <w:lang w:val="fr-FR"/>
        </w:rPr>
        <w:t xml:space="preserve">— </w:t>
      </w:r>
      <w:r w:rsidR="002D525F" w:rsidRPr="00D820D7">
        <w:rPr>
          <w:rFonts w:ascii="Sennheiser Neue Regular" w:hAnsi="Sennheiser Neue Regular"/>
          <w:b/>
          <w:bCs/>
          <w:sz w:val="16"/>
          <w:szCs w:val="16"/>
          <w:lang w:val="fr-FR"/>
        </w:rPr>
        <w:t xml:space="preserve">Sennheiser, référence en matière de technologies audio avancées au service de la collaboration et de l’apprentissage, et </w:t>
      </w:r>
      <w:proofErr w:type="spellStart"/>
      <w:r w:rsidR="002D525F" w:rsidRPr="00D820D7">
        <w:rPr>
          <w:rFonts w:ascii="Sennheiser Neue Regular" w:hAnsi="Sennheiser Neue Regular"/>
          <w:b/>
          <w:bCs/>
          <w:sz w:val="16"/>
          <w:szCs w:val="16"/>
          <w:lang w:val="fr-FR"/>
        </w:rPr>
        <w:t>ProDVX</w:t>
      </w:r>
      <w:proofErr w:type="spellEnd"/>
      <w:r w:rsidR="002D525F" w:rsidRPr="00D820D7">
        <w:rPr>
          <w:rFonts w:ascii="Sennheiser Neue Regular" w:hAnsi="Sennheiser Neue Regular"/>
          <w:b/>
          <w:bCs/>
          <w:sz w:val="16"/>
          <w:szCs w:val="16"/>
          <w:lang w:val="fr-FR"/>
        </w:rPr>
        <w:t xml:space="preserve"> Europe annoncent aujourd’hui l’intégration directe de la solution MobileConnect de Sennheiser dans les Panel </w:t>
      </w:r>
      <w:proofErr w:type="spellStart"/>
      <w:r w:rsidR="002D525F" w:rsidRPr="00D820D7">
        <w:rPr>
          <w:rFonts w:ascii="Sennheiser Neue Regular" w:hAnsi="Sennheiser Neue Regular"/>
          <w:b/>
          <w:bCs/>
          <w:sz w:val="16"/>
          <w:szCs w:val="16"/>
          <w:lang w:val="fr-FR"/>
        </w:rPr>
        <w:t>PCs</w:t>
      </w:r>
      <w:proofErr w:type="spellEnd"/>
      <w:r w:rsidR="002D525F" w:rsidRPr="00D820D7">
        <w:rPr>
          <w:rFonts w:ascii="Sennheiser Neue Regular" w:hAnsi="Sennheiser Neue Regular"/>
          <w:b/>
          <w:bCs/>
          <w:sz w:val="16"/>
          <w:szCs w:val="16"/>
          <w:lang w:val="fr-FR"/>
        </w:rPr>
        <w:t xml:space="preserve"> Android de </w:t>
      </w:r>
      <w:proofErr w:type="spellStart"/>
      <w:r w:rsidR="002D525F" w:rsidRPr="00D820D7">
        <w:rPr>
          <w:rFonts w:ascii="Sennheiser Neue Regular" w:hAnsi="Sennheiser Neue Regular"/>
          <w:b/>
          <w:bCs/>
          <w:sz w:val="16"/>
          <w:szCs w:val="16"/>
          <w:lang w:val="fr-FR"/>
        </w:rPr>
        <w:t>ProDVX</w:t>
      </w:r>
      <w:proofErr w:type="spellEnd"/>
      <w:r w:rsidR="002D525F" w:rsidRPr="00D820D7">
        <w:rPr>
          <w:rFonts w:ascii="Sennheiser Neue Regular" w:hAnsi="Sennheiser Neue Regular"/>
          <w:b/>
          <w:bCs/>
          <w:sz w:val="16"/>
          <w:szCs w:val="16"/>
          <w:lang w:val="fr-FR"/>
        </w:rPr>
        <w:t>.</w:t>
      </w:r>
    </w:p>
    <w:p w14:paraId="3A2B8238" w14:textId="77777777" w:rsidR="002E1501" w:rsidRPr="00D820D7" w:rsidRDefault="002E1501" w:rsidP="00071397">
      <w:pPr>
        <w:spacing w:after="0" w:line="360" w:lineRule="auto"/>
        <w:rPr>
          <w:rFonts w:ascii="Sennheiser Neue Regular" w:hAnsi="Sennheiser Neue Regular"/>
          <w:sz w:val="16"/>
          <w:szCs w:val="16"/>
          <w:lang w:val="fr-FR"/>
        </w:rPr>
      </w:pPr>
    </w:p>
    <w:p w14:paraId="399FB6E7" w14:textId="1D08AB60" w:rsidR="00274313" w:rsidRPr="00D820D7" w:rsidRDefault="002D525F" w:rsidP="00071397">
      <w:pPr>
        <w:spacing w:after="0" w:line="360" w:lineRule="auto"/>
        <w:rPr>
          <w:rFonts w:ascii="Sennheiser Neue Regular" w:hAnsi="Sennheiser Neue Regular"/>
          <w:b/>
          <w:bCs/>
          <w:sz w:val="16"/>
          <w:szCs w:val="16"/>
          <w:lang w:val="fr-FR"/>
        </w:rPr>
      </w:pPr>
      <w:r w:rsidRPr="00D820D7">
        <w:rPr>
          <w:rFonts w:ascii="Sennheiser Neue Regular" w:hAnsi="Sennheiser Neue Regular"/>
          <w:b/>
          <w:bCs/>
          <w:sz w:val="16"/>
          <w:szCs w:val="16"/>
          <w:lang w:val="fr-FR"/>
        </w:rPr>
        <w:t xml:space="preserve">L’affichage du QR code unique directement sur les appareils </w:t>
      </w:r>
      <w:proofErr w:type="spellStart"/>
      <w:r w:rsidRPr="00D820D7">
        <w:rPr>
          <w:rFonts w:ascii="Sennheiser Neue Regular" w:hAnsi="Sennheiser Neue Regular"/>
          <w:b/>
          <w:bCs/>
          <w:sz w:val="16"/>
          <w:szCs w:val="16"/>
          <w:lang w:val="fr-FR"/>
        </w:rPr>
        <w:t>ProDVX</w:t>
      </w:r>
      <w:proofErr w:type="spellEnd"/>
    </w:p>
    <w:p w14:paraId="2339073A" w14:textId="596C10DF" w:rsidR="00DD2915" w:rsidRPr="00D820D7" w:rsidRDefault="002B3CF0" w:rsidP="002B3CF0">
      <w:pPr>
        <w:spacing w:after="0" w:line="360" w:lineRule="auto"/>
        <w:rPr>
          <w:rFonts w:ascii="Sennheiser Neue Regular" w:hAnsi="Sennheiser Neue Regular"/>
          <w:sz w:val="16"/>
          <w:szCs w:val="16"/>
          <w:lang w:val="fr-FR"/>
        </w:rPr>
      </w:pPr>
      <w:r w:rsidRPr="00D820D7">
        <w:rPr>
          <w:rFonts w:ascii="Sennheiser Neue Regular" w:hAnsi="Sennheiser Neue Regular"/>
          <w:sz w:val="16"/>
          <w:szCs w:val="16"/>
          <w:lang w:val="fr-FR"/>
        </w:rPr>
        <w:t xml:space="preserve">Grâce à cette nouvelle intégration, les MobileConnect Stations peuvent désormais afficher leur QR code unique directement sur les Panel </w:t>
      </w:r>
      <w:proofErr w:type="spellStart"/>
      <w:r w:rsidRPr="00D820D7">
        <w:rPr>
          <w:rFonts w:ascii="Sennheiser Neue Regular" w:hAnsi="Sennheiser Neue Regular"/>
          <w:sz w:val="16"/>
          <w:szCs w:val="16"/>
          <w:lang w:val="fr-FR"/>
        </w:rPr>
        <w:t>PCs</w:t>
      </w:r>
      <w:proofErr w:type="spellEnd"/>
      <w:r w:rsidRPr="00D820D7">
        <w:rPr>
          <w:rFonts w:ascii="Sennheiser Neue Regular" w:hAnsi="Sennheiser Neue Regular"/>
          <w:sz w:val="16"/>
          <w:szCs w:val="16"/>
          <w:lang w:val="fr-FR"/>
        </w:rPr>
        <w:t xml:space="preserve"> Android </w:t>
      </w:r>
      <w:proofErr w:type="spellStart"/>
      <w:r w:rsidRPr="00D820D7">
        <w:rPr>
          <w:rFonts w:ascii="Sennheiser Neue Regular" w:hAnsi="Sennheiser Neue Regular"/>
          <w:sz w:val="16"/>
          <w:szCs w:val="16"/>
          <w:lang w:val="fr-FR"/>
        </w:rPr>
        <w:t>ProDVX</w:t>
      </w:r>
      <w:proofErr w:type="spellEnd"/>
      <w:r w:rsidRPr="00D820D7">
        <w:rPr>
          <w:rFonts w:ascii="Sennheiser Neue Regular" w:hAnsi="Sennheiser Neue Regular"/>
          <w:sz w:val="16"/>
          <w:szCs w:val="16"/>
          <w:lang w:val="fr-FR"/>
        </w:rPr>
        <w:t>.</w:t>
      </w:r>
      <w:r w:rsidR="0023484F" w:rsidRPr="00D820D7">
        <w:rPr>
          <w:rFonts w:ascii="Sennheiser Neue Regular" w:hAnsi="Sennheiser Neue Regular"/>
          <w:sz w:val="16"/>
          <w:szCs w:val="16"/>
          <w:lang w:val="fr-FR"/>
        </w:rPr>
        <w:t xml:space="preserve"> </w:t>
      </w:r>
      <w:r w:rsidRPr="00D820D7">
        <w:rPr>
          <w:rFonts w:ascii="Sennheiser Neue Regular" w:hAnsi="Sennheiser Neue Regular"/>
          <w:sz w:val="16"/>
          <w:szCs w:val="16"/>
          <w:lang w:val="fr-FR"/>
        </w:rPr>
        <w:t>Les utilisateurs accèdent ainsi instantanément à l’écoute assistée ou à d’autres flux audio locaux. Il leur suffit de scanner le code avec l’application MobileConnect pour se connecter en quelques secondes, sans configuration supplémentaire ni assistance technique.</w:t>
      </w:r>
    </w:p>
    <w:p w14:paraId="53449B43" w14:textId="77777777" w:rsidR="002B3CF0" w:rsidRPr="00D820D7" w:rsidRDefault="002B3CF0" w:rsidP="002B3CF0">
      <w:pPr>
        <w:spacing w:after="0" w:line="360" w:lineRule="auto"/>
        <w:rPr>
          <w:rFonts w:ascii="Sennheiser Neue Regular" w:hAnsi="Sennheiser Neue Regular"/>
          <w:sz w:val="16"/>
          <w:szCs w:val="16"/>
          <w:lang w:val="fr-FR"/>
        </w:rPr>
      </w:pPr>
    </w:p>
    <w:p w14:paraId="2F56D418" w14:textId="77777777" w:rsidR="002B3CF0" w:rsidRPr="00D820D7" w:rsidRDefault="002B3CF0" w:rsidP="002B3CF0">
      <w:pPr>
        <w:spacing w:after="0" w:line="360" w:lineRule="auto"/>
        <w:rPr>
          <w:rFonts w:ascii="Sennheiser Neue Regular" w:hAnsi="Sennheiser Neue Regular"/>
          <w:sz w:val="16"/>
          <w:szCs w:val="16"/>
          <w:lang w:val="fr-FR"/>
        </w:rPr>
      </w:pPr>
      <w:r w:rsidRPr="00D820D7">
        <w:rPr>
          <w:rFonts w:ascii="Sennheiser Neue Regular" w:hAnsi="Sennheiser Neue Regular"/>
          <w:sz w:val="16"/>
          <w:szCs w:val="16"/>
          <w:lang w:val="fr-FR"/>
        </w:rPr>
        <w:t xml:space="preserve">« </w:t>
      </w:r>
      <w:r w:rsidRPr="00D820D7">
        <w:rPr>
          <w:rFonts w:ascii="Sennheiser Neue Regular" w:hAnsi="Sennheiser Neue Regular"/>
          <w:i/>
          <w:iCs/>
          <w:sz w:val="16"/>
          <w:szCs w:val="16"/>
          <w:lang w:val="fr-FR"/>
        </w:rPr>
        <w:t>Chez Sennheiser, nous avons à cœur de rendre chaque expérience d’apprentissage plus inclusive</w:t>
      </w:r>
      <w:r w:rsidRPr="00D820D7">
        <w:rPr>
          <w:rFonts w:ascii="Sennheiser Neue Regular" w:hAnsi="Sennheiser Neue Regular"/>
          <w:sz w:val="16"/>
          <w:szCs w:val="16"/>
          <w:lang w:val="fr-FR"/>
        </w:rPr>
        <w:t xml:space="preserve"> », déclare </w:t>
      </w:r>
      <w:r w:rsidRPr="00D820D7">
        <w:rPr>
          <w:rFonts w:ascii="Sennheiser Neue Regular" w:hAnsi="Sennheiser Neue Regular"/>
          <w:b/>
          <w:bCs/>
          <w:sz w:val="16"/>
          <w:szCs w:val="16"/>
          <w:lang w:val="fr-FR"/>
        </w:rPr>
        <w:t>Charlie Jones, Senior Partner Relations Manager, Sennheiser Business Communication.</w:t>
      </w:r>
    </w:p>
    <w:p w14:paraId="72337747" w14:textId="31136CAB" w:rsidR="006E770A" w:rsidRPr="00D820D7" w:rsidRDefault="002B3CF0" w:rsidP="002B3CF0">
      <w:pPr>
        <w:spacing w:after="0" w:line="360" w:lineRule="auto"/>
        <w:rPr>
          <w:rFonts w:ascii="Sennheiser Neue Regular" w:hAnsi="Sennheiser Neue Regular"/>
          <w:sz w:val="16"/>
          <w:szCs w:val="16"/>
          <w:lang w:val="fr-FR"/>
        </w:rPr>
      </w:pPr>
      <w:r w:rsidRPr="00D820D7">
        <w:rPr>
          <w:rFonts w:ascii="Sennheiser Neue Regular" w:hAnsi="Sennheiser Neue Regular"/>
          <w:sz w:val="16"/>
          <w:szCs w:val="16"/>
          <w:lang w:val="fr-FR"/>
        </w:rPr>
        <w:t xml:space="preserve">« </w:t>
      </w:r>
      <w:r w:rsidRPr="00D820D7">
        <w:rPr>
          <w:rFonts w:ascii="Sennheiser Neue Regular" w:hAnsi="Sennheiser Neue Regular"/>
          <w:i/>
          <w:iCs/>
          <w:sz w:val="16"/>
          <w:szCs w:val="16"/>
          <w:lang w:val="fr-FR"/>
        </w:rPr>
        <w:t xml:space="preserve">Cette collaboration avec </w:t>
      </w:r>
      <w:proofErr w:type="spellStart"/>
      <w:r w:rsidRPr="00D820D7">
        <w:rPr>
          <w:rFonts w:ascii="Sennheiser Neue Regular" w:hAnsi="Sennheiser Neue Regular"/>
          <w:i/>
          <w:iCs/>
          <w:sz w:val="16"/>
          <w:szCs w:val="16"/>
          <w:lang w:val="fr-FR"/>
        </w:rPr>
        <w:t>ProDVX</w:t>
      </w:r>
      <w:proofErr w:type="spellEnd"/>
      <w:r w:rsidRPr="00D820D7">
        <w:rPr>
          <w:rFonts w:ascii="Sennheiser Neue Regular" w:hAnsi="Sennheiser Neue Regular"/>
          <w:i/>
          <w:iCs/>
          <w:sz w:val="16"/>
          <w:szCs w:val="16"/>
          <w:lang w:val="fr-FR"/>
        </w:rPr>
        <w:t xml:space="preserve"> simplifie encore davantage l’accès à MobileConnect dans les environnements d’enseignement supérieur et d’entreprise, en garantissant que l’écoute assistée et interactive soit accessible à tous ceux qui en ont besoin, en seulement quelques étapes.</w:t>
      </w:r>
      <w:r w:rsidRPr="00D820D7">
        <w:rPr>
          <w:rFonts w:ascii="Sennheiser Neue Regular" w:hAnsi="Sennheiser Neue Regular"/>
          <w:sz w:val="16"/>
          <w:szCs w:val="16"/>
          <w:lang w:val="fr-FR"/>
        </w:rPr>
        <w:t xml:space="preserve"> »</w:t>
      </w:r>
    </w:p>
    <w:p w14:paraId="005B2DE3" w14:textId="77777777" w:rsidR="002B3CF0" w:rsidRPr="00D820D7" w:rsidRDefault="002B3CF0" w:rsidP="002B3CF0">
      <w:pPr>
        <w:spacing w:after="0" w:line="360" w:lineRule="auto"/>
        <w:rPr>
          <w:rFonts w:ascii="Sennheiser Neue Regular" w:hAnsi="Sennheiser Neue Regular"/>
          <w:sz w:val="16"/>
          <w:szCs w:val="16"/>
          <w:lang w:val="fr-FR"/>
        </w:rPr>
      </w:pPr>
    </w:p>
    <w:p w14:paraId="42583685" w14:textId="4B19DC43" w:rsidR="004F7D9C" w:rsidRPr="00D820D7" w:rsidRDefault="002B3CF0" w:rsidP="002B3CF0">
      <w:pPr>
        <w:spacing w:after="0" w:line="360" w:lineRule="auto"/>
        <w:rPr>
          <w:rFonts w:ascii="Sennheiser Neue Regular" w:hAnsi="Sennheiser Neue Regular"/>
          <w:sz w:val="16"/>
          <w:szCs w:val="16"/>
          <w:lang w:val="fr-FR"/>
        </w:rPr>
      </w:pPr>
      <w:r w:rsidRPr="00D820D7">
        <w:rPr>
          <w:rFonts w:ascii="Sennheiser Neue Regular" w:hAnsi="Sennheiser Neue Regular"/>
          <w:sz w:val="16"/>
          <w:szCs w:val="16"/>
          <w:lang w:val="fr-FR"/>
        </w:rPr>
        <w:t xml:space="preserve">« </w:t>
      </w:r>
      <w:r w:rsidRPr="00D820D7">
        <w:rPr>
          <w:rFonts w:ascii="Sennheiser Neue Regular" w:hAnsi="Sennheiser Neue Regular"/>
          <w:i/>
          <w:iCs/>
          <w:sz w:val="16"/>
          <w:szCs w:val="16"/>
          <w:lang w:val="fr-FR"/>
        </w:rPr>
        <w:t>Nous sommes fiers de nous associer à Sennheiser pour concrétiser cette intégration</w:t>
      </w:r>
      <w:r w:rsidRPr="00D820D7">
        <w:rPr>
          <w:rFonts w:ascii="Sennheiser Neue Regular" w:hAnsi="Sennheiser Neue Regular"/>
          <w:sz w:val="16"/>
          <w:szCs w:val="16"/>
          <w:lang w:val="fr-FR"/>
        </w:rPr>
        <w:t xml:space="preserve"> », affirme </w:t>
      </w:r>
      <w:r w:rsidRPr="00D820D7">
        <w:rPr>
          <w:rFonts w:ascii="Sennheiser Neue Regular" w:hAnsi="Sennheiser Neue Regular"/>
          <w:b/>
          <w:bCs/>
          <w:sz w:val="16"/>
          <w:szCs w:val="16"/>
          <w:lang w:val="fr-FR"/>
        </w:rPr>
        <w:t xml:space="preserve">Michael </w:t>
      </w:r>
      <w:proofErr w:type="spellStart"/>
      <w:r w:rsidRPr="00D820D7">
        <w:rPr>
          <w:rFonts w:ascii="Sennheiser Neue Regular" w:hAnsi="Sennheiser Neue Regular"/>
          <w:b/>
          <w:bCs/>
          <w:sz w:val="16"/>
          <w:szCs w:val="16"/>
          <w:lang w:val="fr-FR"/>
        </w:rPr>
        <w:t>Theophanous</w:t>
      </w:r>
      <w:proofErr w:type="spellEnd"/>
      <w:r w:rsidRPr="00D820D7">
        <w:rPr>
          <w:rFonts w:ascii="Sennheiser Neue Regular" w:hAnsi="Sennheiser Neue Regular"/>
          <w:b/>
          <w:bCs/>
          <w:sz w:val="16"/>
          <w:szCs w:val="16"/>
          <w:lang w:val="fr-FR"/>
        </w:rPr>
        <w:t xml:space="preserve">, Sales Manager, </w:t>
      </w:r>
      <w:proofErr w:type="spellStart"/>
      <w:r w:rsidRPr="00D820D7">
        <w:rPr>
          <w:rFonts w:ascii="Sennheiser Neue Regular" w:hAnsi="Sennheiser Neue Regular"/>
          <w:b/>
          <w:bCs/>
          <w:sz w:val="16"/>
          <w:szCs w:val="16"/>
          <w:lang w:val="fr-FR"/>
        </w:rPr>
        <w:t>ProDVX</w:t>
      </w:r>
      <w:proofErr w:type="spellEnd"/>
      <w:r w:rsidRPr="00D820D7">
        <w:rPr>
          <w:rFonts w:ascii="Sennheiser Neue Regular" w:hAnsi="Sennheiser Neue Regular"/>
          <w:b/>
          <w:bCs/>
          <w:sz w:val="16"/>
          <w:szCs w:val="16"/>
          <w:lang w:val="fr-FR"/>
        </w:rPr>
        <w:t xml:space="preserve"> Europe.</w:t>
      </w:r>
      <w:r w:rsidR="0023484F" w:rsidRPr="00D820D7">
        <w:rPr>
          <w:rFonts w:ascii="Sennheiser Neue Regular" w:hAnsi="Sennheiser Neue Regular"/>
          <w:b/>
          <w:bCs/>
          <w:sz w:val="16"/>
          <w:szCs w:val="16"/>
          <w:lang w:val="fr-FR"/>
        </w:rPr>
        <w:t xml:space="preserve"> </w:t>
      </w:r>
      <w:r w:rsidRPr="00D820D7">
        <w:rPr>
          <w:rFonts w:ascii="Sennheiser Neue Regular" w:hAnsi="Sennheiser Neue Regular"/>
          <w:sz w:val="16"/>
          <w:szCs w:val="16"/>
          <w:lang w:val="fr-FR"/>
        </w:rPr>
        <w:t xml:space="preserve">« </w:t>
      </w:r>
      <w:r w:rsidRPr="00D820D7">
        <w:rPr>
          <w:rFonts w:ascii="Sennheiser Neue Regular" w:hAnsi="Sennheiser Neue Regular"/>
          <w:i/>
          <w:iCs/>
          <w:sz w:val="16"/>
          <w:szCs w:val="16"/>
          <w:lang w:val="fr-FR"/>
        </w:rPr>
        <w:t>Nos appareils sont conçus pour un usage 24 h/24 et 7 j/7 afin d’améliorer l’interaction utilisateur. Avec l’accès direct à MobileConnect, nous aidons les établissements à créer des espaces plus connectés, accessibles et engageants pour chacun.</w:t>
      </w:r>
      <w:r w:rsidRPr="00D820D7">
        <w:rPr>
          <w:rFonts w:ascii="Sennheiser Neue Regular" w:hAnsi="Sennheiser Neue Regular"/>
          <w:sz w:val="16"/>
          <w:szCs w:val="16"/>
          <w:lang w:val="fr-FR"/>
        </w:rPr>
        <w:t xml:space="preserve"> »</w:t>
      </w:r>
    </w:p>
    <w:p w14:paraId="0B130518" w14:textId="77777777" w:rsidR="0023484F" w:rsidRPr="00D820D7" w:rsidRDefault="0023484F" w:rsidP="002B3CF0">
      <w:pPr>
        <w:spacing w:after="0" w:line="360" w:lineRule="auto"/>
        <w:rPr>
          <w:rFonts w:ascii="Sennheiser Neue Regular" w:hAnsi="Sennheiser Neue Regular"/>
          <w:b/>
          <w:bCs/>
          <w:sz w:val="16"/>
          <w:szCs w:val="16"/>
          <w:lang w:val="fr-FR"/>
        </w:rPr>
      </w:pPr>
    </w:p>
    <w:p w14:paraId="64502B26" w14:textId="77777777" w:rsidR="00CF54BC" w:rsidRDefault="000130A6" w:rsidP="00CF54BC">
      <w:pPr>
        <w:keepNext/>
        <w:spacing w:after="0" w:line="360" w:lineRule="auto"/>
      </w:pPr>
      <w:r w:rsidRPr="00D820D7">
        <w:rPr>
          <w:rFonts w:ascii="Sennheiser Neue Regular" w:hAnsi="Sennheiser Neue Regular"/>
          <w:noProof/>
          <w:sz w:val="18"/>
          <w:szCs w:val="18"/>
        </w:rPr>
        <w:drawing>
          <wp:inline distT="0" distB="0" distL="0" distR="0" wp14:anchorId="0A1D61AD" wp14:editId="55487AA9">
            <wp:extent cx="4843305" cy="2090994"/>
            <wp:effectExtent l="0" t="0" r="0" b="5080"/>
            <wp:docPr id="565374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8307" cy="2097471"/>
                    </a:xfrm>
                    <a:prstGeom prst="rect">
                      <a:avLst/>
                    </a:prstGeom>
                    <a:noFill/>
                  </pic:spPr>
                </pic:pic>
              </a:graphicData>
            </a:graphic>
          </wp:inline>
        </w:drawing>
      </w:r>
    </w:p>
    <w:p w14:paraId="7506D833" w14:textId="27CA50EA" w:rsidR="000130A6" w:rsidRDefault="00CF54BC" w:rsidP="00CF54BC">
      <w:pPr>
        <w:pStyle w:val="Caption"/>
        <w:rPr>
          <w:rFonts w:ascii="Sennheiser Neue Regular" w:hAnsi="Sennheiser Neue Regular"/>
        </w:rPr>
      </w:pPr>
      <w:r w:rsidRPr="001430C9">
        <w:t xml:space="preserve">Illustration </w:t>
      </w:r>
      <w:proofErr w:type="spellStart"/>
      <w:r w:rsidRPr="001430C9">
        <w:t>montrant</w:t>
      </w:r>
      <w:proofErr w:type="spellEnd"/>
      <w:r w:rsidRPr="001430C9">
        <w:t xml:space="preserve"> Sennheiser MobileConnect </w:t>
      </w:r>
      <w:proofErr w:type="spellStart"/>
      <w:r w:rsidRPr="001430C9">
        <w:t>fonctionnant</w:t>
      </w:r>
      <w:proofErr w:type="spellEnd"/>
      <w:r w:rsidRPr="001430C9">
        <w:t xml:space="preserve"> avec les PC </w:t>
      </w:r>
      <w:proofErr w:type="spellStart"/>
      <w:r w:rsidRPr="001430C9">
        <w:t>panneaux</w:t>
      </w:r>
      <w:proofErr w:type="spellEnd"/>
      <w:r w:rsidRPr="001430C9">
        <w:t xml:space="preserve"> Android </w:t>
      </w:r>
      <w:proofErr w:type="spellStart"/>
      <w:r w:rsidRPr="001430C9">
        <w:t>ProDVX</w:t>
      </w:r>
      <w:proofErr w:type="spellEnd"/>
    </w:p>
    <w:p w14:paraId="11ECE4D4" w14:textId="77777777" w:rsidR="00CF54BC" w:rsidRPr="00D820D7" w:rsidRDefault="00CF54BC" w:rsidP="00071397">
      <w:pPr>
        <w:spacing w:after="0" w:line="360" w:lineRule="auto"/>
        <w:rPr>
          <w:rFonts w:ascii="Sennheiser Neue Regular" w:hAnsi="Sennheiser Neue Regular"/>
          <w:sz w:val="18"/>
          <w:szCs w:val="18"/>
        </w:rPr>
      </w:pPr>
    </w:p>
    <w:p w14:paraId="134701EA" w14:textId="77777777" w:rsidR="00BD66DA" w:rsidRPr="00D820D7" w:rsidRDefault="00BD66DA" w:rsidP="00BD66DA">
      <w:pPr>
        <w:spacing w:after="0" w:line="360" w:lineRule="auto"/>
        <w:rPr>
          <w:rFonts w:ascii="Sennheiser Neue Regular" w:hAnsi="Sennheiser Neue Regular"/>
          <w:sz w:val="16"/>
          <w:szCs w:val="16"/>
          <w:lang w:val="fr-FR"/>
        </w:rPr>
      </w:pPr>
      <w:r w:rsidRPr="00D820D7">
        <w:rPr>
          <w:rFonts w:ascii="Sennheiser Neue Regular" w:hAnsi="Sennheiser Neue Regular"/>
          <w:sz w:val="16"/>
          <w:szCs w:val="16"/>
          <w:lang w:val="fr-FR"/>
        </w:rPr>
        <w:t>MobileConnect est une solution innovante d’accessibilité audio basée sur smartphone, conçue pour créer des expériences d’écoute inclusives dans les environnements éducatifs et professionnels. Elle combine trois composants clés : la MobileConnect Station, l’application MobileConnect pour Android et le MobileConnect Manager.</w:t>
      </w:r>
    </w:p>
    <w:p w14:paraId="26212CCD" w14:textId="77777777" w:rsidR="00BD66DA" w:rsidRPr="00D820D7" w:rsidRDefault="00BD66DA" w:rsidP="00BD66DA">
      <w:pPr>
        <w:spacing w:after="0" w:line="360" w:lineRule="auto"/>
        <w:rPr>
          <w:rFonts w:ascii="Sennheiser Neue Regular" w:hAnsi="Sennheiser Neue Regular"/>
          <w:sz w:val="16"/>
          <w:szCs w:val="16"/>
          <w:lang w:val="fr-FR"/>
        </w:rPr>
      </w:pPr>
    </w:p>
    <w:p w14:paraId="61C07030" w14:textId="1F5E6950" w:rsidR="00BD66DA" w:rsidRPr="00D820D7" w:rsidRDefault="00BD66DA" w:rsidP="00BD66DA">
      <w:pPr>
        <w:spacing w:after="0" w:line="360" w:lineRule="auto"/>
        <w:rPr>
          <w:rFonts w:ascii="Sennheiser Neue Regular" w:hAnsi="Sennheiser Neue Regular"/>
          <w:sz w:val="16"/>
          <w:szCs w:val="16"/>
          <w:lang w:val="fr-FR"/>
        </w:rPr>
      </w:pPr>
      <w:r w:rsidRPr="00D820D7">
        <w:rPr>
          <w:rFonts w:ascii="Sennheiser Neue Regular" w:hAnsi="Sennheiser Neue Regular"/>
          <w:sz w:val="16"/>
          <w:szCs w:val="16"/>
          <w:lang w:val="fr-FR"/>
        </w:rPr>
        <w:t xml:space="preserve">La MobileConnect Station diffuse un son à faible latence via le Wi-Fi vers </w:t>
      </w:r>
      <w:r w:rsidR="002454D6" w:rsidRPr="00D820D7">
        <w:rPr>
          <w:rFonts w:ascii="Sennheiser Neue Regular" w:hAnsi="Sennheiser Neue Regular"/>
          <w:sz w:val="16"/>
          <w:szCs w:val="16"/>
          <w:lang w:val="fr-FR"/>
        </w:rPr>
        <w:t>des smartphones (</w:t>
      </w:r>
      <w:r w:rsidRPr="00D820D7">
        <w:rPr>
          <w:rFonts w:ascii="Sennheiser Neue Regular" w:hAnsi="Sennheiser Neue Regular"/>
          <w:sz w:val="16"/>
          <w:szCs w:val="16"/>
          <w:lang w:val="fr-FR"/>
        </w:rPr>
        <w:t>jusqu’à 100 smartphones connectés</w:t>
      </w:r>
      <w:r w:rsidR="002454D6" w:rsidRPr="00D820D7">
        <w:rPr>
          <w:rFonts w:ascii="Sennheiser Neue Regular" w:hAnsi="Sennheiser Neue Regular"/>
          <w:sz w:val="16"/>
          <w:szCs w:val="16"/>
          <w:lang w:val="fr-FR"/>
        </w:rPr>
        <w:t>)</w:t>
      </w:r>
      <w:r w:rsidRPr="00D820D7">
        <w:rPr>
          <w:rFonts w:ascii="Sennheiser Neue Regular" w:hAnsi="Sennheiser Neue Regular"/>
          <w:sz w:val="16"/>
          <w:szCs w:val="16"/>
          <w:lang w:val="fr-FR"/>
        </w:rPr>
        <w:t xml:space="preserve">. Grâce à l’application MobileConnect, les utilisateurs peuvent personnaliser leur expérience d’écoute et utiliser la fonction Audience </w:t>
      </w:r>
      <w:proofErr w:type="spellStart"/>
      <w:r w:rsidRPr="00D820D7">
        <w:rPr>
          <w:rFonts w:ascii="Sennheiser Neue Regular" w:hAnsi="Sennheiser Neue Regular"/>
          <w:sz w:val="16"/>
          <w:szCs w:val="16"/>
          <w:lang w:val="fr-FR"/>
        </w:rPr>
        <w:t>Mic</w:t>
      </w:r>
      <w:proofErr w:type="spellEnd"/>
      <w:r w:rsidRPr="00D820D7">
        <w:rPr>
          <w:rFonts w:ascii="Sennheiser Neue Regular" w:hAnsi="Sennheiser Neue Regular"/>
          <w:sz w:val="16"/>
          <w:szCs w:val="16"/>
          <w:lang w:val="fr-FR"/>
        </w:rPr>
        <w:t xml:space="preserve"> pour partager des retours ou poser des questions, favorisant ainsi </w:t>
      </w:r>
      <w:r w:rsidR="00511E32" w:rsidRPr="00D820D7">
        <w:rPr>
          <w:rFonts w:ascii="Sennheiser Neue Regular" w:hAnsi="Sennheiser Neue Regular"/>
          <w:sz w:val="16"/>
          <w:szCs w:val="16"/>
          <w:lang w:val="fr-FR"/>
        </w:rPr>
        <w:t>l’</w:t>
      </w:r>
      <w:r w:rsidRPr="00D820D7">
        <w:rPr>
          <w:rFonts w:ascii="Sennheiser Neue Regular" w:hAnsi="Sennheiser Neue Regular"/>
          <w:sz w:val="16"/>
          <w:szCs w:val="16"/>
          <w:lang w:val="fr-FR"/>
        </w:rPr>
        <w:t xml:space="preserve">interaction et </w:t>
      </w:r>
      <w:r w:rsidR="00511E32" w:rsidRPr="00D820D7">
        <w:rPr>
          <w:rFonts w:ascii="Sennheiser Neue Regular" w:hAnsi="Sennheiser Neue Regular"/>
          <w:sz w:val="16"/>
          <w:szCs w:val="16"/>
          <w:lang w:val="fr-FR"/>
        </w:rPr>
        <w:t>l’</w:t>
      </w:r>
      <w:r w:rsidRPr="00D820D7">
        <w:rPr>
          <w:rFonts w:ascii="Sennheiser Neue Regular" w:hAnsi="Sennheiser Neue Regular"/>
          <w:sz w:val="16"/>
          <w:szCs w:val="16"/>
          <w:lang w:val="fr-FR"/>
        </w:rPr>
        <w:t xml:space="preserve">engagement. Le MobileConnect Manager assure un contrôle centralisé sécurisé et une scalabilité simple pour des déploiements </w:t>
      </w:r>
      <w:proofErr w:type="spellStart"/>
      <w:r w:rsidRPr="00D820D7">
        <w:rPr>
          <w:rFonts w:ascii="Sennheiser Neue Regular" w:hAnsi="Sennheiser Neue Regular"/>
          <w:sz w:val="16"/>
          <w:szCs w:val="16"/>
          <w:lang w:val="fr-FR"/>
        </w:rPr>
        <w:t>multi-salles</w:t>
      </w:r>
      <w:proofErr w:type="spellEnd"/>
      <w:r w:rsidRPr="00D820D7">
        <w:rPr>
          <w:rFonts w:ascii="Sennheiser Neue Regular" w:hAnsi="Sennheiser Neue Regular"/>
          <w:sz w:val="16"/>
          <w:szCs w:val="16"/>
          <w:lang w:val="fr-FR"/>
        </w:rPr>
        <w:t xml:space="preserve"> ou à l’échelle d’un campus.</w:t>
      </w:r>
    </w:p>
    <w:p w14:paraId="2E9CD8BA" w14:textId="77777777" w:rsidR="00BD66DA" w:rsidRPr="00D820D7" w:rsidRDefault="00BD66DA" w:rsidP="00BD66DA">
      <w:pPr>
        <w:spacing w:after="0" w:line="360" w:lineRule="auto"/>
        <w:rPr>
          <w:rFonts w:ascii="Sennheiser Neue Regular" w:hAnsi="Sennheiser Neue Regular"/>
          <w:sz w:val="16"/>
          <w:szCs w:val="16"/>
          <w:lang w:val="fr-FR"/>
        </w:rPr>
      </w:pPr>
    </w:p>
    <w:p w14:paraId="523311A4" w14:textId="77777777" w:rsidR="00BD66DA" w:rsidRPr="00D820D7" w:rsidRDefault="00BD66DA" w:rsidP="00BD66DA">
      <w:pPr>
        <w:spacing w:after="0" w:line="360" w:lineRule="auto"/>
        <w:rPr>
          <w:rFonts w:ascii="Sennheiser Neue Regular" w:hAnsi="Sennheiser Neue Regular"/>
          <w:sz w:val="16"/>
          <w:szCs w:val="16"/>
          <w:lang w:val="fr-FR"/>
        </w:rPr>
      </w:pPr>
      <w:r w:rsidRPr="00D820D7">
        <w:rPr>
          <w:rFonts w:ascii="Sennheiser Neue Regular" w:hAnsi="Sennheiser Neue Regular"/>
          <w:sz w:val="16"/>
          <w:szCs w:val="16"/>
          <w:lang w:val="fr-FR"/>
        </w:rPr>
        <w:t xml:space="preserve">Les Panel </w:t>
      </w:r>
      <w:proofErr w:type="spellStart"/>
      <w:r w:rsidRPr="00D820D7">
        <w:rPr>
          <w:rFonts w:ascii="Sennheiser Neue Regular" w:hAnsi="Sennheiser Neue Regular"/>
          <w:sz w:val="16"/>
          <w:szCs w:val="16"/>
          <w:lang w:val="fr-FR"/>
        </w:rPr>
        <w:t>PCs</w:t>
      </w:r>
      <w:proofErr w:type="spellEnd"/>
      <w:r w:rsidRPr="00D820D7">
        <w:rPr>
          <w:rFonts w:ascii="Sennheiser Neue Regular" w:hAnsi="Sennheiser Neue Regular"/>
          <w:sz w:val="16"/>
          <w:szCs w:val="16"/>
          <w:lang w:val="fr-FR"/>
        </w:rPr>
        <w:t xml:space="preserve"> Android </w:t>
      </w:r>
      <w:proofErr w:type="spellStart"/>
      <w:r w:rsidRPr="00D820D7">
        <w:rPr>
          <w:rFonts w:ascii="Sennheiser Neue Regular" w:hAnsi="Sennheiser Neue Regular"/>
          <w:sz w:val="16"/>
          <w:szCs w:val="16"/>
          <w:lang w:val="fr-FR"/>
        </w:rPr>
        <w:t>ProDVX</w:t>
      </w:r>
      <w:proofErr w:type="spellEnd"/>
      <w:r w:rsidRPr="00D820D7">
        <w:rPr>
          <w:rFonts w:ascii="Sennheiser Neue Regular" w:hAnsi="Sennheiser Neue Regular"/>
          <w:sz w:val="16"/>
          <w:szCs w:val="16"/>
          <w:lang w:val="fr-FR"/>
        </w:rPr>
        <w:t xml:space="preserve"> sont largement utilisés pour des applications de signalétique digitale interactive, allant de la réservation de salles aux panneaux de contrôle, en passant par les bornes en libre-service, la gestion des visiteurs ou les réceptions digitales. Disponibles de 7 à 32 pouces et fonctionnant sous Android 13, ces appareils offrent des performances fiables et professionnelles, idéales pour les campus et les entreprises.</w:t>
      </w:r>
    </w:p>
    <w:p w14:paraId="0C3891A7" w14:textId="77777777" w:rsidR="00BD66DA" w:rsidRPr="00D820D7" w:rsidRDefault="00BD66DA" w:rsidP="00BD66DA">
      <w:pPr>
        <w:spacing w:after="0" w:line="360" w:lineRule="auto"/>
        <w:rPr>
          <w:rFonts w:ascii="Sennheiser Neue Regular" w:hAnsi="Sennheiser Neue Regular"/>
          <w:sz w:val="16"/>
          <w:szCs w:val="16"/>
          <w:lang w:val="fr-FR"/>
        </w:rPr>
      </w:pPr>
    </w:p>
    <w:p w14:paraId="7E6644D6" w14:textId="77777777" w:rsidR="0023484F" w:rsidRPr="00D820D7" w:rsidRDefault="0023484F" w:rsidP="00BD66DA">
      <w:pPr>
        <w:spacing w:after="0" w:line="360" w:lineRule="auto"/>
        <w:rPr>
          <w:rFonts w:ascii="Sennheiser Neue Regular" w:hAnsi="Sennheiser Neue Regular"/>
          <w:sz w:val="16"/>
          <w:szCs w:val="16"/>
          <w:lang w:val="fr-FR"/>
        </w:rPr>
      </w:pPr>
    </w:p>
    <w:p w14:paraId="71387BAC" w14:textId="021F1B48" w:rsidR="00BD66DA" w:rsidRPr="00D820D7" w:rsidRDefault="00BD66DA" w:rsidP="00BD66DA">
      <w:pPr>
        <w:spacing w:after="0" w:line="360" w:lineRule="auto"/>
        <w:rPr>
          <w:rFonts w:ascii="Sennheiser Neue Regular" w:hAnsi="Sennheiser Neue Regular"/>
          <w:sz w:val="16"/>
          <w:szCs w:val="16"/>
          <w:lang w:val="fr-FR"/>
        </w:rPr>
      </w:pPr>
      <w:r w:rsidRPr="00D820D7">
        <w:rPr>
          <w:rFonts w:ascii="Sennheiser Neue Regular" w:hAnsi="Sennheiser Neue Regular"/>
          <w:sz w:val="16"/>
          <w:szCs w:val="16"/>
          <w:lang w:val="fr-FR"/>
        </w:rPr>
        <w:t xml:space="preserve">Sennheiser et </w:t>
      </w:r>
      <w:proofErr w:type="spellStart"/>
      <w:r w:rsidRPr="00D820D7">
        <w:rPr>
          <w:rFonts w:ascii="Sennheiser Neue Regular" w:hAnsi="Sennheiser Neue Regular"/>
          <w:sz w:val="16"/>
          <w:szCs w:val="16"/>
          <w:lang w:val="fr-FR"/>
        </w:rPr>
        <w:t>ProDVX</w:t>
      </w:r>
      <w:proofErr w:type="spellEnd"/>
      <w:r w:rsidRPr="00D820D7">
        <w:rPr>
          <w:rFonts w:ascii="Sennheiser Neue Regular" w:hAnsi="Sennheiser Neue Regular"/>
          <w:sz w:val="16"/>
          <w:szCs w:val="16"/>
          <w:lang w:val="fr-FR"/>
        </w:rPr>
        <w:t xml:space="preserve"> facilitent l’accès à des expériences audio accessibles, immersives et faciles à utiliser, permettant à chacun de participer pleinement à l’apprentissage et à la collaboration.</w:t>
      </w:r>
    </w:p>
    <w:p w14:paraId="1D71FC25" w14:textId="254CFA90" w:rsidR="00D477A9" w:rsidRPr="00D820D7" w:rsidRDefault="00BD66DA" w:rsidP="00915F74">
      <w:pPr>
        <w:spacing w:after="0" w:line="360" w:lineRule="auto"/>
        <w:rPr>
          <w:rFonts w:ascii="Sennheiser Neue Regular" w:hAnsi="Sennheiser Neue Regular"/>
          <w:sz w:val="16"/>
          <w:szCs w:val="16"/>
          <w:lang w:val="fr-FR"/>
        </w:rPr>
      </w:pPr>
      <w:r w:rsidRPr="00D820D7">
        <w:rPr>
          <w:rFonts w:ascii="Sennheiser Neue Regular" w:hAnsi="Sennheiser Neue Regular"/>
          <w:sz w:val="16"/>
          <w:szCs w:val="16"/>
          <w:lang w:val="fr-FR"/>
        </w:rPr>
        <w:t xml:space="preserve">Pour plus d’informations sur Sennheiser et ses solutions, rendez-vous sur sennheiser.com. Pour en savoir plus sur </w:t>
      </w:r>
      <w:proofErr w:type="spellStart"/>
      <w:r w:rsidRPr="00D820D7">
        <w:rPr>
          <w:rFonts w:ascii="Sennheiser Neue Regular" w:hAnsi="Sennheiser Neue Regular"/>
          <w:sz w:val="16"/>
          <w:szCs w:val="16"/>
          <w:lang w:val="fr-FR"/>
        </w:rPr>
        <w:t>ProDVX</w:t>
      </w:r>
      <w:proofErr w:type="spellEnd"/>
      <w:r w:rsidRPr="00D820D7">
        <w:rPr>
          <w:rFonts w:ascii="Sennheiser Neue Regular" w:hAnsi="Sennheiser Neue Regular"/>
          <w:sz w:val="16"/>
          <w:szCs w:val="16"/>
          <w:lang w:val="fr-FR"/>
        </w:rPr>
        <w:t xml:space="preserve"> Europe et ses solutions d’affichage, rendez-vous sur prodvx.com.</w:t>
      </w:r>
      <w:r w:rsidR="00A658F2" w:rsidRPr="00D820D7">
        <w:rPr>
          <w:rFonts w:ascii="Sennheiser Neue Regular" w:hAnsi="Sennheiser Neue Regular"/>
          <w:sz w:val="16"/>
          <w:szCs w:val="16"/>
          <w:lang w:val="fr-FR"/>
        </w:rPr>
        <w:br/>
      </w:r>
    </w:p>
    <w:p w14:paraId="0081D0AA" w14:textId="0AB7679B" w:rsidR="00097474" w:rsidRPr="00D820D7" w:rsidRDefault="00BD66DA" w:rsidP="00097474">
      <w:pPr>
        <w:pStyle w:val="NoSpacing"/>
        <w:rPr>
          <w:rFonts w:ascii="Sennheiser Neue Regular" w:hAnsi="Sennheiser Neue Regular"/>
          <w:b/>
          <w:bCs/>
          <w:sz w:val="16"/>
          <w:szCs w:val="16"/>
          <w:lang w:val="fr-FR"/>
        </w:rPr>
      </w:pPr>
      <w:r w:rsidRPr="00D820D7">
        <w:rPr>
          <w:rFonts w:ascii="Sennheiser Neue Regular" w:hAnsi="Sennheiser Neue Regular"/>
          <w:b/>
          <w:bCs/>
          <w:sz w:val="16"/>
          <w:szCs w:val="16"/>
          <w:lang w:val="fr-FR"/>
        </w:rPr>
        <w:t>A propos de</w:t>
      </w:r>
      <w:r w:rsidR="00097474" w:rsidRPr="00D820D7">
        <w:rPr>
          <w:rFonts w:ascii="Sennheiser Neue Regular" w:hAnsi="Sennheiser Neue Regular"/>
          <w:b/>
          <w:bCs/>
          <w:sz w:val="16"/>
          <w:szCs w:val="16"/>
          <w:lang w:val="fr-FR"/>
        </w:rPr>
        <w:t xml:space="preserve"> </w:t>
      </w:r>
      <w:proofErr w:type="spellStart"/>
      <w:r w:rsidR="00097474" w:rsidRPr="00D820D7">
        <w:rPr>
          <w:rFonts w:ascii="Sennheiser Neue Regular" w:hAnsi="Sennheiser Neue Regular"/>
          <w:b/>
          <w:bCs/>
          <w:sz w:val="16"/>
          <w:szCs w:val="16"/>
          <w:lang w:val="fr-FR"/>
        </w:rPr>
        <w:t>ProDVX</w:t>
      </w:r>
      <w:proofErr w:type="spellEnd"/>
      <w:r w:rsidR="008A0183" w:rsidRPr="00D820D7">
        <w:rPr>
          <w:rFonts w:ascii="Sennheiser Neue Regular" w:hAnsi="Sennheiser Neue Regular"/>
          <w:b/>
          <w:bCs/>
          <w:sz w:val="16"/>
          <w:szCs w:val="16"/>
          <w:lang w:val="fr-FR"/>
        </w:rPr>
        <w:t xml:space="preserve"> Europe</w:t>
      </w:r>
    </w:p>
    <w:p w14:paraId="0A3CF6B0" w14:textId="35CEE58B" w:rsidR="00097474" w:rsidRPr="00D820D7" w:rsidRDefault="00BD66DA" w:rsidP="00097474">
      <w:pPr>
        <w:pStyle w:val="NoSpacing"/>
        <w:rPr>
          <w:rFonts w:ascii="Sennheiser Neue Regular" w:hAnsi="Sennheiser Neue Regular"/>
          <w:sz w:val="16"/>
          <w:szCs w:val="16"/>
          <w:lang w:val="fr-FR"/>
        </w:rPr>
      </w:pPr>
      <w:r w:rsidRPr="00D820D7">
        <w:rPr>
          <w:rFonts w:ascii="Sennheiser Neue Regular" w:hAnsi="Sennheiser Neue Regular"/>
          <w:sz w:val="16"/>
          <w:szCs w:val="16"/>
          <w:lang w:val="fr-FR"/>
        </w:rPr>
        <w:t>Nous sommes un fabricant néerlandais de solutions d’affichage interactives de haute qualité et hautement sécurisées. Nous sommes fiers de plus de vingt ans d’expérience et d’une équipe de développement produit intégrée. Notre mission est d’assurer à nos clients une continuité d’activité fiable.</w:t>
      </w:r>
    </w:p>
    <w:p w14:paraId="3C6FF5C8" w14:textId="4F93BAC0" w:rsidR="00097474" w:rsidRPr="00D820D7" w:rsidRDefault="00097474" w:rsidP="00097474">
      <w:pPr>
        <w:pStyle w:val="NoSpacing"/>
        <w:rPr>
          <w:rFonts w:ascii="Sennheiser Neue Regular" w:hAnsi="Sennheiser Neue Regular"/>
          <w:sz w:val="16"/>
          <w:szCs w:val="16"/>
          <w:lang w:val="fr-FR"/>
        </w:rPr>
      </w:pPr>
      <w:hyperlink r:id="rId10" w:history="1">
        <w:r w:rsidRPr="00D820D7">
          <w:rPr>
            <w:rStyle w:val="Hyperlink"/>
            <w:rFonts w:ascii="Sennheiser Neue Regular" w:hAnsi="Sennheiser Neue Regular"/>
            <w:sz w:val="16"/>
            <w:szCs w:val="16"/>
            <w:lang w:val="fr-FR"/>
          </w:rPr>
          <w:t>www.prodvx.com</w:t>
        </w:r>
      </w:hyperlink>
    </w:p>
    <w:p w14:paraId="0FB69346" w14:textId="77777777" w:rsidR="00B70950" w:rsidRPr="00D820D7" w:rsidRDefault="00B70950" w:rsidP="00097474">
      <w:pPr>
        <w:pStyle w:val="NoSpacing"/>
        <w:rPr>
          <w:rFonts w:ascii="Sennheiser Neue Regular" w:hAnsi="Sennheiser Neue Regular"/>
          <w:sz w:val="21"/>
          <w:szCs w:val="21"/>
          <w:lang w:val="fr-FR"/>
        </w:rPr>
      </w:pPr>
    </w:p>
    <w:p w14:paraId="045B1AB0" w14:textId="77777777" w:rsidR="00A658F2" w:rsidRPr="00D820D7" w:rsidRDefault="00A658F2" w:rsidP="00A931FB">
      <w:pPr>
        <w:pStyle w:val="About"/>
        <w:rPr>
          <w:rFonts w:ascii="Sennheiser Neue Regular" w:hAnsi="Sennheiser Neue Regular"/>
          <w:sz w:val="16"/>
          <w:szCs w:val="16"/>
          <w:lang w:val="fr-FR"/>
        </w:rPr>
      </w:pPr>
    </w:p>
    <w:p w14:paraId="00101883" w14:textId="77777777" w:rsidR="006C735F" w:rsidRPr="00D820D7" w:rsidRDefault="006C735F" w:rsidP="006C735F">
      <w:pPr>
        <w:pStyle w:val="About"/>
        <w:rPr>
          <w:rFonts w:ascii="Sennheiser Neue Regular" w:hAnsi="Sennheiser Neue Regular"/>
          <w:b/>
          <w:bCs/>
          <w:sz w:val="16"/>
          <w:szCs w:val="16"/>
          <w:lang w:val="fr-FR"/>
        </w:rPr>
      </w:pPr>
      <w:r w:rsidRPr="00D820D7">
        <w:rPr>
          <w:rFonts w:ascii="Sennheiser Neue Regular" w:hAnsi="Sennheiser Neue Regular"/>
          <w:b/>
          <w:bCs/>
          <w:sz w:val="16"/>
          <w:szCs w:val="16"/>
          <w:lang w:val="fr-FR"/>
        </w:rPr>
        <w:t xml:space="preserve">À propos de la marque Sennheiser – 80 ans à façonner le futur de l’audio </w:t>
      </w:r>
    </w:p>
    <w:p w14:paraId="0488F9AA" w14:textId="77777777" w:rsidR="006C735F" w:rsidRDefault="006C735F" w:rsidP="006C735F">
      <w:pPr>
        <w:pStyle w:val="About"/>
        <w:rPr>
          <w:rFonts w:ascii="Sennheiser Neue Regular" w:hAnsi="Sennheiser Neue Regular"/>
          <w:sz w:val="16"/>
          <w:szCs w:val="16"/>
          <w:lang w:val="fr-FR"/>
        </w:rPr>
      </w:pPr>
      <w:r w:rsidRPr="00D820D7">
        <w:rPr>
          <w:rFonts w:ascii="Sennheiser Neue Regular" w:hAnsi="Sennheiser Neue Regular"/>
          <w:sz w:val="16"/>
          <w:szCs w:val="16"/>
          <w:lang w:val="fr-FR"/>
        </w:rPr>
        <w:t xml:space="preserve">Nous vivons et respirons l'audio. Nous sommes guidés par une passion, celle de créer </w:t>
      </w:r>
      <w:proofErr w:type="gramStart"/>
      <w:r w:rsidRPr="00D820D7">
        <w:rPr>
          <w:rFonts w:ascii="Sennheiser Neue Regular" w:hAnsi="Sennheiser Neue Regular"/>
          <w:sz w:val="16"/>
          <w:szCs w:val="16"/>
          <w:lang w:val="fr-FR"/>
        </w:rPr>
        <w:t>des solutions audio</w:t>
      </w:r>
      <w:proofErr w:type="gramEnd"/>
      <w:r w:rsidRPr="00D820D7">
        <w:rPr>
          <w:rFonts w:ascii="Sennheiser Neue Regular" w:hAnsi="Sennheiser Neue Regular"/>
          <w:sz w:val="16"/>
          <w:szCs w:val="16"/>
          <w:lang w:val="fr-FR"/>
        </w:rPr>
        <w:t xml:space="preserve"> qui font la différence. Cette passion nous a menés des plus grandes scènes du monde aux salles d’écoute les plus silencieuses – faisant de Sennheiser un nom associé à un son qui ne se contente pas d’être bon à écouter : il sonne juste. En 2025, la marque Sennheiser fêtera son 80ème anniversaire. Depuis 1945, nous œuvrons à construire le futur de l’audio et à offrir à nos clients des expériences sonores remarquables. </w:t>
      </w:r>
    </w:p>
    <w:p w14:paraId="1C9DD83A" w14:textId="77777777" w:rsidR="00D820D7" w:rsidRPr="00D820D7" w:rsidRDefault="00D820D7" w:rsidP="006C735F">
      <w:pPr>
        <w:pStyle w:val="About"/>
        <w:rPr>
          <w:rFonts w:ascii="Sennheiser Neue Regular" w:hAnsi="Sennheiser Neue Regular"/>
          <w:sz w:val="16"/>
          <w:szCs w:val="16"/>
          <w:lang w:val="fr-FR"/>
        </w:rPr>
      </w:pPr>
    </w:p>
    <w:p w14:paraId="15DE9859" w14:textId="77777777" w:rsidR="006C735F" w:rsidRPr="00D820D7" w:rsidRDefault="006C735F" w:rsidP="006C735F">
      <w:pPr>
        <w:pStyle w:val="About"/>
        <w:rPr>
          <w:rFonts w:ascii="Sennheiser Neue Regular" w:hAnsi="Sennheiser Neue Regular"/>
          <w:sz w:val="16"/>
          <w:szCs w:val="16"/>
          <w:lang w:val="fr-FR"/>
        </w:rPr>
      </w:pPr>
      <w:r w:rsidRPr="00D820D7">
        <w:rPr>
          <w:rFonts w:ascii="Sennheiser Neue Regular" w:hAnsi="Sennheiser Neue Regular"/>
          <w:sz w:val="16"/>
          <w:szCs w:val="16"/>
          <w:lang w:val="fr-FR"/>
        </w:rPr>
        <w:t xml:space="preserve">Tandis que </w:t>
      </w:r>
      <w:proofErr w:type="gramStart"/>
      <w:r w:rsidRPr="00D820D7">
        <w:rPr>
          <w:rFonts w:ascii="Sennheiser Neue Regular" w:hAnsi="Sennheiser Neue Regular"/>
          <w:sz w:val="16"/>
          <w:szCs w:val="16"/>
          <w:lang w:val="fr-FR"/>
        </w:rPr>
        <w:t>les solutions audio</w:t>
      </w:r>
      <w:proofErr w:type="gramEnd"/>
      <w:r w:rsidRPr="00D820D7">
        <w:rPr>
          <w:rFonts w:ascii="Sennheiser Neue Regular" w:hAnsi="Sennheiser Neue Regular"/>
          <w:sz w:val="16"/>
          <w:szCs w:val="16"/>
          <w:lang w:val="fr-FR"/>
        </w:rPr>
        <w:t xml:space="preserve"> professionnelles – telles que les microphones, les solutions de conférence, les technologies de streaming et les systèmes de monitoring – relèvent de l’activité de Sennheiser </w:t>
      </w:r>
      <w:proofErr w:type="spellStart"/>
      <w:r w:rsidRPr="00D820D7">
        <w:rPr>
          <w:rFonts w:ascii="Sennheiser Neue Regular" w:hAnsi="Sennheiser Neue Regular"/>
          <w:sz w:val="16"/>
          <w:szCs w:val="16"/>
          <w:lang w:val="fr-FR"/>
        </w:rPr>
        <w:t>electronic</w:t>
      </w:r>
      <w:proofErr w:type="spellEnd"/>
      <w:r w:rsidRPr="00D820D7">
        <w:rPr>
          <w:rFonts w:ascii="Sennheiser Neue Regular" w:hAnsi="Sennheiser Neue Regular"/>
          <w:sz w:val="16"/>
          <w:szCs w:val="16"/>
          <w:lang w:val="fr-FR"/>
        </w:rPr>
        <w:t xml:space="preserve"> SE &amp; Co. KG, l’activité liée aux produits grand public – comme les casques, barres de son et appareils d’écoute amplifiée – est opérée par Sonova Holding AG sous licence de la marque Sennheiser. </w:t>
      </w:r>
    </w:p>
    <w:p w14:paraId="17874833" w14:textId="77777777" w:rsidR="006C735F" w:rsidRPr="00D820D7" w:rsidRDefault="006C735F" w:rsidP="006C735F">
      <w:pPr>
        <w:pStyle w:val="About"/>
        <w:rPr>
          <w:rFonts w:ascii="Sennheiser Neue Regular" w:hAnsi="Sennheiser Neue Regular"/>
          <w:b/>
          <w:bCs/>
          <w:i/>
          <w:iCs/>
          <w:sz w:val="16"/>
          <w:szCs w:val="16"/>
          <w:lang w:val="fr-FR"/>
        </w:rPr>
      </w:pPr>
      <w:r w:rsidRPr="00D820D7">
        <w:rPr>
          <w:rFonts w:ascii="Sennheiser Neue Regular" w:hAnsi="Sennheiser Neue Regular"/>
          <w:sz w:val="16"/>
          <w:szCs w:val="16"/>
          <w:lang w:val="fr-FR"/>
        </w:rPr>
        <w:t>www.sennheiser.com</w:t>
      </w:r>
    </w:p>
    <w:p w14:paraId="18B58430" w14:textId="3D4C1DDA" w:rsidR="006C735F" w:rsidRPr="00D820D7" w:rsidRDefault="006C735F" w:rsidP="006C735F">
      <w:pPr>
        <w:pStyle w:val="About"/>
        <w:rPr>
          <w:rFonts w:ascii="Sennheiser Neue Regular" w:hAnsi="Sennheiser Neue Regular"/>
          <w:sz w:val="16"/>
          <w:szCs w:val="16"/>
          <w:lang w:val="fr-FR"/>
        </w:rPr>
      </w:pPr>
      <w:hyperlink r:id="rId11" w:history="1">
        <w:r w:rsidRPr="00D820D7">
          <w:rPr>
            <w:rStyle w:val="Hyperlink"/>
            <w:rFonts w:ascii="Sennheiser Neue Regular" w:hAnsi="Sennheiser Neue Regular"/>
            <w:sz w:val="16"/>
            <w:szCs w:val="16"/>
            <w:lang w:val="fr-FR"/>
          </w:rPr>
          <w:t>www.sennheiser-hearing.com</w:t>
        </w:r>
      </w:hyperlink>
    </w:p>
    <w:p w14:paraId="7A1F34B3" w14:textId="0E8829BA" w:rsidR="00A658F2" w:rsidRPr="00D820D7" w:rsidRDefault="00A658F2" w:rsidP="006C735F">
      <w:pPr>
        <w:pStyle w:val="About"/>
        <w:rPr>
          <w:rFonts w:ascii="Sennheiser Neue Regular" w:hAnsi="Sennheiser Neue Regular"/>
          <w:sz w:val="16"/>
          <w:szCs w:val="16"/>
        </w:rPr>
      </w:pPr>
      <w:hyperlink r:id="rId12" w:history="1">
        <w:r w:rsidRPr="00D820D7">
          <w:rPr>
            <w:rStyle w:val="Hyperlink1"/>
            <w:rFonts w:ascii="Sennheiser Neue Regular" w:hAnsi="Sennheiser Neue Regular"/>
            <w:sz w:val="16"/>
            <w:szCs w:val="16"/>
          </w:rPr>
          <w:t>www.sennheiser.com</w:t>
        </w:r>
      </w:hyperlink>
    </w:p>
    <w:p w14:paraId="64DF2637" w14:textId="5DD64A06" w:rsidR="0023484F" w:rsidRPr="00D820D7" w:rsidRDefault="0023484F" w:rsidP="006C735F">
      <w:pPr>
        <w:pStyle w:val="About"/>
        <w:rPr>
          <w:rFonts w:ascii="Sennheiser Neue Regular" w:hAnsi="Sennheiser Neue Regular"/>
          <w:color w:val="0095D5"/>
          <w:sz w:val="16"/>
          <w:szCs w:val="16"/>
          <w:u w:color="0095D5"/>
        </w:rPr>
      </w:pPr>
    </w:p>
    <w:tbl>
      <w:tblPr>
        <w:tblpPr w:leftFromText="141" w:rightFromText="141" w:vertAnchor="text" w:horzAnchor="margin" w:tblpY="641"/>
        <w:tblW w:w="8201" w:type="dxa"/>
        <w:tblLayout w:type="fixed"/>
        <w:tblLook w:val="0000" w:firstRow="0" w:lastRow="0" w:firstColumn="0" w:lastColumn="0" w:noHBand="0" w:noVBand="0"/>
      </w:tblPr>
      <w:tblGrid>
        <w:gridCol w:w="3965"/>
        <w:gridCol w:w="4236"/>
      </w:tblGrid>
      <w:tr w:rsidR="001E328F" w:rsidRPr="00D820D7" w14:paraId="4C81A5C9" w14:textId="77777777" w:rsidTr="00FC3751">
        <w:trPr>
          <w:cantSplit/>
          <w:trHeight w:val="1550"/>
        </w:trPr>
        <w:tc>
          <w:tcPr>
            <w:tcW w:w="3965" w:type="dxa"/>
            <w:tcBorders>
              <w:top w:val="nil"/>
              <w:left w:val="nil"/>
              <w:bottom w:val="nil"/>
              <w:right w:val="nil"/>
            </w:tcBorders>
          </w:tcPr>
          <w:p w14:paraId="54352685" w14:textId="77777777" w:rsidR="001E328F" w:rsidRPr="00D820D7" w:rsidRDefault="001E328F" w:rsidP="00CF54BC">
            <w:pPr>
              <w:spacing w:after="0" w:line="240" w:lineRule="auto"/>
              <w:rPr>
                <w:rFonts w:ascii="Sennheiser Neue Regular" w:hAnsi="Sennheiser Neue Regular"/>
                <w:b/>
                <w:bCs/>
                <w:sz w:val="14"/>
                <w:szCs w:val="15"/>
                <w:lang w:val="fr-FR"/>
              </w:rPr>
            </w:pPr>
            <w:r w:rsidRPr="00D820D7">
              <w:rPr>
                <w:rFonts w:ascii="Sennheiser Neue Regular" w:hAnsi="Sennheiser Neue Regular"/>
                <w:b/>
                <w:bCs/>
                <w:sz w:val="14"/>
                <w:szCs w:val="15"/>
                <w:lang w:val="fr-FR"/>
              </w:rPr>
              <w:t>Contact Local</w:t>
            </w:r>
          </w:p>
          <w:p w14:paraId="1613AAD7" w14:textId="77777777" w:rsidR="001E328F" w:rsidRPr="00D820D7" w:rsidRDefault="001E328F" w:rsidP="00CF54BC">
            <w:pPr>
              <w:spacing w:after="0" w:line="240" w:lineRule="auto"/>
              <w:rPr>
                <w:rFonts w:ascii="Sennheiser Neue Regular" w:hAnsi="Sennheiser Neue Regular"/>
                <w:sz w:val="14"/>
                <w:szCs w:val="15"/>
                <w:lang w:val="fr-FR"/>
              </w:rPr>
            </w:pPr>
          </w:p>
          <w:p w14:paraId="0B8DAA83" w14:textId="66F55CF9" w:rsidR="001E328F" w:rsidRPr="00D820D7" w:rsidRDefault="00CF54BC" w:rsidP="00CF54BC">
            <w:pPr>
              <w:spacing w:after="0" w:line="240" w:lineRule="auto"/>
              <w:rPr>
                <w:rFonts w:ascii="Sennheiser Neue Regular" w:hAnsi="Sennheiser Neue Regular"/>
                <w:b/>
                <w:bCs/>
                <w:sz w:val="14"/>
                <w:szCs w:val="15"/>
                <w:lang w:val="fr-FR"/>
              </w:rPr>
            </w:pPr>
            <w:r>
              <w:rPr>
                <w:rFonts w:ascii="Sennheiser Neue Regular" w:hAnsi="Sennheiser Neue Regular"/>
                <w:b/>
                <w:bCs/>
                <w:sz w:val="14"/>
                <w:szCs w:val="15"/>
                <w:lang w:val="fr-FR"/>
              </w:rPr>
              <w:t>InGear</w:t>
            </w:r>
          </w:p>
          <w:p w14:paraId="54D3241A" w14:textId="024671EA" w:rsidR="001E328F" w:rsidRPr="00D820D7" w:rsidRDefault="00CF54BC" w:rsidP="00CF54BC">
            <w:pPr>
              <w:spacing w:after="0" w:line="240" w:lineRule="auto"/>
              <w:outlineLvl w:val="0"/>
              <w:rPr>
                <w:rFonts w:ascii="Sennheiser Neue Regular" w:hAnsi="Sennheiser Neue Regular"/>
                <w:caps/>
                <w:color w:val="0095D5"/>
                <w:sz w:val="14"/>
                <w:szCs w:val="15"/>
                <w:lang w:val="fr-FR"/>
              </w:rPr>
            </w:pPr>
            <w:r>
              <w:rPr>
                <w:rFonts w:ascii="Sennheiser Neue Regular" w:hAnsi="Sennheiser Neue Regular"/>
                <w:color w:val="0095D5"/>
                <w:sz w:val="14"/>
                <w:szCs w:val="15"/>
                <w:lang w:val="fr-FR"/>
              </w:rPr>
              <w:t>Peter Schuyler</w:t>
            </w:r>
          </w:p>
          <w:p w14:paraId="431CE258" w14:textId="6C483395" w:rsidR="001E328F" w:rsidRPr="00D820D7" w:rsidRDefault="001E328F" w:rsidP="00CF54BC">
            <w:pPr>
              <w:spacing w:after="0" w:line="240" w:lineRule="auto"/>
              <w:rPr>
                <w:rFonts w:ascii="Sennheiser Neue Regular" w:hAnsi="Sennheiser Neue Regular"/>
                <w:sz w:val="14"/>
                <w:szCs w:val="15"/>
                <w:lang w:val="de-DE"/>
              </w:rPr>
            </w:pPr>
            <w:r w:rsidRPr="00D820D7">
              <w:rPr>
                <w:rFonts w:ascii="Sennheiser Neue Regular" w:hAnsi="Sennheiser Neue Regular"/>
                <w:sz w:val="14"/>
                <w:szCs w:val="15"/>
                <w:lang w:val="de-DE"/>
              </w:rPr>
              <w:t xml:space="preserve">Tel : </w:t>
            </w:r>
            <w:r w:rsidR="00CF54BC">
              <w:rPr>
                <w:rFonts w:ascii="Sennheiser Neue Regular" w:hAnsi="Sennheiser Neue Regular"/>
                <w:sz w:val="14"/>
                <w:szCs w:val="15"/>
                <w:lang w:val="de-DE"/>
              </w:rPr>
              <w:t>1-917-496-8970</w:t>
            </w:r>
          </w:p>
          <w:p w14:paraId="46242F32" w14:textId="071E6CC9" w:rsidR="001E328F" w:rsidRPr="00D820D7" w:rsidRDefault="00CF54BC" w:rsidP="00CF54BC">
            <w:pPr>
              <w:spacing w:after="0" w:line="240" w:lineRule="auto"/>
              <w:rPr>
                <w:rFonts w:ascii="Sennheiser Neue Regular" w:hAnsi="Sennheiser Neue Regular"/>
                <w:sz w:val="14"/>
                <w:szCs w:val="15"/>
                <w:lang w:val="de-DE"/>
              </w:rPr>
            </w:pPr>
            <w:hyperlink r:id="rId13" w:history="1">
              <w:r w:rsidRPr="00CF54BC">
                <w:rPr>
                  <w:rStyle w:val="Hyperlink"/>
                  <w:rFonts w:ascii="Sennheiser Neue Regular" w:hAnsi="Sennheiser Neue Regular"/>
                  <w:sz w:val="14"/>
                  <w:szCs w:val="15"/>
                  <w:lang w:val="de-DE"/>
                </w:rPr>
                <w:t>peter@ingearpr.com</w:t>
              </w:r>
            </w:hyperlink>
          </w:p>
        </w:tc>
        <w:tc>
          <w:tcPr>
            <w:tcW w:w="4236" w:type="dxa"/>
            <w:tcBorders>
              <w:top w:val="nil"/>
              <w:left w:val="nil"/>
              <w:bottom w:val="nil"/>
              <w:right w:val="nil"/>
            </w:tcBorders>
          </w:tcPr>
          <w:p w14:paraId="75337A36" w14:textId="77777777" w:rsidR="001E328F" w:rsidRPr="00D820D7" w:rsidRDefault="001E328F" w:rsidP="00CF54BC">
            <w:pPr>
              <w:spacing w:after="0" w:line="240" w:lineRule="auto"/>
              <w:rPr>
                <w:rFonts w:ascii="Sennheiser Neue Regular" w:hAnsi="Sennheiser Neue Regular"/>
                <w:b/>
                <w:bCs/>
                <w:sz w:val="14"/>
                <w:szCs w:val="15"/>
                <w:lang w:val="en-GB"/>
              </w:rPr>
            </w:pPr>
            <w:r w:rsidRPr="00D820D7">
              <w:rPr>
                <w:rFonts w:ascii="Sennheiser Neue Regular" w:hAnsi="Sennheiser Neue Regular"/>
                <w:b/>
                <w:bCs/>
                <w:sz w:val="14"/>
                <w:szCs w:val="15"/>
                <w:lang w:val="en-GB"/>
              </w:rPr>
              <w:t>Contact Global</w:t>
            </w:r>
          </w:p>
          <w:p w14:paraId="52E45CC8" w14:textId="77777777" w:rsidR="001E328F" w:rsidRPr="00D820D7" w:rsidRDefault="001E328F" w:rsidP="00CF54BC">
            <w:pPr>
              <w:spacing w:after="0" w:line="240" w:lineRule="auto"/>
              <w:rPr>
                <w:rFonts w:ascii="Sennheiser Neue Regular" w:hAnsi="Sennheiser Neue Regular"/>
                <w:sz w:val="14"/>
                <w:szCs w:val="15"/>
                <w:lang w:val="en-GB"/>
              </w:rPr>
            </w:pPr>
          </w:p>
          <w:p w14:paraId="1DC8458A" w14:textId="77777777" w:rsidR="001E328F" w:rsidRPr="00D820D7" w:rsidRDefault="001E328F" w:rsidP="00CF54BC">
            <w:pPr>
              <w:spacing w:after="0" w:line="240" w:lineRule="auto"/>
              <w:rPr>
                <w:rFonts w:ascii="Sennheiser Neue Regular" w:hAnsi="Sennheiser Neue Regular"/>
                <w:b/>
                <w:bCs/>
                <w:sz w:val="14"/>
                <w:szCs w:val="15"/>
              </w:rPr>
            </w:pPr>
            <w:r w:rsidRPr="00D820D7">
              <w:rPr>
                <w:rFonts w:ascii="Sennheiser Neue Regular" w:hAnsi="Sennheiser Neue Regular"/>
                <w:b/>
                <w:bCs/>
                <w:sz w:val="14"/>
                <w:szCs w:val="15"/>
                <w:lang w:val="en-GB"/>
              </w:rPr>
              <w:t xml:space="preserve">Sennheiser electronic GmbH &amp; Co. </w:t>
            </w:r>
            <w:r w:rsidRPr="00D820D7">
              <w:rPr>
                <w:rFonts w:ascii="Sennheiser Neue Regular" w:hAnsi="Sennheiser Neue Regular"/>
                <w:b/>
                <w:bCs/>
                <w:sz w:val="14"/>
                <w:szCs w:val="15"/>
              </w:rPr>
              <w:t>KG</w:t>
            </w:r>
          </w:p>
          <w:p w14:paraId="272093A7" w14:textId="668C53D3" w:rsidR="001E328F" w:rsidRPr="00D820D7" w:rsidRDefault="00CF54BC" w:rsidP="00CF54BC">
            <w:pPr>
              <w:spacing w:after="0" w:line="240" w:lineRule="auto"/>
              <w:outlineLvl w:val="0"/>
              <w:rPr>
                <w:rFonts w:ascii="Sennheiser Neue Regular" w:hAnsi="Sennheiser Neue Regular"/>
                <w:color w:val="0095D5"/>
                <w:sz w:val="14"/>
                <w:szCs w:val="15"/>
              </w:rPr>
            </w:pPr>
            <w:r>
              <w:rPr>
                <w:rFonts w:ascii="Sennheiser Neue Regular" w:hAnsi="Sennheiser Neue Regular"/>
                <w:color w:val="0095D5"/>
                <w:sz w:val="14"/>
                <w:szCs w:val="15"/>
              </w:rPr>
              <w:t>Jeffrey Horan</w:t>
            </w:r>
          </w:p>
          <w:p w14:paraId="27CD4350" w14:textId="77777777" w:rsidR="001E328F" w:rsidRPr="00D820D7" w:rsidRDefault="001E328F" w:rsidP="00CF54BC">
            <w:pPr>
              <w:spacing w:after="0" w:line="240" w:lineRule="auto"/>
              <w:rPr>
                <w:rFonts w:ascii="Sennheiser Neue Regular" w:hAnsi="Sennheiser Neue Regular"/>
                <w:sz w:val="14"/>
                <w:szCs w:val="15"/>
              </w:rPr>
            </w:pPr>
            <w:r w:rsidRPr="00D820D7">
              <w:rPr>
                <w:rFonts w:ascii="Sennheiser Neue Regular" w:hAnsi="Sennheiser Neue Regular"/>
                <w:sz w:val="14"/>
                <w:szCs w:val="15"/>
              </w:rPr>
              <w:t>Communications and Local Coordinator France</w:t>
            </w:r>
          </w:p>
          <w:p w14:paraId="089C1F25" w14:textId="4E818C13" w:rsidR="001E328F" w:rsidRPr="00D820D7" w:rsidRDefault="001E328F" w:rsidP="00CF54BC">
            <w:pPr>
              <w:spacing w:after="0" w:line="240" w:lineRule="auto"/>
              <w:rPr>
                <w:rFonts w:ascii="Sennheiser Neue Regular" w:hAnsi="Sennheiser Neue Regular"/>
                <w:sz w:val="14"/>
                <w:szCs w:val="15"/>
              </w:rPr>
            </w:pPr>
            <w:r w:rsidRPr="00D820D7">
              <w:rPr>
                <w:rFonts w:ascii="Sennheiser Neue Regular" w:hAnsi="Sennheiser Neue Regular"/>
                <w:sz w:val="14"/>
                <w:szCs w:val="15"/>
              </w:rPr>
              <w:t xml:space="preserve">Tel : </w:t>
            </w:r>
            <w:r w:rsidR="00CF54BC">
              <w:rPr>
                <w:rFonts w:ascii="Sennheiser Neue Regular" w:hAnsi="Sennheiser Neue Regular"/>
                <w:sz w:val="14"/>
                <w:szCs w:val="15"/>
              </w:rPr>
              <w:t>1-860-598-7539</w:t>
            </w:r>
          </w:p>
          <w:p w14:paraId="68638211" w14:textId="4E95D0F2" w:rsidR="001E328F" w:rsidRPr="00D820D7" w:rsidRDefault="001E328F" w:rsidP="00CF54BC">
            <w:pPr>
              <w:spacing w:after="0" w:line="240" w:lineRule="auto"/>
              <w:rPr>
                <w:rFonts w:ascii="Sennheiser Neue Regular" w:hAnsi="Sennheiser Neue Regular"/>
                <w:sz w:val="14"/>
                <w:szCs w:val="15"/>
              </w:rPr>
            </w:pPr>
            <w:hyperlink r:id="rId14" w:history="1">
              <w:r w:rsidR="00CF54BC">
                <w:rPr>
                  <w:rStyle w:val="Hyperlink"/>
                  <w:rFonts w:ascii="Sennheiser Neue Regular" w:hAnsi="Sennheiser Neue Regular"/>
                  <w:sz w:val="14"/>
                  <w:szCs w:val="15"/>
                </w:rPr>
                <w:t>jeffrey.horan@sennheiser.com</w:t>
              </w:r>
            </w:hyperlink>
          </w:p>
        </w:tc>
      </w:tr>
    </w:tbl>
    <w:p w14:paraId="702F432D" w14:textId="77777777" w:rsidR="00A931FB" w:rsidRPr="00D820D7" w:rsidRDefault="00A931FB" w:rsidP="00E77E75">
      <w:pPr>
        <w:rPr>
          <w:rFonts w:ascii="Sennheiser Neue Regular" w:hAnsi="Sennheiser Neue Regular"/>
        </w:rPr>
      </w:pPr>
    </w:p>
    <w:sectPr w:rsidR="00A931FB" w:rsidRPr="00D820D7">
      <w:headerReference w:type="default" r:id="rId15"/>
      <w:headerReference w:type="first" r:id="rId16"/>
      <w:footerReference w:type="first" r:id="rId17"/>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658F" w14:textId="77777777" w:rsidR="00F16D7A" w:rsidRDefault="00F16D7A">
      <w:pPr>
        <w:spacing w:after="0" w:line="240" w:lineRule="auto"/>
      </w:pPr>
      <w:r>
        <w:separator/>
      </w:r>
    </w:p>
  </w:endnote>
  <w:endnote w:type="continuationSeparator" w:id="0">
    <w:p w14:paraId="0B4143B2" w14:textId="77777777" w:rsidR="00F16D7A" w:rsidRDefault="00F1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nnheiser Office">
    <w:altName w:val="Cambria"/>
    <w:panose1 w:val="02010504010101010104"/>
    <w:charset w:val="00"/>
    <w:family w:val="auto"/>
    <w:pitch w:val="variable"/>
    <w:sig w:usb0="A00000AF" w:usb1="500020DB" w:usb2="00000000" w:usb3="00000000" w:csb0="00000093" w:csb1="00000000"/>
  </w:font>
  <w:font w:name="Sennheiser Neue Regular">
    <w:altName w:val="Calibri"/>
    <w:panose1 w:val="00000500000000000000"/>
    <w:charset w:val="00"/>
    <w:family w:val="modern"/>
    <w:notTrueType/>
    <w:pitch w:val="variable"/>
    <w:sig w:usb0="A00000AF" w:usb1="500020D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042" w14:textId="77777777" w:rsidR="0040114C" w:rsidRDefault="0040114C">
    <w:pPr>
      <w:pStyle w:val="Footer"/>
      <w:tabs>
        <w:tab w:val="left" w:pos="30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6B06" w14:textId="77777777" w:rsidR="00F16D7A" w:rsidRDefault="00F16D7A">
      <w:pPr>
        <w:spacing w:after="0" w:line="240" w:lineRule="auto"/>
      </w:pPr>
      <w:r>
        <w:separator/>
      </w:r>
    </w:p>
  </w:footnote>
  <w:footnote w:type="continuationSeparator" w:id="0">
    <w:p w14:paraId="6CC18D64" w14:textId="77777777" w:rsidR="00F16D7A" w:rsidRDefault="00F1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FDD5" w14:textId="697E89A8" w:rsidR="0040114C" w:rsidRPr="00D820D7" w:rsidRDefault="006745DA">
    <w:pPr>
      <w:pStyle w:val="Header"/>
      <w:rPr>
        <w:rFonts w:ascii="Sennheiser Neue Regular" w:hAnsi="Sennheiser Neue Regular"/>
        <w:color w:val="0095D5"/>
        <w:u w:color="0095D5"/>
      </w:rPr>
    </w:pPr>
    <w:r w:rsidRPr="00D820D7">
      <w:rPr>
        <w:rFonts w:ascii="Sennheiser Neue Regular" w:hAnsi="Sennheiser Neue Regular"/>
        <w:noProof/>
        <w:color w:val="2B579A"/>
        <w:shd w:val="clear" w:color="auto" w:fill="E6E6E6"/>
      </w:rPr>
      <w:drawing>
        <wp:anchor distT="152400" distB="152400" distL="152400" distR="152400" simplePos="0" relativeHeight="251659264" behindDoc="1" locked="0" layoutInCell="1" allowOverlap="1" wp14:anchorId="223933CF" wp14:editId="0785484C">
          <wp:simplePos x="0" y="0"/>
          <wp:positionH relativeFrom="page">
            <wp:posOffset>900430</wp:posOffset>
          </wp:positionH>
          <wp:positionV relativeFrom="page">
            <wp:posOffset>422275</wp:posOffset>
          </wp:positionV>
          <wp:extent cx="576001" cy="431117"/>
          <wp:effectExtent l="0" t="0" r="0" b="0"/>
          <wp:wrapNone/>
          <wp:docPr id="1073741825" name="officeArt object" descr="Grafik 23"/>
          <wp:cNvGraphicFramePr/>
          <a:graphic xmlns:a="http://schemas.openxmlformats.org/drawingml/2006/main">
            <a:graphicData uri="http://schemas.openxmlformats.org/drawingml/2006/picture">
              <pic:pic xmlns:pic="http://schemas.openxmlformats.org/drawingml/2006/picture">
                <pic:nvPicPr>
                  <pic:cNvPr id="1073741825" name="Grafik 23" descr="Grafik 23"/>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sidR="00D820D7">
      <w:rPr>
        <w:rFonts w:ascii="Sennheiser Neue Regular" w:hAnsi="Sennheiser Neue Regular"/>
        <w:color w:val="0095D5"/>
        <w:u w:color="0095D5"/>
      </w:rPr>
      <w:t>communiqué de press</w:t>
    </w:r>
    <w:r w:rsidRPr="00D820D7">
      <w:rPr>
        <w:rFonts w:ascii="Sennheiser Neue Regular" w:hAnsi="Sennheiser Neue Regular"/>
        <w:color w:val="0095D5"/>
        <w:u w:color="0095D5"/>
      </w:rPr>
      <w:t>e</w:t>
    </w:r>
  </w:p>
  <w:p w14:paraId="6517BC88" w14:textId="77777777" w:rsidR="0040114C" w:rsidRPr="00D820D7" w:rsidRDefault="006745DA">
    <w:pPr>
      <w:pStyle w:val="Header"/>
      <w:rPr>
        <w:rFonts w:ascii="Sennheiser Neue Regular" w:hAnsi="Sennheiser Neue Regular"/>
      </w:rPr>
    </w:pPr>
    <w:r w:rsidRPr="00D820D7">
      <w:rPr>
        <w:rFonts w:ascii="Sennheiser Neue Regular" w:hAnsi="Sennheiser Neue Regular"/>
        <w:color w:val="2B579A"/>
        <w:shd w:val="clear" w:color="auto" w:fill="E6E6E6"/>
      </w:rPr>
      <w:fldChar w:fldCharType="begin"/>
    </w:r>
    <w:r w:rsidRPr="00D820D7">
      <w:rPr>
        <w:rFonts w:ascii="Sennheiser Neue Regular" w:hAnsi="Sennheiser Neue Regular"/>
      </w:rPr>
      <w:instrText xml:space="preserve"> PAGE </w:instrText>
    </w:r>
    <w:r w:rsidRPr="00D820D7">
      <w:rPr>
        <w:rFonts w:ascii="Sennheiser Neue Regular" w:hAnsi="Sennheiser Neue Regular"/>
        <w:color w:val="2B579A"/>
        <w:shd w:val="clear" w:color="auto" w:fill="E6E6E6"/>
      </w:rPr>
      <w:fldChar w:fldCharType="separate"/>
    </w:r>
    <w:r w:rsidRPr="00D820D7">
      <w:rPr>
        <w:rFonts w:ascii="Sennheiser Neue Regular" w:hAnsi="Sennheiser Neue Regular"/>
        <w:noProof/>
      </w:rPr>
      <w:t>2</w:t>
    </w:r>
    <w:r w:rsidRPr="00D820D7">
      <w:rPr>
        <w:rFonts w:ascii="Sennheiser Neue Regular" w:hAnsi="Sennheiser Neue Regular"/>
        <w:color w:val="2B579A"/>
        <w:shd w:val="clear" w:color="auto" w:fill="E6E6E6"/>
      </w:rPr>
      <w:fldChar w:fldCharType="end"/>
    </w:r>
    <w:r w:rsidRPr="00D820D7">
      <w:rPr>
        <w:rFonts w:ascii="Sennheiser Neue Regular" w:hAnsi="Sennheiser Neue Regular"/>
      </w:rPr>
      <w:t>/</w:t>
    </w:r>
    <w:r w:rsidRPr="00D820D7">
      <w:rPr>
        <w:rFonts w:ascii="Sennheiser Neue Regular" w:hAnsi="Sennheiser Neue Regular"/>
      </w:rPr>
      <w:fldChar w:fldCharType="begin"/>
    </w:r>
    <w:r w:rsidRPr="00D820D7">
      <w:rPr>
        <w:rFonts w:ascii="Sennheiser Neue Regular" w:hAnsi="Sennheiser Neue Regular"/>
      </w:rPr>
      <w:instrText xml:space="preserve"> NUMPAGES </w:instrText>
    </w:r>
    <w:r w:rsidRPr="00D820D7">
      <w:rPr>
        <w:rFonts w:ascii="Sennheiser Neue Regular" w:hAnsi="Sennheiser Neue Regular"/>
      </w:rPr>
      <w:fldChar w:fldCharType="separate"/>
    </w:r>
    <w:r w:rsidRPr="00D820D7">
      <w:rPr>
        <w:rFonts w:ascii="Sennheiser Neue Regular" w:hAnsi="Sennheiser Neue Regular"/>
        <w:noProof/>
      </w:rPr>
      <w:t>2</w:t>
    </w:r>
    <w:r w:rsidRPr="00D820D7">
      <w:rPr>
        <w:rFonts w:ascii="Sennheiser Neue Regular" w:hAnsi="Sennheiser Neue Regula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2842" w14:textId="3EFDA830"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60288" behindDoc="1" locked="0" layoutInCell="1" allowOverlap="1" wp14:anchorId="1F3332A6" wp14:editId="0A2AD623">
          <wp:simplePos x="0" y="0"/>
          <wp:positionH relativeFrom="page">
            <wp:posOffset>900430</wp:posOffset>
          </wp:positionH>
          <wp:positionV relativeFrom="page">
            <wp:posOffset>422275</wp:posOffset>
          </wp:positionV>
          <wp:extent cx="576001" cy="431117"/>
          <wp:effectExtent l="0" t="0" r="0" b="0"/>
          <wp:wrapNone/>
          <wp:docPr id="1073741826" name="officeArt object" descr="Grafik 24"/>
          <wp:cNvGraphicFramePr/>
          <a:graphic xmlns:a="http://schemas.openxmlformats.org/drawingml/2006/main">
            <a:graphicData uri="http://schemas.openxmlformats.org/drawingml/2006/picture">
              <pic:pic xmlns:pic="http://schemas.openxmlformats.org/drawingml/2006/picture">
                <pic:nvPicPr>
                  <pic:cNvPr id="1073741826" name="Grafik 24" descr="Grafik 24"/>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noProof/>
        <w:color w:val="2B579A"/>
        <w:shd w:val="clear" w:color="auto" w:fill="E6E6E6"/>
      </w:rPr>
      <w:drawing>
        <wp:anchor distT="152400" distB="152400" distL="152400" distR="152400" simplePos="0" relativeHeight="251661312" behindDoc="1" locked="0" layoutInCell="1" allowOverlap="1" wp14:anchorId="2865A94D" wp14:editId="5F1CA55E">
          <wp:simplePos x="0" y="0"/>
          <wp:positionH relativeFrom="page">
            <wp:posOffset>900430</wp:posOffset>
          </wp:positionH>
          <wp:positionV relativeFrom="page">
            <wp:posOffset>10153015</wp:posOffset>
          </wp:positionV>
          <wp:extent cx="1026000" cy="108000"/>
          <wp:effectExtent l="0" t="0" r="0" b="0"/>
          <wp:wrapNone/>
          <wp:docPr id="1073741827" name="officeArt object" descr="Grafik 26"/>
          <wp:cNvGraphicFramePr/>
          <a:graphic xmlns:a="http://schemas.openxmlformats.org/drawingml/2006/main">
            <a:graphicData uri="http://schemas.openxmlformats.org/drawingml/2006/picture">
              <pic:pic xmlns:pic="http://schemas.openxmlformats.org/drawingml/2006/picture">
                <pic:nvPicPr>
                  <pic:cNvPr id="1073741827" name="Grafik 26" descr="Grafik 26"/>
                  <pic:cNvPicPr>
                    <a:picLocks noChangeAspect="1"/>
                  </pic:cNvPicPr>
                </pic:nvPicPr>
                <pic:blipFill>
                  <a:blip r:embed="rId2"/>
                  <a:stretch>
                    <a:fillRect/>
                  </a:stretch>
                </pic:blipFill>
                <pic:spPr>
                  <a:xfrm>
                    <a:off x="0" y="0"/>
                    <a:ext cx="1026000" cy="108000"/>
                  </a:xfrm>
                  <a:prstGeom prst="rect">
                    <a:avLst/>
                  </a:prstGeom>
                  <a:ln w="12700" cap="flat">
                    <a:noFill/>
                    <a:miter lim="400000"/>
                  </a:ln>
                  <a:effectLst/>
                </pic:spPr>
              </pic:pic>
            </a:graphicData>
          </a:graphic>
        </wp:anchor>
      </w:drawing>
    </w:r>
    <w:r w:rsidR="00334BEF">
      <w:rPr>
        <w:noProof/>
        <w:color w:val="2B579A"/>
        <w:shd w:val="clear" w:color="auto" w:fill="E6E6E6"/>
      </w:rPr>
      <w:t>COMMUNIQUÉ DE PRESSE</w:t>
    </w:r>
  </w:p>
  <w:p w14:paraId="3C4835DB"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1</w:t>
    </w:r>
    <w:r>
      <w:rPr>
        <w:color w:val="2B579A"/>
        <w:shd w:val="clear" w:color="auto" w:fill="E6E6E6"/>
      </w:rPr>
      <w:fldChar w:fldCharType="end"/>
    </w:r>
    <w:r>
      <w:t>/</w:t>
    </w:r>
    <w:fldSimple w:instr=" NUMPAGES ">
      <w:r>
        <w:rPr>
          <w:noProof/>
        </w:rPr>
        <w:t>1</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A2"/>
    <w:rsid w:val="0000493B"/>
    <w:rsid w:val="00012014"/>
    <w:rsid w:val="000130A6"/>
    <w:rsid w:val="00022AE3"/>
    <w:rsid w:val="0004525E"/>
    <w:rsid w:val="00050C5E"/>
    <w:rsid w:val="00063D26"/>
    <w:rsid w:val="00071397"/>
    <w:rsid w:val="00071650"/>
    <w:rsid w:val="00097474"/>
    <w:rsid w:val="000A4C32"/>
    <w:rsid w:val="000B4AC9"/>
    <w:rsid w:val="000C6F64"/>
    <w:rsid w:val="000D5FD6"/>
    <w:rsid w:val="000E00A2"/>
    <w:rsid w:val="000F78E5"/>
    <w:rsid w:val="00110948"/>
    <w:rsid w:val="00122B79"/>
    <w:rsid w:val="00141F1A"/>
    <w:rsid w:val="001738E1"/>
    <w:rsid w:val="001800F0"/>
    <w:rsid w:val="001A0B96"/>
    <w:rsid w:val="001A78A8"/>
    <w:rsid w:val="001B27CB"/>
    <w:rsid w:val="001C3BFB"/>
    <w:rsid w:val="001E1D10"/>
    <w:rsid w:val="001E328F"/>
    <w:rsid w:val="001E6F73"/>
    <w:rsid w:val="001F4059"/>
    <w:rsid w:val="001F5F07"/>
    <w:rsid w:val="002264B0"/>
    <w:rsid w:val="0023484F"/>
    <w:rsid w:val="002454D6"/>
    <w:rsid w:val="0025181B"/>
    <w:rsid w:val="0025702C"/>
    <w:rsid w:val="002725DC"/>
    <w:rsid w:val="00274313"/>
    <w:rsid w:val="00281846"/>
    <w:rsid w:val="00285354"/>
    <w:rsid w:val="002B3CF0"/>
    <w:rsid w:val="002D525F"/>
    <w:rsid w:val="002E1501"/>
    <w:rsid w:val="00301D86"/>
    <w:rsid w:val="003125D4"/>
    <w:rsid w:val="00325AB3"/>
    <w:rsid w:val="00334BEF"/>
    <w:rsid w:val="00345768"/>
    <w:rsid w:val="0035649A"/>
    <w:rsid w:val="003647AB"/>
    <w:rsid w:val="00386B82"/>
    <w:rsid w:val="003916BA"/>
    <w:rsid w:val="00393E3D"/>
    <w:rsid w:val="003C6127"/>
    <w:rsid w:val="003F023B"/>
    <w:rsid w:val="0040114C"/>
    <w:rsid w:val="00407844"/>
    <w:rsid w:val="00421FEF"/>
    <w:rsid w:val="00432653"/>
    <w:rsid w:val="00432CD5"/>
    <w:rsid w:val="00441278"/>
    <w:rsid w:val="004415C0"/>
    <w:rsid w:val="004637DB"/>
    <w:rsid w:val="00476BF3"/>
    <w:rsid w:val="00477CA0"/>
    <w:rsid w:val="00492E16"/>
    <w:rsid w:val="004A79AF"/>
    <w:rsid w:val="004B118A"/>
    <w:rsid w:val="004D159B"/>
    <w:rsid w:val="004E45A1"/>
    <w:rsid w:val="004F2FDE"/>
    <w:rsid w:val="004F7D9C"/>
    <w:rsid w:val="005016FD"/>
    <w:rsid w:val="00505F49"/>
    <w:rsid w:val="00511E32"/>
    <w:rsid w:val="00531480"/>
    <w:rsid w:val="00535A47"/>
    <w:rsid w:val="00540A04"/>
    <w:rsid w:val="0054550E"/>
    <w:rsid w:val="005462BB"/>
    <w:rsid w:val="00554278"/>
    <w:rsid w:val="00555BAE"/>
    <w:rsid w:val="00587393"/>
    <w:rsid w:val="0059787E"/>
    <w:rsid w:val="005A5EAD"/>
    <w:rsid w:val="005A6968"/>
    <w:rsid w:val="005B77C9"/>
    <w:rsid w:val="00622874"/>
    <w:rsid w:val="00661DDF"/>
    <w:rsid w:val="0066367B"/>
    <w:rsid w:val="00667251"/>
    <w:rsid w:val="006745DA"/>
    <w:rsid w:val="006908CB"/>
    <w:rsid w:val="0069440E"/>
    <w:rsid w:val="00696AB8"/>
    <w:rsid w:val="006A5844"/>
    <w:rsid w:val="006A6BA6"/>
    <w:rsid w:val="006C735F"/>
    <w:rsid w:val="006E770A"/>
    <w:rsid w:val="00700D1F"/>
    <w:rsid w:val="00701105"/>
    <w:rsid w:val="0073624D"/>
    <w:rsid w:val="00747F95"/>
    <w:rsid w:val="00757E34"/>
    <w:rsid w:val="00764A2D"/>
    <w:rsid w:val="00771BC0"/>
    <w:rsid w:val="00786423"/>
    <w:rsid w:val="00793A1F"/>
    <w:rsid w:val="00794713"/>
    <w:rsid w:val="00797539"/>
    <w:rsid w:val="007B2B68"/>
    <w:rsid w:val="007E3A51"/>
    <w:rsid w:val="007F5C04"/>
    <w:rsid w:val="00823792"/>
    <w:rsid w:val="00863CAE"/>
    <w:rsid w:val="008651E0"/>
    <w:rsid w:val="008654A7"/>
    <w:rsid w:val="00870BCC"/>
    <w:rsid w:val="0088057C"/>
    <w:rsid w:val="00883F82"/>
    <w:rsid w:val="00887543"/>
    <w:rsid w:val="008A0183"/>
    <w:rsid w:val="008B513C"/>
    <w:rsid w:val="008C03F3"/>
    <w:rsid w:val="008F7D8F"/>
    <w:rsid w:val="00907133"/>
    <w:rsid w:val="00915F74"/>
    <w:rsid w:val="00931751"/>
    <w:rsid w:val="009341D2"/>
    <w:rsid w:val="00953FDA"/>
    <w:rsid w:val="0096750A"/>
    <w:rsid w:val="00980F26"/>
    <w:rsid w:val="009911C4"/>
    <w:rsid w:val="009B45B9"/>
    <w:rsid w:val="009B5360"/>
    <w:rsid w:val="009C066D"/>
    <w:rsid w:val="009D036D"/>
    <w:rsid w:val="00A41CC2"/>
    <w:rsid w:val="00A43BD0"/>
    <w:rsid w:val="00A658F2"/>
    <w:rsid w:val="00A91465"/>
    <w:rsid w:val="00A931FB"/>
    <w:rsid w:val="00A93728"/>
    <w:rsid w:val="00AA6021"/>
    <w:rsid w:val="00AE1B26"/>
    <w:rsid w:val="00AE5103"/>
    <w:rsid w:val="00B41B0D"/>
    <w:rsid w:val="00B463DE"/>
    <w:rsid w:val="00B70950"/>
    <w:rsid w:val="00B77F5D"/>
    <w:rsid w:val="00B951B0"/>
    <w:rsid w:val="00BA1FD3"/>
    <w:rsid w:val="00BA7BA8"/>
    <w:rsid w:val="00BD1342"/>
    <w:rsid w:val="00BD285C"/>
    <w:rsid w:val="00BD66DA"/>
    <w:rsid w:val="00C212EA"/>
    <w:rsid w:val="00C41187"/>
    <w:rsid w:val="00C44070"/>
    <w:rsid w:val="00C957E9"/>
    <w:rsid w:val="00CC51F4"/>
    <w:rsid w:val="00CC5EC5"/>
    <w:rsid w:val="00CF023B"/>
    <w:rsid w:val="00CF06A0"/>
    <w:rsid w:val="00CF493D"/>
    <w:rsid w:val="00CF54BC"/>
    <w:rsid w:val="00D00BFC"/>
    <w:rsid w:val="00D10F51"/>
    <w:rsid w:val="00D21941"/>
    <w:rsid w:val="00D307DC"/>
    <w:rsid w:val="00D4059E"/>
    <w:rsid w:val="00D43F29"/>
    <w:rsid w:val="00D477A9"/>
    <w:rsid w:val="00D53F78"/>
    <w:rsid w:val="00D72E50"/>
    <w:rsid w:val="00D820D7"/>
    <w:rsid w:val="00D91B18"/>
    <w:rsid w:val="00D9681E"/>
    <w:rsid w:val="00DC0A89"/>
    <w:rsid w:val="00DD1FB4"/>
    <w:rsid w:val="00DD2915"/>
    <w:rsid w:val="00DD5841"/>
    <w:rsid w:val="00DE0A12"/>
    <w:rsid w:val="00DE2A95"/>
    <w:rsid w:val="00DF3A8E"/>
    <w:rsid w:val="00E17E04"/>
    <w:rsid w:val="00E31BDE"/>
    <w:rsid w:val="00E32181"/>
    <w:rsid w:val="00E32F4B"/>
    <w:rsid w:val="00E63B07"/>
    <w:rsid w:val="00E6557B"/>
    <w:rsid w:val="00E74763"/>
    <w:rsid w:val="00E77E75"/>
    <w:rsid w:val="00E96CC1"/>
    <w:rsid w:val="00ED0588"/>
    <w:rsid w:val="00EE5456"/>
    <w:rsid w:val="00EF2C5C"/>
    <w:rsid w:val="00EF4410"/>
    <w:rsid w:val="00F0013D"/>
    <w:rsid w:val="00F104D7"/>
    <w:rsid w:val="00F1562B"/>
    <w:rsid w:val="00F16D7A"/>
    <w:rsid w:val="00F27E46"/>
    <w:rsid w:val="00F404B6"/>
    <w:rsid w:val="00F66041"/>
    <w:rsid w:val="00F745A9"/>
    <w:rsid w:val="00F861A7"/>
    <w:rsid w:val="00F93584"/>
    <w:rsid w:val="00FB5C8B"/>
    <w:rsid w:val="00FB6BBD"/>
    <w:rsid w:val="00FC4B35"/>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92DE7"/>
  <w15:chartTrackingRefBased/>
  <w15:docId w15:val="{15ED909F-6AC8-4705-B304-F9ADD53A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0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0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0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0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0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0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0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0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0A2"/>
    <w:rPr>
      <w:rFonts w:eastAsiaTheme="majorEastAsia" w:cstheme="majorBidi"/>
      <w:color w:val="272727" w:themeColor="text1" w:themeTint="D8"/>
    </w:rPr>
  </w:style>
  <w:style w:type="paragraph" w:styleId="Title">
    <w:name w:val="Title"/>
    <w:basedOn w:val="Normal"/>
    <w:next w:val="Normal"/>
    <w:link w:val="TitleChar"/>
    <w:uiPriority w:val="10"/>
    <w:qFormat/>
    <w:rsid w:val="000E0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0A2"/>
    <w:pPr>
      <w:spacing w:before="160"/>
      <w:jc w:val="center"/>
    </w:pPr>
    <w:rPr>
      <w:i/>
      <w:iCs/>
      <w:color w:val="404040" w:themeColor="text1" w:themeTint="BF"/>
    </w:rPr>
  </w:style>
  <w:style w:type="character" w:customStyle="1" w:styleId="QuoteChar">
    <w:name w:val="Quote Char"/>
    <w:basedOn w:val="DefaultParagraphFont"/>
    <w:link w:val="Quote"/>
    <w:uiPriority w:val="29"/>
    <w:rsid w:val="000E00A2"/>
    <w:rPr>
      <w:i/>
      <w:iCs/>
      <w:color w:val="404040" w:themeColor="text1" w:themeTint="BF"/>
    </w:rPr>
  </w:style>
  <w:style w:type="paragraph" w:styleId="ListParagraph">
    <w:name w:val="List Paragraph"/>
    <w:basedOn w:val="Normal"/>
    <w:uiPriority w:val="34"/>
    <w:qFormat/>
    <w:rsid w:val="000E00A2"/>
    <w:pPr>
      <w:ind w:left="720"/>
      <w:contextualSpacing/>
    </w:pPr>
  </w:style>
  <w:style w:type="character" w:styleId="IntenseEmphasis">
    <w:name w:val="Intense Emphasis"/>
    <w:basedOn w:val="DefaultParagraphFont"/>
    <w:uiPriority w:val="21"/>
    <w:qFormat/>
    <w:rsid w:val="000E00A2"/>
    <w:rPr>
      <w:i/>
      <w:iCs/>
      <w:color w:val="2F5496" w:themeColor="accent1" w:themeShade="BF"/>
    </w:rPr>
  </w:style>
  <w:style w:type="paragraph" w:styleId="IntenseQuote">
    <w:name w:val="Intense Quote"/>
    <w:basedOn w:val="Normal"/>
    <w:next w:val="Normal"/>
    <w:link w:val="IntenseQuoteChar"/>
    <w:uiPriority w:val="30"/>
    <w:qFormat/>
    <w:rsid w:val="000E0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0A2"/>
    <w:rPr>
      <w:i/>
      <w:iCs/>
      <w:color w:val="2F5496" w:themeColor="accent1" w:themeShade="BF"/>
    </w:rPr>
  </w:style>
  <w:style w:type="character" w:styleId="IntenseReference">
    <w:name w:val="Intense Reference"/>
    <w:basedOn w:val="DefaultParagraphFont"/>
    <w:uiPriority w:val="32"/>
    <w:qFormat/>
    <w:rsid w:val="000E00A2"/>
    <w:rPr>
      <w:b/>
      <w:bCs/>
      <w:smallCaps/>
      <w:color w:val="2F5496" w:themeColor="accent1" w:themeShade="BF"/>
      <w:spacing w:val="5"/>
    </w:rPr>
  </w:style>
  <w:style w:type="character" w:styleId="Hyperlink">
    <w:name w:val="Hyperlink"/>
    <w:rsid w:val="00A931FB"/>
    <w:rPr>
      <w:u w:val="single"/>
    </w:rPr>
  </w:style>
  <w:style w:type="paragraph" w:styleId="Header">
    <w:name w:val="header"/>
    <w:link w:val="HeaderChar"/>
    <w:rsid w:val="00A931FB"/>
    <w:pPr>
      <w:pBdr>
        <w:top w:val="nil"/>
        <w:left w:val="nil"/>
        <w:bottom w:val="nil"/>
        <w:right w:val="nil"/>
        <w:between w:val="nil"/>
        <w:bar w:val="nil"/>
      </w:pBdr>
      <w:spacing w:after="0" w:line="195" w:lineRule="atLeast"/>
      <w:jc w:val="right"/>
    </w:pPr>
    <w:rPr>
      <w:rFonts w:ascii="Sennheiser Office" w:eastAsia="Sennheiser Office" w:hAnsi="Sennheiser Office" w:cs="Sennheiser Office"/>
      <w:caps/>
      <w:color w:val="000000"/>
      <w:spacing w:val="11"/>
      <w:kern w:val="0"/>
      <w:sz w:val="15"/>
      <w:szCs w:val="15"/>
      <w:u w:color="000000"/>
      <w:bdr w:val="nil"/>
      <w:lang w:eastAsia="en-GB"/>
    </w:rPr>
  </w:style>
  <w:style w:type="character" w:customStyle="1" w:styleId="HeaderChar">
    <w:name w:val="Header Char"/>
    <w:basedOn w:val="DefaultParagraphFont"/>
    <w:link w:val="Header"/>
    <w:rsid w:val="00A931FB"/>
    <w:rPr>
      <w:rFonts w:ascii="Sennheiser Office" w:eastAsia="Sennheiser Office" w:hAnsi="Sennheiser Office" w:cs="Sennheiser Office"/>
      <w:caps/>
      <w:color w:val="000000"/>
      <w:spacing w:val="11"/>
      <w:kern w:val="0"/>
      <w:sz w:val="15"/>
      <w:szCs w:val="15"/>
      <w:u w:color="000000"/>
      <w:bdr w:val="nil"/>
      <w:lang w:eastAsia="en-GB"/>
    </w:rPr>
  </w:style>
  <w:style w:type="paragraph" w:styleId="Footer">
    <w:name w:val="footer"/>
    <w:link w:val="FooterChar"/>
    <w:rsid w:val="00A931FB"/>
    <w:pPr>
      <w:pBdr>
        <w:top w:val="nil"/>
        <w:left w:val="nil"/>
        <w:bottom w:val="nil"/>
        <w:right w:val="nil"/>
        <w:between w:val="nil"/>
        <w:bar w:val="nil"/>
      </w:pBdr>
      <w:spacing w:after="0" w:line="180" w:lineRule="atLeast"/>
    </w:pPr>
    <w:rPr>
      <w:rFonts w:ascii="Sennheiser Office" w:eastAsia="Sennheiser Office" w:hAnsi="Sennheiser Office" w:cs="Sennheiser Office"/>
      <w:color w:val="000000"/>
      <w:kern w:val="0"/>
      <w:sz w:val="12"/>
      <w:szCs w:val="12"/>
      <w:u w:color="000000"/>
      <w:bdr w:val="nil"/>
      <w:lang w:eastAsia="en-GB"/>
    </w:rPr>
  </w:style>
  <w:style w:type="character" w:customStyle="1" w:styleId="FooterChar">
    <w:name w:val="Footer Char"/>
    <w:basedOn w:val="DefaultParagraphFont"/>
    <w:link w:val="Footer"/>
    <w:rsid w:val="00A931FB"/>
    <w:rPr>
      <w:rFonts w:ascii="Sennheiser Office" w:eastAsia="Sennheiser Office" w:hAnsi="Sennheiser Office" w:cs="Sennheiser Office"/>
      <w:color w:val="000000"/>
      <w:kern w:val="0"/>
      <w:sz w:val="12"/>
      <w:szCs w:val="12"/>
      <w:u w:color="000000"/>
      <w:bdr w:val="nil"/>
      <w:lang w:eastAsia="en-GB"/>
    </w:rPr>
  </w:style>
  <w:style w:type="paragraph" w:customStyle="1" w:styleId="Body">
    <w:name w:val="Body"/>
    <w:rsid w:val="00A931FB"/>
    <w:pPr>
      <w:pBdr>
        <w:top w:val="nil"/>
        <w:left w:val="nil"/>
        <w:bottom w:val="nil"/>
        <w:right w:val="nil"/>
        <w:between w:val="nil"/>
        <w:bar w:val="nil"/>
      </w:pBdr>
      <w:spacing w:after="0" w:line="360" w:lineRule="auto"/>
    </w:pPr>
    <w:rPr>
      <w:rFonts w:ascii="Sennheiser Office" w:eastAsia="Sennheiser Office" w:hAnsi="Sennheiser Office" w:cs="Sennheiser Office"/>
      <w:color w:val="000000"/>
      <w:kern w:val="0"/>
      <w:sz w:val="18"/>
      <w:szCs w:val="18"/>
      <w:u w:color="000000"/>
      <w:bdr w:val="nil"/>
      <w:lang w:eastAsia="en-GB"/>
    </w:rPr>
  </w:style>
  <w:style w:type="paragraph" w:customStyle="1" w:styleId="About">
    <w:name w:val="About"/>
    <w:rsid w:val="00A931FB"/>
    <w:pPr>
      <w:pBdr>
        <w:top w:val="nil"/>
        <w:left w:val="nil"/>
        <w:bottom w:val="nil"/>
        <w:right w:val="nil"/>
        <w:between w:val="nil"/>
        <w:bar w:val="nil"/>
      </w:pBdr>
      <w:spacing w:after="0" w:line="240" w:lineRule="auto"/>
    </w:pPr>
    <w:rPr>
      <w:rFonts w:ascii="Sennheiser Office" w:eastAsia="Sennheiser Office" w:hAnsi="Sennheiser Office" w:cs="Sennheiser Office"/>
      <w:color w:val="000000"/>
      <w:kern w:val="0"/>
      <w:sz w:val="18"/>
      <w:szCs w:val="18"/>
      <w:u w:color="000000"/>
      <w:bdr w:val="nil"/>
      <w:lang w:eastAsia="en-GB"/>
    </w:rPr>
  </w:style>
  <w:style w:type="character" w:customStyle="1" w:styleId="Hyperlink1">
    <w:name w:val="Hyperlink.1"/>
    <w:basedOn w:val="DefaultParagraphFont"/>
    <w:rsid w:val="00A931FB"/>
    <w:rPr>
      <w:color w:val="0095D5"/>
      <w:u w:val="none" w:color="0095D5"/>
      <w14:textOutline w14:w="0" w14:cap="rnd" w14:cmpd="sng" w14:algn="ctr">
        <w14:noFill/>
        <w14:prstDash w14:val="solid"/>
        <w14:bevel/>
      </w14:textOutline>
    </w:rPr>
  </w:style>
  <w:style w:type="paragraph" w:customStyle="1" w:styleId="paragraph">
    <w:name w:val="paragraph"/>
    <w:basedOn w:val="Normal"/>
    <w:rsid w:val="00A931FB"/>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paragraph" w:styleId="Revision">
    <w:name w:val="Revision"/>
    <w:hidden/>
    <w:uiPriority w:val="99"/>
    <w:semiHidden/>
    <w:rsid w:val="00DD1FB4"/>
    <w:pPr>
      <w:spacing w:after="0" w:line="240" w:lineRule="auto"/>
    </w:pPr>
  </w:style>
  <w:style w:type="character" w:styleId="CommentReference">
    <w:name w:val="annotation reference"/>
    <w:basedOn w:val="DefaultParagraphFont"/>
    <w:uiPriority w:val="99"/>
    <w:semiHidden/>
    <w:unhideWhenUsed/>
    <w:rsid w:val="00F0013D"/>
    <w:rPr>
      <w:sz w:val="16"/>
      <w:szCs w:val="16"/>
    </w:rPr>
  </w:style>
  <w:style w:type="paragraph" w:styleId="CommentText">
    <w:name w:val="annotation text"/>
    <w:basedOn w:val="Normal"/>
    <w:link w:val="CommentTextChar"/>
    <w:uiPriority w:val="99"/>
    <w:unhideWhenUsed/>
    <w:rsid w:val="00F0013D"/>
    <w:pPr>
      <w:spacing w:line="240" w:lineRule="auto"/>
    </w:pPr>
    <w:rPr>
      <w:sz w:val="20"/>
      <w:szCs w:val="20"/>
    </w:rPr>
  </w:style>
  <w:style w:type="character" w:customStyle="1" w:styleId="CommentTextChar">
    <w:name w:val="Comment Text Char"/>
    <w:basedOn w:val="DefaultParagraphFont"/>
    <w:link w:val="CommentText"/>
    <w:uiPriority w:val="99"/>
    <w:rsid w:val="00F0013D"/>
    <w:rPr>
      <w:sz w:val="20"/>
      <w:szCs w:val="20"/>
    </w:rPr>
  </w:style>
  <w:style w:type="paragraph" w:styleId="CommentSubject">
    <w:name w:val="annotation subject"/>
    <w:basedOn w:val="CommentText"/>
    <w:next w:val="CommentText"/>
    <w:link w:val="CommentSubjectChar"/>
    <w:uiPriority w:val="99"/>
    <w:semiHidden/>
    <w:unhideWhenUsed/>
    <w:rsid w:val="00F0013D"/>
    <w:rPr>
      <w:b/>
      <w:bCs/>
    </w:rPr>
  </w:style>
  <w:style w:type="character" w:customStyle="1" w:styleId="CommentSubjectChar">
    <w:name w:val="Comment Subject Char"/>
    <w:basedOn w:val="CommentTextChar"/>
    <w:link w:val="CommentSubject"/>
    <w:uiPriority w:val="99"/>
    <w:semiHidden/>
    <w:rsid w:val="00F0013D"/>
    <w:rPr>
      <w:b/>
      <w:bCs/>
      <w:sz w:val="20"/>
      <w:szCs w:val="20"/>
    </w:rPr>
  </w:style>
  <w:style w:type="character" w:styleId="Mention">
    <w:name w:val="Mention"/>
    <w:basedOn w:val="DefaultParagraphFont"/>
    <w:uiPriority w:val="99"/>
    <w:unhideWhenUsed/>
    <w:rsid w:val="00F0013D"/>
    <w:rPr>
      <w:color w:val="2B579A"/>
      <w:shd w:val="clear" w:color="auto" w:fill="E1DFDD"/>
    </w:rPr>
  </w:style>
  <w:style w:type="paragraph" w:styleId="NoSpacing">
    <w:name w:val="No Spacing"/>
    <w:uiPriority w:val="1"/>
    <w:qFormat/>
    <w:rsid w:val="00097474"/>
    <w:pPr>
      <w:spacing w:after="0" w:line="240" w:lineRule="auto"/>
    </w:pPr>
    <w:rPr>
      <w:rFonts w:ascii="Calibri" w:hAnsi="Calibri"/>
      <w:kern w:val="0"/>
    </w:rPr>
  </w:style>
  <w:style w:type="character" w:styleId="UnresolvedMention">
    <w:name w:val="Unresolved Mention"/>
    <w:basedOn w:val="DefaultParagraphFont"/>
    <w:uiPriority w:val="99"/>
    <w:semiHidden/>
    <w:unhideWhenUsed/>
    <w:rsid w:val="00097474"/>
    <w:rPr>
      <w:color w:val="605E5C"/>
      <w:shd w:val="clear" w:color="auto" w:fill="E1DFDD"/>
    </w:rPr>
  </w:style>
  <w:style w:type="table" w:styleId="TableGrid">
    <w:name w:val="Table Grid"/>
    <w:basedOn w:val="TableNormal"/>
    <w:uiPriority w:val="39"/>
    <w:rsid w:val="00E9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484F"/>
    <w:rPr>
      <w:color w:val="954F72" w:themeColor="followedHyperlink"/>
      <w:u w:val="single"/>
    </w:rPr>
  </w:style>
  <w:style w:type="paragraph" w:styleId="Caption">
    <w:name w:val="caption"/>
    <w:basedOn w:val="Normal"/>
    <w:next w:val="Normal"/>
    <w:uiPriority w:val="35"/>
    <w:unhideWhenUsed/>
    <w:qFormat/>
    <w:rsid w:val="00CF54B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ter@ingearp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sennheiser.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nheiser-hearing.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rodvx.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jeffrey.horan@sennheis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939686CD705540ABF6A718AE3D1A37" ma:contentTypeVersion="26" ma:contentTypeDescription="Create a new document." ma:contentTypeScope="" ma:versionID="9b5878ffdff88113ea7f30191f2b4ac3">
  <xsd:schema xmlns:xsd="http://www.w3.org/2001/XMLSchema" xmlns:xs="http://www.w3.org/2001/XMLSchema" xmlns:p="http://schemas.microsoft.com/office/2006/metadata/properties" xmlns:ns1="http://schemas.microsoft.com/sharepoint/v3" xmlns:ns2="b306a140-d0f9-4fc6-ae4b-33081741ce19" xmlns:ns3="142980b2-997a-4a96-b6ca-5985986af73a" targetNamespace="http://schemas.microsoft.com/office/2006/metadata/properties" ma:root="true" ma:fieldsID="326557f66055315dd90f71be2c6a061b" ns1:_="" ns2:_="" ns3:_="">
    <xsd:import namespace="http://schemas.microsoft.com/sharepoint/v3"/>
    <xsd:import namespace="b306a140-d0f9-4fc6-ae4b-33081741ce19"/>
    <xsd:import namespace="142980b2-997a-4a96-b6ca-5985986af7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Symetrix"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7" nillable="true" ma:displayName="Rating (0-5)" ma:decimals="2" ma:description="Average value of all the ratings that have been submitted" ma:internalName="AverageRating" ma:readOnly="true">
      <xsd:simpleType>
        <xsd:restriction base="dms:Number"/>
      </xsd:simpleType>
    </xsd:element>
    <xsd:element name="RatingCount" ma:index="28" nillable="true" ma:displayName="Number of Ratings" ma:decimals="0" ma:description="Number of ratings submitted" ma:internalName="RatingCount" ma:readOnly="true">
      <xsd:simpleType>
        <xsd:restriction base="dms:Number"/>
      </xsd:simpleType>
    </xsd:element>
    <xsd:element name="RatedBy" ma:index="2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0" nillable="true" ma:displayName="User ratings" ma:description="User ratings for the item" ma:hidden="true" ma:internalName="Ratings">
      <xsd:simpleType>
        <xsd:restriction base="dms:Note"/>
      </xsd:simpleType>
    </xsd:element>
    <xsd:element name="LikesCount" ma:index="31" nillable="true" ma:displayName="Number of Likes" ma:internalName="LikesCount">
      <xsd:simpleType>
        <xsd:restriction base="dms:Unknown"/>
      </xsd:simpleType>
    </xsd:element>
    <xsd:element name="LikedBy" ma:index="32"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06a140-d0f9-4fc6-ae4b-33081741c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Symetrix" ma:index="26" nillable="true" ma:displayName="Symetrix" ma:default="Symetrix" ma:format="Dropdown" ma:internalName="Symetrix">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2980b2-997a-4a96-b6ca-5985986af7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5a8107-27e2-4fb8-94ae-5b5760ffe99c}" ma:internalName="TaxCatchAll" ma:showField="CatchAllData" ma:web="142980b2-997a-4a96-b6ca-5985986af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42980b2-997a-4a96-b6ca-5985986af73a" xsi:nil="true"/>
    <lcf76f155ced4ddcb4097134ff3c332f xmlns="b306a140-d0f9-4fc6-ae4b-33081741ce19">
      <Terms xmlns="http://schemas.microsoft.com/office/infopath/2007/PartnerControls"/>
    </lcf76f155ced4ddcb4097134ff3c332f>
    <Symetrix xmlns="b306a140-d0f9-4fc6-ae4b-33081741ce19">Symetrix</Symetrix>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E1817E46-8A4E-45A7-9DD0-280E7BB0C9F8}">
  <ds:schemaRefs>
    <ds:schemaRef ds:uri="http://schemas.microsoft.com/sharepoint/v3/contenttype/forms"/>
  </ds:schemaRefs>
</ds:datastoreItem>
</file>

<file path=customXml/itemProps2.xml><?xml version="1.0" encoding="utf-8"?>
<ds:datastoreItem xmlns:ds="http://schemas.openxmlformats.org/officeDocument/2006/customXml" ds:itemID="{47DB0384-E549-4EB4-ADF6-87BC18A92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a140-d0f9-4fc6-ae4b-33081741ce19"/>
    <ds:schemaRef ds:uri="142980b2-997a-4a96-b6ca-5985986af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4A6C4-4D44-4075-A3CD-A8755B64B3C6}">
  <ds:schemaRefs>
    <ds:schemaRef ds:uri="http://schemas.microsoft.com/office/2006/metadata/properties"/>
    <ds:schemaRef ds:uri="http://schemas.microsoft.com/office/infopath/2007/PartnerControls"/>
    <ds:schemaRef ds:uri="142980b2-997a-4a96-b6ca-5985986af73a"/>
    <ds:schemaRef ds:uri="b306a140-d0f9-4fc6-ae4b-33081741ce19"/>
    <ds:schemaRef ds:uri="http://schemas.microsoft.com/sharepoint/v3"/>
  </ds:schemaRefs>
</ds:datastoreItem>
</file>

<file path=docMetadata/LabelInfo.xml><?xml version="1.0" encoding="utf-8"?>
<clbl:labelList xmlns:clbl="http://schemas.microsoft.com/office/2020/mipLabelMetadata">
  <clbl:label id="{534662e5-553f-4a1c-9573-7835fb01dd66}"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Jeffrey</dc:creator>
  <cp:keywords/>
  <dc:description/>
  <cp:lastModifiedBy>Julien Vermessen</cp:lastModifiedBy>
  <cp:revision>3</cp:revision>
  <dcterms:created xsi:type="dcterms:W3CDTF">2025-12-03T09:23:00Z</dcterms:created>
  <dcterms:modified xsi:type="dcterms:W3CDTF">2025-12-03T09:51:00Z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8feb2873-888b-4d8e-986a-ad3d661c40fe</vt:lpwstr>
  </property>
  <property fmtid="{D5CDD505-2E9C-101B-9397-08002B2CF9AE}" pid="3" name="ContentTypeId">
    <vt:lpwstr>0x01010072939686CD705540ABF6A718AE3D1A37</vt:lpwstr>
  </property>
  <property fmtid="{D5CDD505-2E9C-101B-9397-08002B2CF9AE}" pid="4" name="MediaServiceImageTags">
    <vt:lpwstr/>
  </property>
</Properties>
</file>