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0446CC" w:rsidRDefault="000446CC">
      <w:pPr>
        <w:pBdr>
          <w:top w:val="nil"/>
          <w:left w:val="nil"/>
          <w:bottom w:val="nil"/>
          <w:right w:val="nil"/>
          <w:between w:val="nil"/>
        </w:pBdr>
        <w:spacing w:line="276" w:lineRule="auto"/>
        <w:jc w:val="both"/>
        <w:rPr>
          <w:rFonts w:ascii="Atkinson Hyperlegible" w:eastAsia="Atkinson Hyperlegible" w:hAnsi="Atkinson Hyperlegible" w:cs="Atkinson Hyperlegible"/>
        </w:rPr>
      </w:pPr>
    </w:p>
    <w:p w14:paraId="00000002" w14:textId="77777777" w:rsidR="000446CC" w:rsidRDefault="00000000">
      <w:pPr>
        <w:jc w:val="center"/>
        <w:rPr>
          <w:b/>
          <w:bCs/>
          <w:color w:val="999999"/>
        </w:rPr>
      </w:pPr>
      <w:r>
        <w:rPr>
          <w:b/>
          <w:bCs/>
          <w:color w:val="999999"/>
        </w:rPr>
        <w:t>NOTA DE PRENSA</w:t>
      </w:r>
    </w:p>
    <w:p w14:paraId="00000003" w14:textId="47D97A8D" w:rsidR="000446CC" w:rsidRDefault="00000000">
      <w:pPr>
        <w:spacing w:after="240" w:line="276" w:lineRule="auto"/>
        <w:jc w:val="center"/>
      </w:pPr>
      <w:r w:rsidRPr="79633E41">
        <w:rPr>
          <w:rFonts w:ascii="Atkinson Hyperlegible" w:eastAsia="Atkinson Hyperlegible" w:hAnsi="Atkinson Hyperlegible" w:cs="Atkinson Hyperlegible"/>
          <w:b/>
          <w:bCs/>
          <w:sz w:val="28"/>
          <w:szCs w:val="28"/>
          <w:lang w:val="es-ES"/>
        </w:rPr>
        <w:t xml:space="preserve">1 de cada 5 embarazos en el país </w:t>
      </w:r>
      <w:r w:rsidR="2D98B80E" w:rsidRPr="2D98B80E">
        <w:rPr>
          <w:rFonts w:ascii="Atkinson Hyperlegible" w:eastAsia="Atkinson Hyperlegible" w:hAnsi="Atkinson Hyperlegible" w:cs="Atkinson Hyperlegible"/>
          <w:b/>
          <w:bCs/>
          <w:sz w:val="28"/>
          <w:szCs w:val="28"/>
          <w:lang w:val="es-ES"/>
        </w:rPr>
        <w:t xml:space="preserve">son adolescentes: </w:t>
      </w:r>
      <w:r w:rsidRPr="79633E41">
        <w:rPr>
          <w:rFonts w:ascii="Atkinson Hyperlegible" w:eastAsia="Atkinson Hyperlegible" w:hAnsi="Atkinson Hyperlegible" w:cs="Atkinson Hyperlegible"/>
          <w:b/>
          <w:bCs/>
          <w:sz w:val="28"/>
          <w:szCs w:val="28"/>
          <w:lang w:val="es-ES"/>
        </w:rPr>
        <w:t xml:space="preserve">presentan modelo de intervención integral para prevenirlos </w:t>
      </w:r>
      <w:r w:rsidRPr="79633E41" w:rsidDel="79633E41">
        <w:rPr>
          <w:rFonts w:ascii="Atkinson Hyperlegible" w:eastAsia="Atkinson Hyperlegible" w:hAnsi="Atkinson Hyperlegible" w:cs="Atkinson Hyperlegible"/>
          <w:b/>
          <w:bCs/>
          <w:sz w:val="28"/>
          <w:szCs w:val="28"/>
          <w:lang w:val="es-ES"/>
        </w:rPr>
        <w:t>y mejorar la salud en la cuenca del Ozama</w:t>
      </w:r>
    </w:p>
    <w:p w14:paraId="7E625B61" w14:textId="10E3306D" w:rsidR="79633E41" w:rsidRDefault="2D98B80E" w:rsidP="2D98B80E">
      <w:pPr>
        <w:pStyle w:val="Prrafodelista"/>
        <w:numPr>
          <w:ilvl w:val="0"/>
          <w:numId w:val="1"/>
        </w:numPr>
        <w:spacing w:after="240" w:line="276" w:lineRule="auto"/>
        <w:jc w:val="both"/>
        <w:rPr>
          <w:lang w:val="es-ES"/>
        </w:rPr>
      </w:pPr>
      <w:r w:rsidRPr="2D98B80E">
        <w:rPr>
          <w:lang w:val="es-ES"/>
        </w:rPr>
        <w:t>En República Dominicana, los embarazos en adolescentes representaron el 20.05% del total nacional durante el primer semestre de 2026, con 7,124 casos registrados.</w:t>
      </w:r>
    </w:p>
    <w:p w14:paraId="622E5EBB" w14:textId="424C232F" w:rsidR="79633E41" w:rsidRDefault="2D98B80E" w:rsidP="2D98B80E">
      <w:pPr>
        <w:pStyle w:val="Prrafodelista"/>
        <w:numPr>
          <w:ilvl w:val="0"/>
          <w:numId w:val="1"/>
        </w:numPr>
        <w:spacing w:before="240" w:after="240"/>
        <w:jc w:val="both"/>
        <w:rPr>
          <w:lang w:val="es-ES"/>
        </w:rPr>
      </w:pPr>
      <w:r w:rsidRPr="2D98B80E">
        <w:rPr>
          <w:lang w:val="es-ES"/>
        </w:rPr>
        <w:t>UNFPA y Organon presentaron un modelo de intervención integral para prevenir las uniones tempranas y los embarazos en adolescentes en cuatro comunidades de la cuenca del Ozama.</w:t>
      </w:r>
    </w:p>
    <w:p w14:paraId="3AFDE0B3" w14:textId="7E38305E" w:rsidR="79633E41" w:rsidRDefault="2D98B80E" w:rsidP="2D98B80E">
      <w:pPr>
        <w:pStyle w:val="Prrafodelista"/>
        <w:numPr>
          <w:ilvl w:val="0"/>
          <w:numId w:val="1"/>
        </w:numPr>
        <w:spacing w:before="240" w:after="240"/>
        <w:jc w:val="both"/>
        <w:rPr>
          <w:lang w:val="es-ES"/>
        </w:rPr>
      </w:pPr>
      <w:r w:rsidRPr="2D98B80E">
        <w:rPr>
          <w:lang w:val="es-ES"/>
        </w:rPr>
        <w:t>La iniciativa busca fortalecer el acceso a servicios de salud sexual y reproductiva, la articulación institucional y las oportunidades de desarrollo para las adolescentes.</w:t>
      </w:r>
    </w:p>
    <w:p w14:paraId="00000004" w14:textId="2433000F" w:rsidR="000446CC" w:rsidRDefault="2D98B80E" w:rsidP="6AF7BFA7">
      <w:pPr>
        <w:spacing w:after="240" w:line="276" w:lineRule="auto"/>
        <w:jc w:val="both"/>
        <w:rPr>
          <w:rFonts w:ascii="Atkinson Hyperlegible" w:eastAsia="Atkinson Hyperlegible" w:hAnsi="Atkinson Hyperlegible" w:cs="Atkinson Hyperlegible"/>
          <w:sz w:val="24"/>
          <w:szCs w:val="24"/>
          <w:lang w:val="es-ES"/>
        </w:rPr>
      </w:pPr>
      <w:r w:rsidRPr="2D98B80E">
        <w:rPr>
          <w:rFonts w:ascii="Atkinson Hyperlegible" w:eastAsia="Atkinson Hyperlegible" w:hAnsi="Atkinson Hyperlegible" w:cs="Atkinson Hyperlegible"/>
          <w:b/>
          <w:bCs/>
          <w:sz w:val="26"/>
          <w:szCs w:val="26"/>
          <w:lang w:val="es-ES"/>
        </w:rPr>
        <w:t xml:space="preserve">Santo Domingo, R. D. </w:t>
      </w:r>
      <w:r w:rsidR="00352A51">
        <w:rPr>
          <w:rFonts w:ascii="Atkinson Hyperlegible" w:eastAsia="Atkinson Hyperlegible" w:hAnsi="Atkinson Hyperlegible" w:cs="Atkinson Hyperlegible"/>
          <w:b/>
          <w:bCs/>
          <w:sz w:val="26"/>
          <w:szCs w:val="26"/>
          <w:lang w:val="es-ES"/>
        </w:rPr>
        <w:t>a 28 de octubre de 2026</w:t>
      </w:r>
      <w:r w:rsidRPr="2D98B80E">
        <w:rPr>
          <w:rFonts w:ascii="Atkinson Hyperlegible" w:eastAsia="Atkinson Hyperlegible" w:hAnsi="Atkinson Hyperlegible" w:cs="Atkinson Hyperlegible"/>
          <w:b/>
          <w:bCs/>
          <w:sz w:val="26"/>
          <w:szCs w:val="26"/>
          <w:lang w:val="es-ES"/>
        </w:rPr>
        <w:t xml:space="preserve">– </w:t>
      </w:r>
      <w:r w:rsidRPr="2D98B80E">
        <w:rPr>
          <w:rFonts w:ascii="Atkinson Hyperlegible" w:eastAsia="Atkinson Hyperlegible" w:hAnsi="Atkinson Hyperlegible" w:cs="Atkinson Hyperlegible"/>
          <w:sz w:val="24"/>
          <w:szCs w:val="24"/>
          <w:lang w:val="es-ES"/>
        </w:rPr>
        <w:t xml:space="preserve">El Fondo de Población de las Naciones Unidas (UNFPA) y Organon, empresa farmacéutica dedicada a impulsar la salud de las mujeres, presentaron oficialmente el proyecto </w:t>
      </w:r>
      <w:r w:rsidRPr="2D98B80E">
        <w:rPr>
          <w:rFonts w:ascii="Atkinson Hyperlegible" w:eastAsia="Atkinson Hyperlegible" w:hAnsi="Atkinson Hyperlegible" w:cs="Atkinson Hyperlegible"/>
          <w:b/>
          <w:bCs/>
          <w:sz w:val="24"/>
          <w:szCs w:val="24"/>
          <w:lang w:val="es-ES"/>
        </w:rPr>
        <w:t xml:space="preserve">«Acelerando la prevención de uniones tempranas y embarazos en adolescentes en el Ozama», </w:t>
      </w:r>
      <w:r w:rsidRPr="2D98B80E">
        <w:rPr>
          <w:rFonts w:ascii="Atkinson Hyperlegible" w:eastAsia="Atkinson Hyperlegible" w:hAnsi="Atkinson Hyperlegible" w:cs="Atkinson Hyperlegible"/>
          <w:sz w:val="24"/>
          <w:szCs w:val="24"/>
          <w:lang w:val="es-ES"/>
        </w:rPr>
        <w:t>en un evento desarrollado en coordinación con el Servicio Nacional de Salud y el Hospital Materno Infantil Dr. Julio Manuel Rodríguez Grullón. El acto marca el inicio formal de una intervención territorializada, así como la reafirmación de un compromiso colectivo y multisectorial con el desarrollo sostenible y la equidad en el país.</w:t>
      </w:r>
    </w:p>
    <w:p w14:paraId="00000005" w14:textId="6E72C69C" w:rsidR="000446CC" w:rsidRDefault="2D98B80E" w:rsidP="79633E41">
      <w:pPr>
        <w:spacing w:after="240" w:line="276" w:lineRule="auto"/>
        <w:jc w:val="both"/>
        <w:rPr>
          <w:rFonts w:ascii="Atkinson Hyperlegible" w:eastAsia="Atkinson Hyperlegible" w:hAnsi="Atkinson Hyperlegible" w:cs="Atkinson Hyperlegible"/>
          <w:sz w:val="24"/>
          <w:szCs w:val="24"/>
          <w:lang w:val="es-ES"/>
        </w:rPr>
      </w:pPr>
      <w:r w:rsidRPr="2D98B80E">
        <w:rPr>
          <w:rFonts w:ascii="Atkinson Hyperlegible" w:eastAsia="Atkinson Hyperlegible" w:hAnsi="Atkinson Hyperlegible" w:cs="Atkinson Hyperlegible"/>
          <w:sz w:val="24"/>
          <w:szCs w:val="24"/>
          <w:lang w:val="es-ES"/>
        </w:rPr>
        <w:t xml:space="preserve">Aunque el número absoluto de embarazos adolescentes en República Dominicana muestra una tendencia a la reducción (3,368 casos en el segundo trimestre de 2026, un 3.91% menos que en 2025), </w:t>
      </w:r>
      <w:r w:rsidRPr="2D98B80E">
        <w:rPr>
          <w:rFonts w:ascii="Atkinson Hyperlegible" w:eastAsia="Atkinson Hyperlegible" w:hAnsi="Atkinson Hyperlegible" w:cs="Atkinson Hyperlegible"/>
          <w:b/>
          <w:bCs/>
          <w:sz w:val="24"/>
          <w:szCs w:val="24"/>
          <w:lang w:val="es-ES"/>
        </w:rPr>
        <w:t>los embarazos en este grupo poblacional aún representan el 20.05% del total de embarazos a nivel nacional</w:t>
      </w:r>
      <w:r w:rsidRPr="2D98B80E">
        <w:rPr>
          <w:rFonts w:ascii="Atkinson Hyperlegible" w:eastAsia="Atkinson Hyperlegible" w:hAnsi="Atkinson Hyperlegible" w:cs="Atkinson Hyperlegible"/>
          <w:sz w:val="24"/>
          <w:szCs w:val="24"/>
          <w:lang w:val="es-ES"/>
        </w:rPr>
        <w:t xml:space="preserve"> con 7,124 casos registrados en la primera mitad del año</w:t>
      </w:r>
      <w:r w:rsidR="00000000" w:rsidRPr="2D98B80E">
        <w:rPr>
          <w:rFonts w:ascii="Atkinson Hyperlegible" w:eastAsia="Atkinson Hyperlegible" w:hAnsi="Atkinson Hyperlegible" w:cs="Atkinson Hyperlegible"/>
          <w:sz w:val="24"/>
          <w:szCs w:val="24"/>
          <w:vertAlign w:val="superscript"/>
          <w:lang w:val="es-ES"/>
        </w:rPr>
        <w:footnoteReference w:id="1"/>
      </w:r>
      <w:r w:rsidRPr="2D98B80E">
        <w:rPr>
          <w:rFonts w:ascii="Atkinson Hyperlegible" w:eastAsia="Atkinson Hyperlegible" w:hAnsi="Atkinson Hyperlegible" w:cs="Atkinson Hyperlegible"/>
          <w:sz w:val="24"/>
          <w:szCs w:val="24"/>
          <w:lang w:val="es-ES"/>
        </w:rPr>
        <w:t xml:space="preserve">. Frente a esta realidad, UNFPA y Organon impulsan esta nueva iniciativa como parte de la segunda fase de su colaboración estratégica. </w:t>
      </w:r>
    </w:p>
    <w:p w14:paraId="00000006" w14:textId="77777777" w:rsidR="000446CC" w:rsidRDefault="2D98B80E" w:rsidP="2D98B80E">
      <w:pPr>
        <w:spacing w:after="240" w:line="276" w:lineRule="auto"/>
        <w:jc w:val="both"/>
        <w:rPr>
          <w:rFonts w:ascii="Atkinson Hyperlegible" w:eastAsia="Atkinson Hyperlegible" w:hAnsi="Atkinson Hyperlegible" w:cs="Atkinson Hyperlegible"/>
          <w:sz w:val="24"/>
          <w:szCs w:val="24"/>
          <w:lang w:val="es-ES"/>
        </w:rPr>
      </w:pPr>
      <w:r w:rsidRPr="2D98B80E">
        <w:rPr>
          <w:rFonts w:ascii="Atkinson Hyperlegible" w:eastAsia="Atkinson Hyperlegible" w:hAnsi="Atkinson Hyperlegible" w:cs="Atkinson Hyperlegible"/>
          <w:sz w:val="24"/>
          <w:szCs w:val="24"/>
          <w:lang w:val="es-ES"/>
        </w:rPr>
        <w:t xml:space="preserve">El proyecto tiene el propósito fundamental de enfrentar este desafío estructural y asegurar el desarrollo del pleno potencial de los y las adolescentes dominicanas. Además, busca establecer un </w:t>
      </w:r>
      <w:r w:rsidRPr="2D98B80E">
        <w:rPr>
          <w:rFonts w:ascii="Atkinson Hyperlegible" w:eastAsia="Atkinson Hyperlegible" w:hAnsi="Atkinson Hyperlegible" w:cs="Atkinson Hyperlegible"/>
          <w:b/>
          <w:bCs/>
          <w:sz w:val="24"/>
          <w:szCs w:val="24"/>
          <w:lang w:val="es-ES"/>
        </w:rPr>
        <w:t>modelo de intervención integral para reducir las uniones y los embarazos a temprana edad</w:t>
      </w:r>
      <w:r w:rsidRPr="2D98B80E">
        <w:rPr>
          <w:rFonts w:ascii="Atkinson Hyperlegible" w:eastAsia="Atkinson Hyperlegible" w:hAnsi="Atkinson Hyperlegible" w:cs="Atkinson Hyperlegible"/>
          <w:sz w:val="24"/>
          <w:szCs w:val="24"/>
          <w:lang w:val="es-ES"/>
        </w:rPr>
        <w:t xml:space="preserve">, problemáticas que persisten como desafíos estructurales críticos para el desarrollo humano en las comunidades periféricas del río Ozama, específicamente en María Auxiliadora, Gualey, Los Guandules y Guachupita. </w:t>
      </w:r>
    </w:p>
    <w:p w14:paraId="00000007" w14:textId="77777777" w:rsidR="000446CC" w:rsidRDefault="00000000" w:rsidP="2D98B80E">
      <w:pPr>
        <w:spacing w:after="240" w:line="276" w:lineRule="auto"/>
        <w:jc w:val="both"/>
        <w:rPr>
          <w:rFonts w:ascii="Atkinson Hyperlegible" w:eastAsia="Atkinson Hyperlegible" w:hAnsi="Atkinson Hyperlegible" w:cs="Atkinson Hyperlegible"/>
          <w:sz w:val="24"/>
          <w:szCs w:val="24"/>
          <w:lang w:val="es-ES"/>
        </w:rPr>
      </w:pPr>
      <w:r w:rsidRPr="2D98B80E">
        <w:rPr>
          <w:rFonts w:ascii="Atkinson Hyperlegible" w:eastAsia="Atkinson Hyperlegible" w:hAnsi="Atkinson Hyperlegible" w:cs="Atkinson Hyperlegible"/>
          <w:sz w:val="24"/>
          <w:szCs w:val="24"/>
          <w:lang w:val="es-ES"/>
        </w:rPr>
        <w:lastRenderedPageBreak/>
        <w:t xml:space="preserve">La intervención cobra especial urgencia ante los datos recientes que muestran que, </w:t>
      </w:r>
      <w:r w:rsidRPr="2D98B80E">
        <w:rPr>
          <w:rFonts w:ascii="Atkinson Hyperlegible" w:eastAsia="Atkinson Hyperlegible" w:hAnsi="Atkinson Hyperlegible" w:cs="Atkinson Hyperlegible"/>
          <w:b/>
          <w:bCs/>
          <w:sz w:val="24"/>
          <w:szCs w:val="24"/>
          <w:lang w:val="es-ES"/>
        </w:rPr>
        <w:t>en la región Ozama, el 23.0% de las mujeres de 20 a 24 años reportó haberse unido antes de cumplir los 18 años</w:t>
      </w:r>
      <w:r w:rsidRPr="2D98B80E">
        <w:rPr>
          <w:rFonts w:ascii="Atkinson Hyperlegible" w:eastAsia="Atkinson Hyperlegible" w:hAnsi="Atkinson Hyperlegible" w:cs="Atkinson Hyperlegible"/>
          <w:sz w:val="24"/>
          <w:szCs w:val="24"/>
          <w:vertAlign w:val="superscript"/>
          <w:lang w:val="es-ES"/>
        </w:rPr>
        <w:footnoteReference w:id="2"/>
      </w:r>
      <w:r w:rsidRPr="2D98B80E">
        <w:rPr>
          <w:rFonts w:ascii="Atkinson Hyperlegible" w:eastAsia="Atkinson Hyperlegible" w:hAnsi="Atkinson Hyperlegible" w:cs="Atkinson Hyperlegible"/>
          <w:sz w:val="24"/>
          <w:szCs w:val="24"/>
          <w:lang w:val="es-ES"/>
        </w:rPr>
        <w:t xml:space="preserve">. En esta misma región, un </w:t>
      </w:r>
      <w:r w:rsidRPr="2D98B80E">
        <w:rPr>
          <w:rFonts w:ascii="Atkinson Hyperlegible" w:eastAsia="Atkinson Hyperlegible" w:hAnsi="Atkinson Hyperlegible" w:cs="Atkinson Hyperlegible"/>
          <w:b/>
          <w:bCs/>
          <w:sz w:val="24"/>
          <w:szCs w:val="24"/>
          <w:lang w:val="es-ES"/>
        </w:rPr>
        <w:t>8.7% de las jóvenes de 20 a 24 años se unió a una pareja antes de cumplir los 15 años de edad</w:t>
      </w:r>
      <w:r w:rsidRPr="2D98B80E">
        <w:rPr>
          <w:rFonts w:ascii="Atkinson Hyperlegible" w:eastAsia="Atkinson Hyperlegible" w:hAnsi="Atkinson Hyperlegible" w:cs="Atkinson Hyperlegible"/>
          <w:sz w:val="24"/>
          <w:szCs w:val="24"/>
          <w:lang w:val="es-ES"/>
        </w:rPr>
        <w:t>. La tasa de fecundidad adolescente se sitúa en 31 nacimientos por cada 1,000 mujeres adolescentes de 15 a 19 años.</w:t>
      </w:r>
    </w:p>
    <w:p w14:paraId="00000008" w14:textId="2721E9B2" w:rsidR="000446CC" w:rsidRDefault="2D98B80E" w:rsidP="2D98B80E">
      <w:pPr>
        <w:spacing w:after="240" w:line="276" w:lineRule="auto"/>
        <w:jc w:val="both"/>
        <w:rPr>
          <w:rFonts w:ascii="Atkinson Hyperlegible" w:eastAsia="Atkinson Hyperlegible" w:hAnsi="Atkinson Hyperlegible" w:cs="Atkinson Hyperlegible"/>
          <w:sz w:val="24"/>
          <w:szCs w:val="24"/>
          <w:lang w:val="es-ES"/>
        </w:rPr>
      </w:pPr>
      <w:r w:rsidRPr="2D98B80E">
        <w:rPr>
          <w:rFonts w:ascii="Atkinson Hyperlegible" w:eastAsia="Atkinson Hyperlegible" w:hAnsi="Atkinson Hyperlegible" w:cs="Atkinson Hyperlegible"/>
          <w:b/>
          <w:bCs/>
          <w:sz w:val="24"/>
          <w:szCs w:val="24"/>
          <w:lang w:val="es-ES"/>
        </w:rPr>
        <w:t>Mario Serrano</w:t>
      </w:r>
      <w:r w:rsidRPr="2D98B80E">
        <w:rPr>
          <w:rFonts w:ascii="Atkinson Hyperlegible" w:eastAsia="Atkinson Hyperlegible" w:hAnsi="Atkinson Hyperlegible" w:cs="Atkinson Hyperlegible"/>
          <w:sz w:val="24"/>
          <w:szCs w:val="24"/>
          <w:lang w:val="es-ES"/>
        </w:rPr>
        <w:t xml:space="preserve">, representante nacional del UNFPA, expresó que </w:t>
      </w:r>
      <w:r w:rsidRPr="2D98B80E">
        <w:rPr>
          <w:rFonts w:ascii="Atkinson Hyperlegible" w:eastAsia="Atkinson Hyperlegible" w:hAnsi="Atkinson Hyperlegible" w:cs="Atkinson Hyperlegible"/>
          <w:i/>
          <w:iCs/>
          <w:sz w:val="24"/>
          <w:szCs w:val="24"/>
          <w:lang w:val="es-ES"/>
        </w:rPr>
        <w:t>“prevenir los embarazos y las uniones a temprana edad requiere un esfuerzo coordinado, que en este caso particular se realiza junto a Organon, el Ministerio de Salud (MISPAS), el Servicio Nacional de Salud (SNS), Consejo Nacional de la Niñez y Adolescencia (CONANI) y la Procuraduría General de la República (PGR).</w:t>
      </w:r>
      <w:r w:rsidRPr="2D98B80E">
        <w:rPr>
          <w:rFonts w:ascii="Atkinson Hyperlegible" w:eastAsia="Atkinson Hyperlegible" w:hAnsi="Atkinson Hyperlegible" w:cs="Atkinson Hyperlegible"/>
          <w:sz w:val="24"/>
          <w:szCs w:val="24"/>
          <w:lang w:val="es-ES"/>
        </w:rPr>
        <w:t xml:space="preserve"> </w:t>
      </w:r>
      <w:r w:rsidRPr="2D98B80E">
        <w:rPr>
          <w:rFonts w:ascii="Atkinson Hyperlegible" w:eastAsia="Atkinson Hyperlegible" w:hAnsi="Atkinson Hyperlegible" w:cs="Atkinson Hyperlegible"/>
          <w:i/>
          <w:iCs/>
          <w:sz w:val="24"/>
          <w:szCs w:val="24"/>
          <w:lang w:val="es-ES"/>
        </w:rPr>
        <w:t>Exige acercar información, ampliar el acceso a servicios de salud sexual y reproductiva de calidad, a métodos anticonceptivos y generar oportunidades reales de desarrollo para que cada persona joven y adolescente pueda tomar decisiones informadas sobre su futuro”</w:t>
      </w:r>
      <w:r w:rsidRPr="2D98B80E">
        <w:rPr>
          <w:rFonts w:ascii="Atkinson Hyperlegible" w:eastAsia="Atkinson Hyperlegible" w:hAnsi="Atkinson Hyperlegible" w:cs="Atkinson Hyperlegible"/>
          <w:sz w:val="24"/>
          <w:szCs w:val="24"/>
          <w:lang w:val="es-ES"/>
        </w:rPr>
        <w:t>, agregó Serrano.</w:t>
      </w:r>
    </w:p>
    <w:p w14:paraId="6B4A5398" w14:textId="08888994" w:rsidR="79633E41" w:rsidRDefault="2D98B80E" w:rsidP="79633E41">
      <w:pPr>
        <w:spacing w:before="240" w:after="240"/>
        <w:jc w:val="both"/>
        <w:rPr>
          <w:rFonts w:ascii="Atkinson Hyperlegible" w:eastAsia="Atkinson Hyperlegible" w:hAnsi="Atkinson Hyperlegible" w:cs="Atkinson Hyperlegible"/>
          <w:sz w:val="24"/>
          <w:szCs w:val="24"/>
          <w:lang w:val="es-ES"/>
        </w:rPr>
      </w:pPr>
      <w:r w:rsidRPr="2D98B80E">
        <w:rPr>
          <w:rFonts w:ascii="Atkinson Hyperlegible" w:eastAsia="Atkinson Hyperlegible" w:hAnsi="Atkinson Hyperlegible" w:cs="Atkinson Hyperlegible"/>
          <w:sz w:val="24"/>
          <w:szCs w:val="24"/>
          <w:lang w:val="es-ES"/>
        </w:rPr>
        <w:t xml:space="preserve"> </w:t>
      </w:r>
      <w:r w:rsidRPr="2D98B80E">
        <w:rPr>
          <w:rFonts w:ascii="Atkinson Hyperlegible" w:eastAsia="Atkinson Hyperlegible" w:hAnsi="Atkinson Hyperlegible" w:cs="Atkinson Hyperlegible"/>
          <w:i/>
          <w:iCs/>
          <w:sz w:val="24"/>
          <w:szCs w:val="24"/>
          <w:lang w:val="es-ES"/>
        </w:rPr>
        <w:t>“En Organon, creemos que invertir en la salud de las mujeres y las adolescentes es también invertir en el desarrollo de las comunidades. La prevención de los embarazos a temprana edad requiere un esfuerzo coordinado que acerque información, servicios de salud y alternativas para que cada adolescente pueda tomar decisiones informadas sobre su futuro. A través de nuestra colaboración con UNFPA y los aliados locales, buscamos contribuir a fortalecer este modelo de intervención integral y generar condiciones para que más jóvenes tengan mejores condiciones de salud, bienestar y desarrollo”</w:t>
      </w:r>
      <w:r w:rsidRPr="2D98B80E">
        <w:rPr>
          <w:rFonts w:ascii="Atkinson Hyperlegible" w:eastAsia="Atkinson Hyperlegible" w:hAnsi="Atkinson Hyperlegible" w:cs="Atkinson Hyperlegible"/>
          <w:sz w:val="24"/>
          <w:szCs w:val="24"/>
          <w:lang w:val="es-ES"/>
        </w:rPr>
        <w:t xml:space="preserve">, señaló </w:t>
      </w:r>
      <w:r w:rsidRPr="2D98B80E">
        <w:rPr>
          <w:rFonts w:ascii="Atkinson Hyperlegible" w:eastAsia="Atkinson Hyperlegible" w:hAnsi="Atkinson Hyperlegible" w:cs="Atkinson Hyperlegible"/>
          <w:b/>
          <w:bCs/>
          <w:sz w:val="24"/>
          <w:szCs w:val="24"/>
          <w:lang w:val="es-ES"/>
        </w:rPr>
        <w:t xml:space="preserve">Diego Rosenthal, </w:t>
      </w:r>
      <w:r w:rsidRPr="2D98B80E">
        <w:rPr>
          <w:rFonts w:ascii="Atkinson Hyperlegible" w:eastAsia="Atkinson Hyperlegible" w:hAnsi="Atkinson Hyperlegible" w:cs="Atkinson Hyperlegible"/>
          <w:sz w:val="24"/>
          <w:szCs w:val="24"/>
          <w:lang w:val="es-ES"/>
        </w:rPr>
        <w:t>director de Organon Latinoamérica.</w:t>
      </w:r>
    </w:p>
    <w:p w14:paraId="0000000A" w14:textId="22779B43" w:rsidR="000446CC" w:rsidRDefault="2D98B80E" w:rsidP="2D98B80E">
      <w:pPr>
        <w:spacing w:after="240" w:line="276" w:lineRule="auto"/>
        <w:jc w:val="both"/>
        <w:rPr>
          <w:rFonts w:ascii="Atkinson Hyperlegible" w:eastAsia="Atkinson Hyperlegible" w:hAnsi="Atkinson Hyperlegible" w:cs="Atkinson Hyperlegible"/>
          <w:sz w:val="24"/>
          <w:szCs w:val="24"/>
          <w:lang w:val="es-ES"/>
        </w:rPr>
      </w:pPr>
      <w:r w:rsidRPr="2D98B80E">
        <w:rPr>
          <w:rFonts w:ascii="Atkinson Hyperlegible" w:eastAsia="Atkinson Hyperlegible" w:hAnsi="Atkinson Hyperlegible" w:cs="Atkinson Hyperlegible"/>
          <w:sz w:val="24"/>
          <w:szCs w:val="24"/>
          <w:lang w:val="es-ES"/>
        </w:rPr>
        <w:t xml:space="preserve">Durante el acto protocolar, que reunió a autoridades gubernamentales, representantes sanitarios, líderes comunitarios y aliados estratégicos, </w:t>
      </w:r>
      <w:r w:rsidRPr="2D98B80E">
        <w:rPr>
          <w:rFonts w:ascii="Atkinson Hyperlegible" w:eastAsia="Atkinson Hyperlegible" w:hAnsi="Atkinson Hyperlegible" w:cs="Atkinson Hyperlegible"/>
          <w:b/>
          <w:bCs/>
          <w:sz w:val="24"/>
          <w:szCs w:val="24"/>
          <w:lang w:val="es-ES"/>
        </w:rPr>
        <w:t>María Villalain,</w:t>
      </w:r>
      <w:r w:rsidRPr="2D98B80E">
        <w:rPr>
          <w:rFonts w:ascii="Atkinson Hyperlegible" w:eastAsia="Atkinson Hyperlegible" w:hAnsi="Atkinson Hyperlegible" w:cs="Atkinson Hyperlegible"/>
          <w:sz w:val="24"/>
          <w:szCs w:val="24"/>
          <w:lang w:val="es-ES"/>
        </w:rPr>
        <w:t xml:space="preserve"> coordinadora de Movilización de Recursos y Alianzas Estratégicas del UNFPA, presentó los detalles del modelo de intervención territorial. Durante su participación, se demostraron impactos tangibles y casos de éxito comprobados derivados de experiencias previas financiadas por Organon, tales como el modelo implementado en </w:t>
      </w:r>
      <w:r w:rsidRPr="2D98B80E">
        <w:rPr>
          <w:rFonts w:ascii="Atkinson Hyperlegible" w:eastAsia="Atkinson Hyperlegible" w:hAnsi="Atkinson Hyperlegible" w:cs="Atkinson Hyperlegible"/>
          <w:color w:val="000000" w:themeColor="text1"/>
          <w:sz w:val="24"/>
          <w:szCs w:val="24"/>
          <w:lang w:val="es-ES"/>
        </w:rPr>
        <w:t>las provincias de Azua, San Juan de la Maguana</w:t>
      </w:r>
      <w:r w:rsidRPr="2D98B80E">
        <w:rPr>
          <w:rFonts w:ascii="Atkinson Hyperlegible" w:eastAsia="Atkinson Hyperlegible" w:hAnsi="Atkinson Hyperlegible" w:cs="Atkinson Hyperlegible"/>
          <w:sz w:val="24"/>
          <w:szCs w:val="24"/>
          <w:lang w:val="es-ES"/>
        </w:rPr>
        <w:t xml:space="preserve"> y Dajabón. La estrategia socializada se fundamenta en fortalecer el acceso a métodos anticonceptivos reversibles de larga duración (LARC) y consolidar la articulación con el Servicio Nacional de Salud (SNS).</w:t>
      </w:r>
    </w:p>
    <w:p w14:paraId="0000000B" w14:textId="730D3BD5" w:rsidR="000446CC" w:rsidRDefault="2D98B80E" w:rsidP="2D98B80E">
      <w:pPr>
        <w:spacing w:after="240" w:line="276" w:lineRule="auto"/>
        <w:jc w:val="both"/>
        <w:rPr>
          <w:rFonts w:ascii="Atkinson Hyperlegible" w:eastAsia="Atkinson Hyperlegible" w:hAnsi="Atkinson Hyperlegible" w:cs="Atkinson Hyperlegible"/>
          <w:sz w:val="24"/>
          <w:szCs w:val="24"/>
          <w:lang w:val="en-US"/>
        </w:rPr>
      </w:pPr>
      <w:r w:rsidRPr="2D98B80E">
        <w:rPr>
          <w:rFonts w:ascii="Atkinson Hyperlegible" w:eastAsia="Atkinson Hyperlegible" w:hAnsi="Atkinson Hyperlegible" w:cs="Atkinson Hyperlegible"/>
          <w:sz w:val="24"/>
          <w:szCs w:val="24"/>
          <w:lang w:val="en-US"/>
        </w:rPr>
        <w:t>Como eje central de la actividad, se desarrolló el panel</w:t>
      </w:r>
      <w:r w:rsidRPr="2D98B80E">
        <w:rPr>
          <w:rFonts w:ascii="Atkinson Hyperlegible" w:eastAsia="Atkinson Hyperlegible" w:hAnsi="Atkinson Hyperlegible" w:cs="Atkinson Hyperlegible"/>
          <w:b/>
          <w:bCs/>
          <w:sz w:val="24"/>
          <w:szCs w:val="24"/>
          <w:lang w:val="en-US"/>
        </w:rPr>
        <w:t xml:space="preserve"> «Acelerando la prevención de uniones tempranas y embarazos en adolescentes en el Ozama»</w:t>
      </w:r>
      <w:r w:rsidRPr="2D98B80E">
        <w:rPr>
          <w:rFonts w:ascii="Atkinson Hyperlegible" w:eastAsia="Atkinson Hyperlegible" w:hAnsi="Atkinson Hyperlegible" w:cs="Atkinson Hyperlegible"/>
          <w:sz w:val="24"/>
          <w:szCs w:val="24"/>
          <w:lang w:val="en-US"/>
        </w:rPr>
        <w:t xml:space="preserve">. Este espacio </w:t>
      </w:r>
      <w:r w:rsidRPr="2D98B80E">
        <w:rPr>
          <w:rFonts w:ascii="Atkinson Hyperlegible" w:eastAsia="Atkinson Hyperlegible" w:hAnsi="Atkinson Hyperlegible" w:cs="Atkinson Hyperlegible"/>
          <w:sz w:val="24"/>
          <w:szCs w:val="24"/>
          <w:lang w:val="en-US"/>
        </w:rPr>
        <w:lastRenderedPageBreak/>
        <w:t xml:space="preserve">multisectorial profundizó en los desafíos estructurales de la zona y reunió a representantes del SNS, el MISPAS y del Consejo Nacional para la Niñez y la Adolescencia (CONANI), bajo la moderación del UNFPA. La discusión promovió la articulación interinstitucional necesaria, que incluye a </w:t>
      </w:r>
      <w:r w:rsidRPr="2D98B80E">
        <w:rPr>
          <w:rFonts w:ascii="Roboto" w:eastAsia="Roboto" w:hAnsi="Roboto" w:cs="Roboto"/>
          <w:color w:val="444746"/>
          <w:sz w:val="21"/>
          <w:szCs w:val="21"/>
          <w:lang w:val="en-US"/>
        </w:rPr>
        <w:t>la PGR y el Ministerio de la Mujer,</w:t>
      </w:r>
      <w:r w:rsidRPr="2D98B80E">
        <w:rPr>
          <w:rFonts w:ascii="Atkinson Hyperlegible" w:eastAsia="Atkinson Hyperlegible" w:hAnsi="Atkinson Hyperlegible" w:cs="Atkinson Hyperlegible"/>
          <w:sz w:val="24"/>
          <w:szCs w:val="24"/>
          <w:lang w:val="en-US"/>
        </w:rPr>
        <w:t xml:space="preserve"> para consolidar un modelo replicable de buenas prácticas que impacte positivamente a estas comunidades.</w:t>
      </w:r>
    </w:p>
    <w:p w14:paraId="03717FBF" w14:textId="58693B65" w:rsidR="79633E41" w:rsidRDefault="2D98B80E" w:rsidP="79633E41">
      <w:pPr>
        <w:spacing w:after="240" w:line="276" w:lineRule="auto"/>
        <w:jc w:val="both"/>
      </w:pPr>
      <w:r w:rsidRPr="2D98B80E">
        <w:rPr>
          <w:rFonts w:ascii="Atkinson Hyperlegible" w:eastAsia="Atkinson Hyperlegible" w:hAnsi="Atkinson Hyperlegible" w:cs="Atkinson Hyperlegible"/>
          <w:sz w:val="24"/>
          <w:szCs w:val="24"/>
          <w:lang w:val="es-ES"/>
        </w:rPr>
        <w:t>El encuentro, que tuvo lugar el miércoles 28 de octubre de 2026, contó además con la participación del doctor José Joaquín Puello Herrera, presidente y director de la Ciudad Sanitaria Dr. Luis Eduardo Aybar, y el doctor Edisson Rafael Féliz Féliz, director del Servicio Regional de Salud Ozama (SRSO), perteneciente al Servicio Nacional de Salud (SNS). El acto concluyó tras la proyección de una historia de vida en formato audiovisual, consolidando las alianzas clave para asegurar que las adolescentes alcancen su máximo desarrollo.</w:t>
      </w:r>
    </w:p>
    <w:p w14:paraId="125F0D85" w14:textId="7580431C" w:rsidR="79633E41" w:rsidRDefault="2D98B80E" w:rsidP="2D98B80E">
      <w:pPr>
        <w:spacing w:before="240" w:after="240" w:line="276" w:lineRule="auto"/>
        <w:jc w:val="both"/>
      </w:pPr>
      <w:r w:rsidRPr="2D98B80E">
        <w:rPr>
          <w:rFonts w:ascii="Atkinson Hyperlegible" w:eastAsia="Atkinson Hyperlegible" w:hAnsi="Atkinson Hyperlegible" w:cs="Atkinson Hyperlegible"/>
          <w:sz w:val="24"/>
          <w:szCs w:val="24"/>
          <w:lang w:val="es-ES"/>
        </w:rPr>
        <w:t>Con esta iniciativa, UNFPA y Organon reafirman su compromiso con la prevención de las uniones tempranas y los embarazos en adolescentes mediante acciones coordinadas con las instituciones de salud y las comunidades. El proyecto busca fortalecer las capacidades locales, ampliar el acceso a servicios de salud sexual y reproductiva y consolidar un modelo de intervención que contribuya al bienestar de las adolescentes en la cuenca del Ozama, con la posibilidad de generar aprendizajes que puedan replicarse en otros territorios.</w:t>
      </w:r>
    </w:p>
    <w:p w14:paraId="2A3B359C" w14:textId="2F0E2502" w:rsidR="79633E41" w:rsidRDefault="2D98B80E" w:rsidP="2D98B80E">
      <w:pPr>
        <w:spacing w:before="240" w:after="240"/>
        <w:jc w:val="center"/>
        <w:rPr>
          <w:rFonts w:ascii="Atkinson Hyperlegible" w:eastAsia="Atkinson Hyperlegible" w:hAnsi="Atkinson Hyperlegible" w:cs="Atkinson Hyperlegible"/>
          <w:sz w:val="24"/>
          <w:szCs w:val="24"/>
          <w:lang w:val="es-ES"/>
        </w:rPr>
      </w:pPr>
      <w:r w:rsidRPr="2D98B80E">
        <w:rPr>
          <w:rFonts w:ascii="Atkinson Hyperlegible" w:eastAsia="Atkinson Hyperlegible" w:hAnsi="Atkinson Hyperlegible" w:cs="Atkinson Hyperlegible"/>
          <w:sz w:val="24"/>
          <w:szCs w:val="24"/>
          <w:lang w:val="es-ES"/>
        </w:rPr>
        <w:t>###</w:t>
      </w:r>
    </w:p>
    <w:p w14:paraId="72A93C5E" w14:textId="77777777" w:rsidR="6AF7BFA7" w:rsidRDefault="6AF7BFA7" w:rsidP="6AF7BFA7">
      <w:pPr>
        <w:spacing w:line="276" w:lineRule="auto"/>
        <w:jc w:val="both"/>
        <w:rPr>
          <w:rFonts w:ascii="Atkinson Hyperlegible" w:eastAsia="Atkinson Hyperlegible" w:hAnsi="Atkinson Hyperlegible" w:cs="Atkinson Hyperlegible"/>
          <w:b/>
          <w:bCs/>
          <w:color w:val="131619"/>
          <w:sz w:val="20"/>
          <w:szCs w:val="20"/>
          <w:lang w:val="en-US"/>
        </w:rPr>
      </w:pPr>
      <w:r w:rsidRPr="6AF7BFA7">
        <w:rPr>
          <w:rFonts w:ascii="Atkinson Hyperlegible" w:eastAsia="Atkinson Hyperlegible" w:hAnsi="Atkinson Hyperlegible" w:cs="Atkinson Hyperlegible"/>
          <w:b/>
          <w:bCs/>
          <w:color w:val="131619"/>
          <w:sz w:val="20"/>
          <w:szCs w:val="20"/>
          <w:lang w:val="en-US"/>
        </w:rPr>
        <w:t>Sobre UNFPA</w:t>
      </w:r>
    </w:p>
    <w:p w14:paraId="041C825D" w14:textId="77777777" w:rsidR="6AF7BFA7" w:rsidRDefault="6AF7BFA7" w:rsidP="6AF7BFA7">
      <w:pPr>
        <w:spacing w:line="276" w:lineRule="auto"/>
        <w:jc w:val="both"/>
        <w:rPr>
          <w:rFonts w:ascii="Atkinson Hyperlegible" w:eastAsia="Atkinson Hyperlegible" w:hAnsi="Atkinson Hyperlegible" w:cs="Atkinson Hyperlegible"/>
          <w:color w:val="131619"/>
          <w:sz w:val="20"/>
          <w:szCs w:val="20"/>
          <w:lang w:val="en-US"/>
        </w:rPr>
      </w:pPr>
      <w:r w:rsidRPr="6AF7BFA7">
        <w:rPr>
          <w:rFonts w:ascii="Atkinson Hyperlegible" w:eastAsia="Atkinson Hyperlegible" w:hAnsi="Atkinson Hyperlegible" w:cs="Atkinson Hyperlegible"/>
          <w:color w:val="131619"/>
          <w:sz w:val="20"/>
          <w:szCs w:val="20"/>
          <w:lang w:val="en-US"/>
        </w:rPr>
        <w:t>El Fondo de Población de las Naciones Unidas (UNFPA) es la agencia de las Naciones Unidas que contribuye a un mundo donde: cada embarazo sea deseado, cada parto sea seguro y cada persona joven alcance su pleno desarrollo.</w:t>
      </w:r>
    </w:p>
    <w:p w14:paraId="66BB4F42" w14:textId="77777777" w:rsidR="6AF7BFA7" w:rsidRDefault="2D98B80E" w:rsidP="6AF7BFA7">
      <w:pPr>
        <w:spacing w:before="420" w:line="276" w:lineRule="auto"/>
        <w:jc w:val="both"/>
      </w:pPr>
      <w:r w:rsidRPr="2D98B80E">
        <w:rPr>
          <w:rFonts w:ascii="Atkinson Hyperlegible" w:eastAsia="Atkinson Hyperlegible" w:hAnsi="Atkinson Hyperlegible" w:cs="Atkinson Hyperlegible"/>
          <w:color w:val="131619"/>
          <w:sz w:val="20"/>
          <w:szCs w:val="20"/>
          <w:lang w:val="en-US"/>
        </w:rPr>
        <w:t>UNFPA inició sus operaciones en la República Dominicana en 1974. El Programa de Asistencia al País 2023-2027 hace énfasis en las zonas económica y socialmente más deprimidas, contribuyendo a un desarrollo humano sustentable, con perspectiva de equidad de género y de derechos humanos, incluidos los derechos sexuales y reproductivos.</w:t>
      </w:r>
    </w:p>
    <w:p w14:paraId="3D732E80" w14:textId="2DC82FC2" w:rsidR="2D98B80E" w:rsidRDefault="2D98B80E" w:rsidP="2D98B80E">
      <w:pPr>
        <w:spacing w:before="420" w:line="276" w:lineRule="auto"/>
        <w:jc w:val="both"/>
      </w:pPr>
      <w:r w:rsidRPr="2D98B80E">
        <w:rPr>
          <w:rFonts w:ascii="Atkinson Hyperlegible" w:eastAsia="Atkinson Hyperlegible" w:hAnsi="Atkinson Hyperlegible" w:cs="Atkinson Hyperlegible"/>
          <w:color w:val="131619"/>
          <w:sz w:val="20"/>
          <w:szCs w:val="20"/>
          <w:lang w:val="en-US"/>
        </w:rPr>
        <w:t xml:space="preserve">Contacto prensa UNFPABerny </w:t>
      </w:r>
    </w:p>
    <w:p w14:paraId="5670F944" w14:textId="3A689DD7" w:rsidR="2D98B80E" w:rsidRDefault="2D98B80E" w:rsidP="2D98B80E">
      <w:pPr>
        <w:spacing w:before="420" w:line="276" w:lineRule="auto"/>
        <w:jc w:val="both"/>
        <w:rPr>
          <w:rFonts w:ascii="Atkinson Hyperlegible" w:eastAsia="Atkinson Hyperlegible" w:hAnsi="Atkinson Hyperlegible" w:cs="Atkinson Hyperlegible"/>
          <w:color w:val="131619"/>
          <w:sz w:val="20"/>
          <w:szCs w:val="20"/>
          <w:lang w:val="en-US"/>
        </w:rPr>
      </w:pPr>
      <w:r w:rsidRPr="2D98B80E">
        <w:rPr>
          <w:rFonts w:ascii="Atkinson Hyperlegible" w:eastAsia="Atkinson Hyperlegible" w:hAnsi="Atkinson Hyperlegible" w:cs="Atkinson Hyperlegible"/>
          <w:color w:val="131619"/>
          <w:sz w:val="20"/>
          <w:szCs w:val="20"/>
          <w:lang w:val="en-US"/>
        </w:rPr>
        <w:t xml:space="preserve">Figuereo | </w:t>
      </w:r>
      <w:hyperlink r:id="rId7">
        <w:r w:rsidRPr="2D98B80E">
          <w:rPr>
            <w:rStyle w:val="Hipervnculo"/>
            <w:lang w:val="en-US"/>
          </w:rPr>
          <w:t>figuereodediaz@unfpa.org</w:t>
        </w:r>
      </w:hyperlink>
      <w:r w:rsidRPr="2D98B80E">
        <w:rPr>
          <w:rFonts w:ascii="Atkinson Hyperlegible" w:eastAsia="Atkinson Hyperlegible" w:hAnsi="Atkinson Hyperlegible" w:cs="Atkinson Hyperlegible"/>
          <w:color w:val="131619"/>
          <w:sz w:val="20"/>
          <w:szCs w:val="20"/>
          <w:lang w:val="en-US"/>
        </w:rPr>
        <w:t xml:space="preserve"> | 809-601-6718</w:t>
      </w:r>
    </w:p>
    <w:p w14:paraId="75EDE1AF" w14:textId="3940D4BA" w:rsidR="2D98B80E" w:rsidRDefault="2D98B80E" w:rsidP="2D98B80E">
      <w:pPr>
        <w:spacing w:before="420" w:line="276" w:lineRule="auto"/>
        <w:jc w:val="both"/>
      </w:pPr>
      <w:r w:rsidRPr="2D98B80E">
        <w:rPr>
          <w:rFonts w:ascii="Atkinson Hyperlegible" w:eastAsia="Atkinson Hyperlegible" w:hAnsi="Atkinson Hyperlegible" w:cs="Atkinson Hyperlegible"/>
          <w:color w:val="131619"/>
          <w:sz w:val="20"/>
          <w:szCs w:val="20"/>
          <w:lang w:val="en-US"/>
        </w:rPr>
        <w:lastRenderedPageBreak/>
        <w:t xml:space="preserve">Katisuca González | </w:t>
      </w:r>
      <w:hyperlink r:id="rId8">
        <w:r w:rsidRPr="2D98B80E">
          <w:rPr>
            <w:rStyle w:val="Hipervnculo"/>
            <w:lang w:val="en-US"/>
          </w:rPr>
          <w:t>gonzalezpolanco@unfpa.org</w:t>
        </w:r>
      </w:hyperlink>
      <w:r w:rsidRPr="2D98B80E">
        <w:rPr>
          <w:rFonts w:ascii="Atkinson Hyperlegible" w:eastAsia="Atkinson Hyperlegible" w:hAnsi="Atkinson Hyperlegible" w:cs="Atkinson Hyperlegible"/>
          <w:color w:val="131619"/>
          <w:sz w:val="20"/>
          <w:szCs w:val="20"/>
          <w:lang w:val="en-US"/>
        </w:rPr>
        <w:t xml:space="preserve"> | (829) 420-2211</w:t>
      </w:r>
    </w:p>
    <w:p w14:paraId="6B4A5B59" w14:textId="5C3EE3AF" w:rsidR="6AF7BFA7" w:rsidRDefault="6AF7BFA7" w:rsidP="6AF7BFA7">
      <w:pPr>
        <w:spacing w:line="276" w:lineRule="auto"/>
        <w:jc w:val="both"/>
        <w:rPr>
          <w:rFonts w:ascii="Atkinson Hyperlegible" w:eastAsia="Atkinson Hyperlegible" w:hAnsi="Atkinson Hyperlegible" w:cs="Atkinson Hyperlegible"/>
          <w:b/>
          <w:bCs/>
          <w:color w:val="131619"/>
          <w:sz w:val="20"/>
          <w:szCs w:val="20"/>
          <w:lang w:val="en-US"/>
        </w:rPr>
      </w:pPr>
    </w:p>
    <w:p w14:paraId="0000000E" w14:textId="77777777" w:rsidR="000446CC" w:rsidRDefault="2D98B80E" w:rsidP="6AF7BFA7">
      <w:pPr>
        <w:spacing w:line="276" w:lineRule="auto"/>
        <w:jc w:val="both"/>
        <w:rPr>
          <w:rFonts w:ascii="Atkinson Hyperlegible" w:eastAsia="Atkinson Hyperlegible" w:hAnsi="Atkinson Hyperlegible" w:cs="Atkinson Hyperlegible"/>
          <w:b/>
          <w:bCs/>
          <w:color w:val="131619"/>
          <w:sz w:val="20"/>
          <w:szCs w:val="20"/>
          <w:lang w:val="en-US"/>
        </w:rPr>
      </w:pPr>
      <w:r w:rsidRPr="2D98B80E">
        <w:rPr>
          <w:rFonts w:ascii="Atkinson Hyperlegible" w:eastAsia="Atkinson Hyperlegible" w:hAnsi="Atkinson Hyperlegible" w:cs="Atkinson Hyperlegible"/>
          <w:b/>
          <w:bCs/>
          <w:color w:val="131619"/>
          <w:sz w:val="20"/>
          <w:szCs w:val="20"/>
          <w:lang w:val="en-US"/>
        </w:rPr>
        <w:t>Sobre Organon</w:t>
      </w:r>
    </w:p>
    <w:p w14:paraId="4A6BC31E" w14:textId="315F3888" w:rsidR="6AF7BFA7" w:rsidRDefault="2D98B80E" w:rsidP="2D98B80E">
      <w:pPr>
        <w:jc w:val="both"/>
        <w:rPr>
          <w:rFonts w:ascii="Atkinson Hyperlegible" w:eastAsia="Atkinson Hyperlegible" w:hAnsi="Atkinson Hyperlegible" w:cs="Atkinson Hyperlegible"/>
          <w:color w:val="131619"/>
          <w:sz w:val="20"/>
          <w:szCs w:val="20"/>
          <w:lang w:val="es-ES"/>
        </w:rPr>
      </w:pPr>
      <w:r w:rsidRPr="2D98B80E">
        <w:rPr>
          <w:rFonts w:ascii="Atkinson Hyperlegible" w:eastAsia="Atkinson Hyperlegible" w:hAnsi="Atkinson Hyperlegible" w:cs="Atkinson Hyperlegible"/>
          <w:color w:val="131619"/>
          <w:sz w:val="20"/>
          <w:szCs w:val="20"/>
          <w:lang w:val="es-ES"/>
        </w:rPr>
        <w:t>Organon es una empresa global de atención médica independiente con la misión de ayudar a mejorar la salud de las mujeres a lo largo de sus vidas. Su diverso portafolio ofrece más de 70 medicamentos y productos en salud femenina, biosimilares y una amplia franquicia de medicamentos establecidos en diversas áreas terapéuticas. Además de sus productos actuales, Organon invierte en soluciones innovadoras e investigación para impulsar oportunidades de crecimiento futuro en salud femenina y biosimilares. También busca oportunidades de colaboración con socios biofarmacéuticos e innovadores que deseen comercializar sus productos aprovechando la escala de Organon y su presencia ágil en mercados internacionales de rápido crecimiento.</w:t>
      </w:r>
    </w:p>
    <w:p w14:paraId="580EB375" w14:textId="72C74E71" w:rsidR="6AF7BFA7" w:rsidRDefault="6AF7BFA7" w:rsidP="2D98B80E">
      <w:pPr>
        <w:jc w:val="both"/>
        <w:rPr>
          <w:rFonts w:ascii="Atkinson Hyperlegible" w:eastAsia="Atkinson Hyperlegible" w:hAnsi="Atkinson Hyperlegible" w:cs="Atkinson Hyperlegible"/>
          <w:color w:val="131619"/>
          <w:sz w:val="20"/>
          <w:szCs w:val="20"/>
        </w:rPr>
      </w:pPr>
    </w:p>
    <w:p w14:paraId="362CDEC3" w14:textId="6D760D9D" w:rsidR="6AF7BFA7" w:rsidRDefault="2D98B80E" w:rsidP="2D98B80E">
      <w:pPr>
        <w:jc w:val="both"/>
        <w:rPr>
          <w:rFonts w:ascii="Atkinson Hyperlegible" w:eastAsia="Atkinson Hyperlegible" w:hAnsi="Atkinson Hyperlegible" w:cs="Atkinson Hyperlegible"/>
          <w:color w:val="131619"/>
          <w:sz w:val="20"/>
          <w:szCs w:val="20"/>
          <w:lang w:val="es-ES"/>
        </w:rPr>
      </w:pPr>
      <w:r w:rsidRPr="2D98B80E">
        <w:rPr>
          <w:rFonts w:ascii="Atkinson Hyperlegible" w:eastAsia="Atkinson Hyperlegible" w:hAnsi="Atkinson Hyperlegible" w:cs="Atkinson Hyperlegible"/>
          <w:color w:val="131619"/>
          <w:sz w:val="20"/>
          <w:szCs w:val="20"/>
          <w:lang w:val="es-ES"/>
        </w:rPr>
        <w:t>Organon tiene un alcance geográfico significativo, capacidades comerciales de clase mundial y aproximadamente 10,000 empleados, con sede en Jersey City, Nueva Jersey.</w:t>
      </w:r>
    </w:p>
    <w:p w14:paraId="636FCC5F" w14:textId="25AD540C" w:rsidR="6AF7BFA7" w:rsidRDefault="6AF7BFA7" w:rsidP="2D98B80E">
      <w:pPr>
        <w:jc w:val="both"/>
        <w:rPr>
          <w:rFonts w:ascii="Atkinson Hyperlegible" w:eastAsia="Atkinson Hyperlegible" w:hAnsi="Atkinson Hyperlegible" w:cs="Atkinson Hyperlegible"/>
          <w:color w:val="131619"/>
          <w:sz w:val="20"/>
          <w:szCs w:val="20"/>
        </w:rPr>
      </w:pPr>
    </w:p>
    <w:p w14:paraId="732E776C" w14:textId="7BAA8A51" w:rsidR="6AF7BFA7" w:rsidRDefault="2D98B80E" w:rsidP="2D98B80E">
      <w:pPr>
        <w:jc w:val="both"/>
        <w:rPr>
          <w:rFonts w:ascii="Atkinson Hyperlegible" w:eastAsia="Atkinson Hyperlegible" w:hAnsi="Atkinson Hyperlegible" w:cs="Atkinson Hyperlegible"/>
          <w:color w:val="131619"/>
          <w:sz w:val="20"/>
          <w:szCs w:val="20"/>
          <w:lang w:val="en-US"/>
        </w:rPr>
      </w:pPr>
      <w:r w:rsidRPr="2D98B80E">
        <w:rPr>
          <w:rFonts w:ascii="Atkinson Hyperlegible" w:eastAsia="Atkinson Hyperlegible" w:hAnsi="Atkinson Hyperlegible" w:cs="Atkinson Hyperlegible"/>
          <w:color w:val="131619"/>
          <w:sz w:val="20"/>
          <w:szCs w:val="20"/>
          <w:lang w:val="en-US"/>
        </w:rPr>
        <w:t xml:space="preserve">Para más información, visita </w:t>
      </w:r>
      <w:hyperlink r:id="rId9">
        <w:r w:rsidRPr="2D98B80E">
          <w:rPr>
            <w:rFonts w:ascii="Atkinson Hyperlegible" w:eastAsia="Atkinson Hyperlegible" w:hAnsi="Atkinson Hyperlegible" w:cs="Atkinson Hyperlegible"/>
            <w:color w:val="131619"/>
            <w:sz w:val="20"/>
            <w:szCs w:val="20"/>
            <w:lang w:val="en-US"/>
          </w:rPr>
          <w:t>https://www.organon.com/latam/</w:t>
        </w:r>
      </w:hyperlink>
      <w:r w:rsidRPr="2D98B80E">
        <w:rPr>
          <w:rFonts w:ascii="Atkinson Hyperlegible" w:eastAsia="Atkinson Hyperlegible" w:hAnsi="Atkinson Hyperlegible" w:cs="Atkinson Hyperlegible"/>
          <w:color w:val="131619"/>
          <w:sz w:val="20"/>
          <w:szCs w:val="20"/>
          <w:lang w:val="en-US"/>
        </w:rPr>
        <w:t xml:space="preserve"> y conéctate con nosotros en </w:t>
      </w:r>
      <w:hyperlink r:id="rId10">
        <w:r w:rsidRPr="2D98B80E">
          <w:rPr>
            <w:rFonts w:ascii="Atkinson Hyperlegible" w:eastAsia="Atkinson Hyperlegible" w:hAnsi="Atkinson Hyperlegible" w:cs="Atkinson Hyperlegible"/>
            <w:color w:val="131619"/>
            <w:sz w:val="20"/>
            <w:szCs w:val="20"/>
            <w:lang w:val="en-US"/>
          </w:rPr>
          <w:t>LinkedIn</w:t>
        </w:r>
      </w:hyperlink>
      <w:r w:rsidRPr="2D98B80E">
        <w:rPr>
          <w:rFonts w:ascii="Atkinson Hyperlegible" w:eastAsia="Atkinson Hyperlegible" w:hAnsi="Atkinson Hyperlegible" w:cs="Atkinson Hyperlegible"/>
          <w:color w:val="131619"/>
          <w:sz w:val="20"/>
          <w:szCs w:val="20"/>
          <w:lang w:val="en-US"/>
        </w:rPr>
        <w:t xml:space="preserve">, </w:t>
      </w:r>
      <w:hyperlink r:id="rId11">
        <w:r w:rsidRPr="2D98B80E">
          <w:rPr>
            <w:rFonts w:ascii="Atkinson Hyperlegible" w:eastAsia="Atkinson Hyperlegible" w:hAnsi="Atkinson Hyperlegible" w:cs="Atkinson Hyperlegible"/>
            <w:color w:val="131619"/>
            <w:sz w:val="20"/>
            <w:szCs w:val="20"/>
            <w:lang w:val="en-US"/>
          </w:rPr>
          <w:t>Instagram</w:t>
        </w:r>
      </w:hyperlink>
      <w:r w:rsidRPr="2D98B80E">
        <w:rPr>
          <w:rFonts w:ascii="Atkinson Hyperlegible" w:eastAsia="Atkinson Hyperlegible" w:hAnsi="Atkinson Hyperlegible" w:cs="Atkinson Hyperlegible"/>
          <w:color w:val="131619"/>
          <w:sz w:val="20"/>
          <w:szCs w:val="20"/>
          <w:lang w:val="en-US"/>
        </w:rPr>
        <w:t xml:space="preserve"> y </w:t>
      </w:r>
      <w:hyperlink r:id="rId12">
        <w:r w:rsidRPr="2D98B80E">
          <w:rPr>
            <w:rFonts w:ascii="Atkinson Hyperlegible" w:eastAsia="Atkinson Hyperlegible" w:hAnsi="Atkinson Hyperlegible" w:cs="Atkinson Hyperlegible"/>
            <w:color w:val="131619"/>
            <w:sz w:val="20"/>
            <w:szCs w:val="20"/>
            <w:lang w:val="en-US"/>
          </w:rPr>
          <w:t>Facebook.</w:t>
        </w:r>
      </w:hyperlink>
    </w:p>
    <w:p w14:paraId="00000015" w14:textId="757EB3F1" w:rsidR="000446CC" w:rsidRDefault="2D98B80E" w:rsidP="2D98B80E">
      <w:pPr>
        <w:spacing w:before="240" w:after="240" w:line="276" w:lineRule="auto"/>
        <w:jc w:val="both"/>
        <w:rPr>
          <w:rFonts w:ascii="Atkinson Hyperlegible" w:eastAsia="Atkinson Hyperlegible" w:hAnsi="Atkinson Hyperlegible" w:cs="Atkinson Hyperlegible"/>
          <w:color w:val="131619"/>
          <w:sz w:val="20"/>
          <w:szCs w:val="20"/>
          <w:lang w:val="es-ES"/>
        </w:rPr>
      </w:pPr>
      <w:r w:rsidRPr="2D98B80E">
        <w:rPr>
          <w:rFonts w:ascii="Atkinson Hyperlegible" w:eastAsia="Atkinson Hyperlegible" w:hAnsi="Atkinson Hyperlegible" w:cs="Atkinson Hyperlegible"/>
          <w:color w:val="131619"/>
          <w:sz w:val="20"/>
          <w:szCs w:val="20"/>
          <w:lang w:val="es-ES"/>
        </w:rPr>
        <w:t>© 2026 Grupo de compañías Organon. Todos los derechos reservados.</w:t>
      </w:r>
    </w:p>
    <w:p w14:paraId="4BB6C8CE" w14:textId="68B8A6DA" w:rsidR="79633E41" w:rsidRDefault="2D98B80E" w:rsidP="6AF7BFA7">
      <w:pPr>
        <w:spacing w:line="276" w:lineRule="auto"/>
        <w:jc w:val="both"/>
        <w:rPr>
          <w:rFonts w:ascii="Atkinson Hyperlegible" w:eastAsia="Atkinson Hyperlegible" w:hAnsi="Atkinson Hyperlegible" w:cs="Atkinson Hyperlegible"/>
          <w:b/>
          <w:bCs/>
          <w:color w:val="131619"/>
          <w:sz w:val="20"/>
          <w:szCs w:val="20"/>
          <w:lang w:val="es-ES"/>
        </w:rPr>
      </w:pPr>
      <w:r w:rsidRPr="2D98B80E">
        <w:rPr>
          <w:rFonts w:ascii="Atkinson Hyperlegible" w:eastAsia="Atkinson Hyperlegible" w:hAnsi="Atkinson Hyperlegible" w:cs="Atkinson Hyperlegible"/>
          <w:b/>
          <w:bCs/>
          <w:color w:val="131619"/>
          <w:sz w:val="20"/>
          <w:szCs w:val="20"/>
          <w:lang w:val="es-ES"/>
        </w:rPr>
        <w:t xml:space="preserve">Contacto de prensa Organon </w:t>
      </w:r>
    </w:p>
    <w:p w14:paraId="65A22C9A" w14:textId="14BC2BAD" w:rsidR="79633E41" w:rsidRDefault="2D98B80E" w:rsidP="6AF7BFA7">
      <w:pPr>
        <w:spacing w:before="240" w:after="240"/>
        <w:jc w:val="both"/>
        <w:rPr>
          <w:sz w:val="20"/>
          <w:szCs w:val="20"/>
          <w:lang w:val="pt-BR"/>
        </w:rPr>
      </w:pPr>
      <w:r w:rsidRPr="2D98B80E">
        <w:rPr>
          <w:sz w:val="20"/>
          <w:szCs w:val="20"/>
          <w:lang w:val="pt-BR"/>
        </w:rPr>
        <w:t xml:space="preserve">Vania Herández | </w:t>
      </w:r>
      <w:hyperlink r:id="rId13">
        <w:r w:rsidRPr="2D98B80E">
          <w:rPr>
            <w:rStyle w:val="Hipervnculo"/>
            <w:sz w:val="20"/>
            <w:szCs w:val="20"/>
            <w:lang w:val="pt-BR"/>
          </w:rPr>
          <w:t>vhernandez@trendsetera.com.mx</w:t>
        </w:r>
      </w:hyperlink>
      <w:r w:rsidRPr="2D98B80E">
        <w:rPr>
          <w:sz w:val="20"/>
          <w:szCs w:val="20"/>
          <w:lang w:val="pt-BR"/>
        </w:rPr>
        <w:t xml:space="preserve"> | 55 5 6343 2118</w:t>
      </w:r>
    </w:p>
    <w:p w14:paraId="23D1447E" w14:textId="58463DFE" w:rsidR="79633E41" w:rsidRDefault="2D98B80E" w:rsidP="6AF7BFA7">
      <w:pPr>
        <w:spacing w:before="240" w:after="240"/>
        <w:jc w:val="both"/>
        <w:rPr>
          <w:sz w:val="20"/>
          <w:szCs w:val="20"/>
          <w:lang w:val="pt-BR"/>
        </w:rPr>
      </w:pPr>
      <w:r w:rsidRPr="2D98B80E">
        <w:rPr>
          <w:sz w:val="20"/>
          <w:szCs w:val="20"/>
          <w:lang w:val="pt-BR"/>
        </w:rPr>
        <w:t xml:space="preserve">Karen Moreno | </w:t>
      </w:r>
      <w:hyperlink r:id="rId14">
        <w:r w:rsidRPr="2D98B80E">
          <w:rPr>
            <w:rStyle w:val="Hipervnculo"/>
            <w:sz w:val="20"/>
            <w:szCs w:val="20"/>
            <w:lang w:val="pt-BR"/>
          </w:rPr>
          <w:t>amoreno@trendsetera.com.mx</w:t>
        </w:r>
      </w:hyperlink>
      <w:r w:rsidRPr="2D98B80E">
        <w:rPr>
          <w:sz w:val="20"/>
          <w:szCs w:val="20"/>
          <w:lang w:val="pt-BR"/>
        </w:rPr>
        <w:t xml:space="preserve"> | 55 3824 2347</w:t>
      </w:r>
    </w:p>
    <w:p w14:paraId="4CDE954B" w14:textId="2E7C89F9" w:rsidR="79633E41" w:rsidRDefault="79633E41" w:rsidP="79633E41">
      <w:pPr>
        <w:spacing w:after="240" w:line="276" w:lineRule="auto"/>
        <w:jc w:val="both"/>
        <w:rPr>
          <w:sz w:val="24"/>
          <w:szCs w:val="24"/>
          <w:lang w:val="pt-BR"/>
        </w:rPr>
      </w:pPr>
    </w:p>
    <w:sectPr w:rsidR="79633E41">
      <w:headerReference w:type="default" r:id="rId15"/>
      <w:footerReference w:type="default" r:id="rId16"/>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C26E9B" w14:textId="77777777" w:rsidR="007F6CBF" w:rsidRDefault="007F6CBF">
      <w:r>
        <w:separator/>
      </w:r>
    </w:p>
  </w:endnote>
  <w:endnote w:type="continuationSeparator" w:id="0">
    <w:p w14:paraId="4B1EDDDD" w14:textId="77777777" w:rsidR="007F6CBF" w:rsidRDefault="007F6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EA67E955-16FA-5843-8679-E92B98AB1D54}"/>
  </w:font>
  <w:font w:name="Times New Roman">
    <w:panose1 w:val="02020603050405020304"/>
    <w:charset w:val="00"/>
    <w:family w:val="roman"/>
    <w:pitch w:val="variable"/>
    <w:sig w:usb0="E0002EFF" w:usb1="C000785B" w:usb2="00000009" w:usb3="00000000" w:csb0="000001FF" w:csb1="00000000"/>
    <w:embedRegular r:id="rId2" w:fontKey="{7C799BF3-B94C-A74A-97D0-DC715A28C9B6}"/>
  </w:font>
  <w:font w:name="Courier New">
    <w:panose1 w:val="02070309020205020404"/>
    <w:charset w:val="00"/>
    <w:family w:val="modern"/>
    <w:pitch w:val="fixed"/>
    <w:sig w:usb0="E0002AFF" w:usb1="C0007843" w:usb2="00000009" w:usb3="00000000" w:csb0="000001FF" w:csb1="00000000"/>
    <w:embedRegular r:id="rId3" w:fontKey="{9EDDB49A-5324-E145-81B3-021F851F6F59}"/>
  </w:font>
  <w:font w:name="Wingdings">
    <w:panose1 w:val="05000000000000000000"/>
    <w:charset w:val="02"/>
    <w:family w:val="auto"/>
    <w:pitch w:val="variable"/>
    <w:sig w:usb0="00000000" w:usb1="10000000" w:usb2="00000000" w:usb3="00000000" w:csb0="80000000" w:csb1="00000000"/>
    <w:embedRegular r:id="rId4" w:fontKey="{DE76E4EB-255B-7640-A338-7823359F4397}"/>
  </w:font>
  <w:font w:name="Arial">
    <w:panose1 w:val="020B0604020202020204"/>
    <w:charset w:val="00"/>
    <w:family w:val="swiss"/>
    <w:pitch w:val="variable"/>
    <w:sig w:usb0="E0002AFF" w:usb1="C0007843" w:usb2="00000009" w:usb3="00000000" w:csb0="000001FF" w:csb1="00000000"/>
    <w:embedRegular r:id="rId5" w:fontKey="{AD8779F1-AC75-FA47-BABA-3BAAB3E566A6}"/>
    <w:embedBold r:id="rId6" w:fontKey="{152FAA8D-772A-2941-8981-EF75D01452A7}"/>
  </w:font>
  <w:font w:name="Georgia">
    <w:panose1 w:val="02040502050405020303"/>
    <w:charset w:val="00"/>
    <w:family w:val="roman"/>
    <w:pitch w:val="variable"/>
    <w:sig w:usb0="00000287" w:usb1="00000000" w:usb2="00000000" w:usb3="00000000" w:csb0="0000009F" w:csb1="00000000"/>
    <w:embedItalic r:id="rId7" w:fontKey="{18EBE8AA-9C84-E741-9999-A6CC8078B388}"/>
  </w:font>
  <w:font w:name="Atkinson Hyperlegible">
    <w:charset w:val="00"/>
    <w:family w:val="auto"/>
    <w:pitch w:val="default"/>
    <w:embedRegular r:id="rId8" w:fontKey="{21F134A7-268D-5B40-B01A-2E4D7C726549}"/>
    <w:embedBold r:id="rId9" w:fontKey="{5ACE3D87-8BF5-D84C-8412-743BA82CF831}"/>
    <w:embedItalic r:id="rId10" w:fontKey="{B95A2BE3-C088-EF4C-9498-3CC71E6A3608}"/>
  </w:font>
  <w:font w:name="Roboto">
    <w:panose1 w:val="02000000000000000000"/>
    <w:charset w:val="00"/>
    <w:family w:val="auto"/>
    <w:pitch w:val="variable"/>
    <w:sig w:usb0="E0000AFF" w:usb1="5000217F" w:usb2="00000021" w:usb3="00000000" w:csb0="0000019F" w:csb1="00000000"/>
    <w:embedRegular r:id="rId11" w:fontKey="{CBF82CDC-3BA0-724C-A078-2BD460AAE4F1}"/>
  </w:font>
  <w:font w:name="Calibri">
    <w:panose1 w:val="020F0502020204030204"/>
    <w:charset w:val="00"/>
    <w:family w:val="modern"/>
    <w:pitch w:val="variable"/>
    <w:sig w:usb0="00000003" w:usb1="00000000" w:usb2="00000000" w:usb3="00000000" w:csb0="00000001" w:csb1="00000000"/>
    <w:embedRegular r:id="rId12" w:fontKey="{361C5C8A-93CF-664F-B7EF-9478272E6D71}"/>
  </w:font>
  <w:font w:name="Cambria">
    <w:panose1 w:val="02040503050406030204"/>
    <w:charset w:val="00"/>
    <w:family w:val="roman"/>
    <w:notTrueType/>
    <w:pitch w:val="default"/>
    <w:embedRegular r:id="rId13" w:fontKey="{53996E8C-0BCA-D748-AB31-E6750FE89A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F" w14:textId="32C187AB" w:rsidR="000446CC" w:rsidRDefault="00000000">
    <w:pPr>
      <w:jc w:val="right"/>
    </w:pPr>
    <w:r>
      <w:fldChar w:fldCharType="begin"/>
    </w:r>
    <w:r>
      <w:instrText>PAGE</w:instrText>
    </w:r>
    <w:r>
      <w:fldChar w:fldCharType="separate"/>
    </w:r>
    <w:r w:rsidR="00352A5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E5631A" w14:textId="77777777" w:rsidR="007F6CBF" w:rsidRDefault="007F6CBF">
      <w:r>
        <w:separator/>
      </w:r>
    </w:p>
  </w:footnote>
  <w:footnote w:type="continuationSeparator" w:id="0">
    <w:p w14:paraId="633FCE9A" w14:textId="77777777" w:rsidR="007F6CBF" w:rsidRDefault="007F6CBF">
      <w:r>
        <w:continuationSeparator/>
      </w:r>
    </w:p>
  </w:footnote>
  <w:footnote w:id="1">
    <w:p w14:paraId="0000001E" w14:textId="6F7F9BEC" w:rsidR="000446CC" w:rsidRDefault="00000000" w:rsidP="79633E41">
      <w:pPr>
        <w:ind w:firstLine="720"/>
      </w:pPr>
      <w:r w:rsidRPr="79633E41">
        <w:rPr>
          <w:sz w:val="20"/>
          <w:szCs w:val="20"/>
          <w:vertAlign w:val="superscript"/>
        </w:rPr>
        <w:footnoteRef/>
      </w:r>
      <w:r w:rsidRPr="79633E41">
        <w:rPr>
          <w:sz w:val="20"/>
          <w:szCs w:val="20"/>
        </w:rPr>
        <w:t xml:space="preserve"> Infografía de embarazos en adolescentes en República Dominicana, ONE 2026. </w:t>
      </w:r>
      <w:hyperlink r:id="rId1" w:history="1">
        <w:r w:rsidRPr="79633E41">
          <w:rPr>
            <w:rStyle w:val="Hipervnculo"/>
          </w:rPr>
          <w:t>https://es.scribd.com/document/1055152919/Infografi-a-embarazo-1t-2026-2</w:t>
        </w:r>
      </w:hyperlink>
      <w:r w:rsidRPr="79633E41">
        <w:rPr>
          <w:sz w:val="20"/>
          <w:szCs w:val="20"/>
        </w:rPr>
        <w:t xml:space="preserve"> </w:t>
      </w:r>
    </w:p>
  </w:footnote>
  <w:footnote w:id="2">
    <w:p w14:paraId="0000001D" w14:textId="77777777" w:rsidR="000446CC" w:rsidRDefault="00000000" w:rsidP="79633E41">
      <w:pPr>
        <w:ind w:firstLine="720"/>
        <w:rPr>
          <w:sz w:val="20"/>
          <w:szCs w:val="20"/>
        </w:rPr>
      </w:pPr>
      <w:r w:rsidRPr="79633E41">
        <w:rPr>
          <w:sz w:val="20"/>
          <w:szCs w:val="20"/>
          <w:vertAlign w:val="superscript"/>
        </w:rPr>
        <w:footnoteRef/>
      </w:r>
      <w:r w:rsidRPr="79633E41">
        <w:rPr>
          <w:sz w:val="20"/>
          <w:szCs w:val="20"/>
        </w:rPr>
        <w:t xml:space="preserve"> ENHOGAR-MICS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6" w14:textId="77777777" w:rsidR="000446CC" w:rsidRDefault="00000000">
    <w:r>
      <w:rPr>
        <w:noProof/>
      </w:rPr>
      <w:drawing>
        <wp:anchor distT="0" distB="0" distL="0" distR="0" simplePos="0" relativeHeight="251658240" behindDoc="1" locked="0" layoutInCell="1" hidden="0" allowOverlap="1" wp14:anchorId="0B9DCE64" wp14:editId="7D7BEF88">
          <wp:simplePos x="0" y="0"/>
          <wp:positionH relativeFrom="column">
            <wp:posOffset>1</wp:posOffset>
          </wp:positionH>
          <wp:positionV relativeFrom="paragraph">
            <wp:posOffset>342900</wp:posOffset>
          </wp:positionV>
          <wp:extent cx="2655301" cy="39528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655301" cy="395288"/>
                  </a:xfrm>
                  <a:prstGeom prst="rect">
                    <a:avLst/>
                  </a:prstGeom>
                  <a:ln/>
                </pic:spPr>
              </pic:pic>
            </a:graphicData>
          </a:graphic>
        </wp:anchor>
      </w:drawing>
    </w:r>
    <w:r>
      <w:rPr>
        <w:noProof/>
      </w:rPr>
      <w:drawing>
        <wp:anchor distT="0" distB="0" distL="114300" distR="114300" simplePos="0" relativeHeight="251659264" behindDoc="0" locked="0" layoutInCell="1" allowOverlap="1" wp14:anchorId="585EEC28" wp14:editId="5BABC91F">
          <wp:simplePos x="0" y="0"/>
          <wp:positionH relativeFrom="column">
            <wp:posOffset>4410075</wp:posOffset>
          </wp:positionH>
          <wp:positionV relativeFrom="paragraph">
            <wp:posOffset>-9525</wp:posOffset>
          </wp:positionV>
          <wp:extent cx="1323975" cy="920324"/>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l="6342" r="72703" b="23490"/>
                  <a:stretch>
                    <a:fillRect/>
                  </a:stretch>
                </pic:blipFill>
                <pic:spPr>
                  <a:xfrm>
                    <a:off x="0" y="0"/>
                    <a:ext cx="1323975" cy="920324"/>
                  </a:xfrm>
                  <a:prstGeom prst="rect">
                    <a:avLst/>
                  </a:prstGeom>
                  <a:ln/>
                </pic:spPr>
              </pic:pic>
            </a:graphicData>
          </a:graphic>
          <wp14:sizeRelH relativeFrom="page">
            <wp14:pctWidth>0</wp14:pctWidth>
          </wp14:sizeRelH>
          <wp14:sizeRelV relativeFrom="page">
            <wp14:pctHeight>0</wp14:pctHeight>
          </wp14:sizeRelV>
        </wp:anchor>
      </w:drawing>
    </w:r>
  </w:p>
  <w:p w14:paraId="00000017" w14:textId="77777777" w:rsidR="000446CC" w:rsidRDefault="000446CC"/>
  <w:p w14:paraId="00000018" w14:textId="77777777" w:rsidR="000446CC" w:rsidRDefault="000446CC"/>
  <w:p w14:paraId="00000019" w14:textId="77777777" w:rsidR="000446CC" w:rsidRDefault="000446CC"/>
  <w:p w14:paraId="0000001A" w14:textId="77777777" w:rsidR="000446CC" w:rsidRDefault="000446CC"/>
  <w:p w14:paraId="0000001B" w14:textId="77777777" w:rsidR="000446CC" w:rsidRDefault="000446CC"/>
  <w:p w14:paraId="0000001C" w14:textId="77777777" w:rsidR="000446CC" w:rsidRDefault="00000000">
    <w:r>
      <w:rPr>
        <w:noProof/>
      </w:rPr>
      <w:drawing>
        <wp:anchor distT="0" distB="0" distL="0" distR="0" simplePos="0" relativeHeight="251660288" behindDoc="1" locked="0" layoutInCell="1" hidden="0" allowOverlap="1" wp14:anchorId="38D9EB75" wp14:editId="07777777">
          <wp:simplePos x="0" y="0"/>
          <wp:positionH relativeFrom="page">
            <wp:posOffset>395288</wp:posOffset>
          </wp:positionH>
          <wp:positionV relativeFrom="page">
            <wp:posOffset>971550</wp:posOffset>
          </wp:positionV>
          <wp:extent cx="6981825" cy="41910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l="6342" t="70470"/>
                  <a:stretch>
                    <a:fillRect/>
                  </a:stretch>
                </pic:blipFill>
                <pic:spPr>
                  <a:xfrm>
                    <a:off x="0" y="0"/>
                    <a:ext cx="6981825" cy="4191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E92B19"/>
    <w:multiLevelType w:val="hybridMultilevel"/>
    <w:tmpl w:val="E8688D7A"/>
    <w:lvl w:ilvl="0" w:tplc="1BF4CC3E">
      <w:start w:val="1"/>
      <w:numFmt w:val="bullet"/>
      <w:lvlText w:val=""/>
      <w:lvlJc w:val="left"/>
      <w:pPr>
        <w:ind w:left="720" w:hanging="360"/>
      </w:pPr>
      <w:rPr>
        <w:rFonts w:ascii="Symbol" w:hAnsi="Symbol" w:hint="default"/>
      </w:rPr>
    </w:lvl>
    <w:lvl w:ilvl="1" w:tplc="11EE2504">
      <w:start w:val="1"/>
      <w:numFmt w:val="bullet"/>
      <w:lvlText w:val="o"/>
      <w:lvlJc w:val="left"/>
      <w:pPr>
        <w:ind w:left="1440" w:hanging="360"/>
      </w:pPr>
      <w:rPr>
        <w:rFonts w:ascii="Courier New" w:hAnsi="Courier New" w:hint="default"/>
      </w:rPr>
    </w:lvl>
    <w:lvl w:ilvl="2" w:tplc="54EE7EC2">
      <w:start w:val="1"/>
      <w:numFmt w:val="bullet"/>
      <w:lvlText w:val=""/>
      <w:lvlJc w:val="left"/>
      <w:pPr>
        <w:ind w:left="2160" w:hanging="360"/>
      </w:pPr>
      <w:rPr>
        <w:rFonts w:ascii="Wingdings" w:hAnsi="Wingdings" w:hint="default"/>
      </w:rPr>
    </w:lvl>
    <w:lvl w:ilvl="3" w:tplc="78446638">
      <w:start w:val="1"/>
      <w:numFmt w:val="bullet"/>
      <w:lvlText w:val=""/>
      <w:lvlJc w:val="left"/>
      <w:pPr>
        <w:ind w:left="2880" w:hanging="360"/>
      </w:pPr>
      <w:rPr>
        <w:rFonts w:ascii="Symbol" w:hAnsi="Symbol" w:hint="default"/>
      </w:rPr>
    </w:lvl>
    <w:lvl w:ilvl="4" w:tplc="D07A4EA8">
      <w:start w:val="1"/>
      <w:numFmt w:val="bullet"/>
      <w:lvlText w:val="o"/>
      <w:lvlJc w:val="left"/>
      <w:pPr>
        <w:ind w:left="3600" w:hanging="360"/>
      </w:pPr>
      <w:rPr>
        <w:rFonts w:ascii="Courier New" w:hAnsi="Courier New" w:hint="default"/>
      </w:rPr>
    </w:lvl>
    <w:lvl w:ilvl="5" w:tplc="D92E6D1E">
      <w:start w:val="1"/>
      <w:numFmt w:val="bullet"/>
      <w:lvlText w:val=""/>
      <w:lvlJc w:val="left"/>
      <w:pPr>
        <w:ind w:left="4320" w:hanging="360"/>
      </w:pPr>
      <w:rPr>
        <w:rFonts w:ascii="Wingdings" w:hAnsi="Wingdings" w:hint="default"/>
      </w:rPr>
    </w:lvl>
    <w:lvl w:ilvl="6" w:tplc="88661BBA">
      <w:start w:val="1"/>
      <w:numFmt w:val="bullet"/>
      <w:lvlText w:val=""/>
      <w:lvlJc w:val="left"/>
      <w:pPr>
        <w:ind w:left="5040" w:hanging="360"/>
      </w:pPr>
      <w:rPr>
        <w:rFonts w:ascii="Symbol" w:hAnsi="Symbol" w:hint="default"/>
      </w:rPr>
    </w:lvl>
    <w:lvl w:ilvl="7" w:tplc="00B2ED1C">
      <w:start w:val="1"/>
      <w:numFmt w:val="bullet"/>
      <w:lvlText w:val="o"/>
      <w:lvlJc w:val="left"/>
      <w:pPr>
        <w:ind w:left="5760" w:hanging="360"/>
      </w:pPr>
      <w:rPr>
        <w:rFonts w:ascii="Courier New" w:hAnsi="Courier New" w:hint="default"/>
      </w:rPr>
    </w:lvl>
    <w:lvl w:ilvl="8" w:tplc="065EA29A">
      <w:start w:val="1"/>
      <w:numFmt w:val="bullet"/>
      <w:lvlText w:val=""/>
      <w:lvlJc w:val="left"/>
      <w:pPr>
        <w:ind w:left="6480" w:hanging="360"/>
      </w:pPr>
      <w:rPr>
        <w:rFonts w:ascii="Wingdings" w:hAnsi="Wingdings" w:hint="default"/>
      </w:rPr>
    </w:lvl>
  </w:abstractNum>
  <w:num w:numId="1" w16cid:durableId="43675933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633E41"/>
    <w:rsid w:val="000446CC"/>
    <w:rsid w:val="00352A51"/>
    <w:rsid w:val="007F6CBF"/>
    <w:rsid w:val="00831735"/>
    <w:rsid w:val="2A46E24D"/>
    <w:rsid w:val="2D98B80E"/>
    <w:rsid w:val="6AF7BFA7"/>
    <w:rsid w:val="79633E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46E73F3A"/>
  <w15:docId w15:val="{3DEBC21E-4BD1-4DDD-9250-69B42399D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MX" w:eastAsia="es-MX"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Ttulo2">
    <w:name w:val="heading 2"/>
    <w:basedOn w:val="Normal"/>
    <w:next w:val="Normal"/>
    <w:uiPriority w:val="9"/>
    <w:semiHidden/>
    <w:unhideWhenUsed/>
    <w:qFormat/>
    <w:pPr>
      <w:pBdr>
        <w:top w:val="nil"/>
        <w:left w:val="nil"/>
        <w:bottom w:val="nil"/>
        <w:right w:val="nil"/>
        <w:between w:val="nil"/>
      </w:pBdr>
      <w:spacing w:before="225" w:after="225"/>
      <w:outlineLvl w:val="1"/>
    </w:pPr>
    <w:rPr>
      <w:b/>
      <w:bCs/>
      <w:sz w:val="36"/>
      <w:szCs w:val="36"/>
    </w:rPr>
  </w:style>
  <w:style w:type="paragraph" w:styleId="Ttulo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Ttulo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Ttulo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Ttulo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ipervnculo">
    <w:name w:val="Hyperlink"/>
    <w:basedOn w:val="Fuentedeprrafopredeter"/>
    <w:uiPriority w:val="99"/>
    <w:unhideWhenUsed/>
    <w:rsid w:val="79633E41"/>
    <w:rPr>
      <w:color w:val="0000FF"/>
      <w:u w:val="single"/>
    </w:rPr>
  </w:style>
  <w:style w:type="paragraph" w:styleId="Textonotapie">
    <w:name w:val="footnote text"/>
    <w:basedOn w:val="Normal"/>
    <w:uiPriority w:val="99"/>
    <w:semiHidden/>
    <w:unhideWhenUsed/>
    <w:rsid w:val="79633E41"/>
    <w:rPr>
      <w:sz w:val="20"/>
      <w:szCs w:val="20"/>
    </w:rPr>
  </w:style>
  <w:style w:type="character" w:styleId="Refdenotaalpie">
    <w:name w:val="footnote reference"/>
    <w:basedOn w:val="Fuentedeprrafopredeter"/>
    <w:uiPriority w:val="99"/>
    <w:semiHidden/>
    <w:unhideWhenUsed/>
    <w:rsid w:val="79633E41"/>
    <w:rPr>
      <w:vertAlign w:val="superscript"/>
    </w:rPr>
  </w:style>
  <w:style w:type="paragraph" w:styleId="Prrafodelista">
    <w:name w:val="List Paragraph"/>
    <w:basedOn w:val="Normal"/>
    <w:uiPriority w:val="34"/>
    <w:qFormat/>
    <w:rsid w:val="79633E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onzalezpolanco@unfpa.org" TargetMode="External"/><Relationship Id="rId13" Type="http://schemas.openxmlformats.org/officeDocument/2006/relationships/hyperlink" Target="mailto:vhernandez@trendsetera.com.m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iguereodediaz@unfpa.org" TargetMode="External"/><Relationship Id="rId12" Type="http://schemas.openxmlformats.org/officeDocument/2006/relationships/hyperlink" Target="https://www.facebook.com/organonlata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organonlatam/?hl=es-la"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linkedin.com/company/organonlatam" TargetMode="External"/><Relationship Id="rId4" Type="http://schemas.openxmlformats.org/officeDocument/2006/relationships/webSettings" Target="webSettings.xml"/><Relationship Id="rId9" Type="http://schemas.openxmlformats.org/officeDocument/2006/relationships/hyperlink" Target="https://www.organon.com/latam/" TargetMode="External"/><Relationship Id="rId14" Type="http://schemas.openxmlformats.org/officeDocument/2006/relationships/hyperlink" Target="mailto:amoreno@trendsetera.com.m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es.scribd.com/document/1055152919/Infografi-a-embarazo-1t-2026-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1360</Words>
  <Characters>7480</Characters>
  <Application>Microsoft Office Word</Application>
  <DocSecurity>0</DocSecurity>
  <Lines>62</Lines>
  <Paragraphs>17</Paragraphs>
  <ScaleCrop>false</ScaleCrop>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Enrique Cruz</cp:lastModifiedBy>
  <cp:revision>2</cp:revision>
  <dcterms:created xsi:type="dcterms:W3CDTF">2026-10-28T17:13:00Z</dcterms:created>
  <dcterms:modified xsi:type="dcterms:W3CDTF">2026-10-28T17:14:00Z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1179920931</vt:i4>
  </property>
  <property fmtid="{D5CDD505-2E9C-101B-9397-08002B2CF9AE}" pid="3" name="_NewReviewCycle">
    <vt:lpwstr/>
  </property>
  <property fmtid="{D5CDD505-2E9C-101B-9397-08002B2CF9AE}" pid="4" name="_EmailSubject">
    <vt:lpwstr>Nota conceptual y programa: evento presentación Proyecto UNFPA - Organon</vt:lpwstr>
  </property>
  <property fmtid="{D5CDD505-2E9C-101B-9397-08002B2CF9AE}" pid="5" name="_AuthorEmail">
    <vt:lpwstr>laura.alejandra.avila@organon.com</vt:lpwstr>
  </property>
  <property fmtid="{D5CDD505-2E9C-101B-9397-08002B2CF9AE}" pid="6" name="_AuthorEmailDisplayName">
    <vt:lpwstr>Avila, Laura Alejandra</vt:lpwstr>
  </property>
</Properties>
</file>