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Press Release</w:t>
      </w:r>
      <w:r w:rsidDel="00000000" w:rsidR="00000000" w:rsidRPr="00000000">
        <w:drawing>
          <wp:anchor allowOverlap="1" behindDoc="1" distB="0" distT="0" distL="0" distR="0" hidden="0" layoutInCell="1" locked="0" relativeHeight="0" simplePos="0">
            <wp:simplePos x="0" y="0"/>
            <wp:positionH relativeFrom="column">
              <wp:posOffset>-19683</wp:posOffset>
            </wp:positionH>
            <wp:positionV relativeFrom="paragraph">
              <wp:posOffset>-346073</wp:posOffset>
            </wp:positionV>
            <wp:extent cx="1421765" cy="87820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highlight w:val="white"/>
          <w:rtl w:val="0"/>
        </w:rPr>
        <w:t xml:space="preserve">19 </w:t>
      </w:r>
      <w:r w:rsidDel="00000000" w:rsidR="00000000" w:rsidRPr="00000000">
        <w:rPr>
          <w:rFonts w:ascii="Century Gothic" w:cs="Century Gothic" w:eastAsia="Century Gothic" w:hAnsi="Century Gothic"/>
          <w:b w:val="1"/>
          <w:sz w:val="20"/>
          <w:szCs w:val="20"/>
          <w:rtl w:val="0"/>
        </w:rPr>
        <w:t xml:space="preserve">de junio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Edenred se une al CAC 40, índice bursátil de la Bolsa de París, formado por las 40 empresas más destacadas de Francia</w:t>
      </w: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La inclusión demuestra el incremento de la confianza de los inversionistas en la compañía, la cual se ha posicionado como una plataforma digital líder para servicios y pagos que conecta ya a 52 millones de usuarios y 2 millones de comerciantes asociados en 45 países, a través de 950,000 clientes corporativos.</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Este posicionamiento obedece también a su transformación para un crecimiento sustentable y rentable, que se ha duplicado entre 2015 y 2022, cuando su capitalización bursátil pasó de 4,400 millones de euros a 15,200.</w:t>
      </w:r>
    </w:p>
    <w:p w:rsidR="00000000" w:rsidDel="00000000" w:rsidP="00000000" w:rsidRDefault="00000000" w:rsidRPr="00000000" w14:paraId="00000009">
      <w:pPr>
        <w:spacing w:line="240" w:lineRule="auto"/>
        <w:ind w:lef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partir del 19 de junio de 2023, Edenred se une al CAC (Cotation Assistée en Continu) 40, el índice bursátil de referencia de la Bolsa de París, Francia, integrado por las 40 empresas (de 100) más destacadas con presencia en el país europeo. El índice toma su nombre del primer sistema de automatización de la bolsa parisina, también </w:t>
      </w:r>
      <w:r w:rsidDel="00000000" w:rsidR="00000000" w:rsidRPr="00000000">
        <w:rPr>
          <w:rFonts w:ascii="Century Gothic" w:cs="Century Gothic" w:eastAsia="Century Gothic" w:hAnsi="Century Gothic"/>
          <w:rtl w:val="0"/>
        </w:rPr>
        <w:t xml:space="preserve">conocida</w:t>
      </w:r>
      <w:r w:rsidDel="00000000" w:rsidR="00000000" w:rsidRPr="00000000">
        <w:rPr>
          <w:rFonts w:ascii="Century Gothic" w:cs="Century Gothic" w:eastAsia="Century Gothic" w:hAnsi="Century Gothic"/>
          <w:rtl w:val="0"/>
        </w:rPr>
        <w:t xml:space="preserve"> como Euronext Paris. La decisión fue tomada por su Comité de Expertos.</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La inclusión en el CAC 40 demuestra el incremento de la confianza de los inversionistas en el plan estratégico 'Beyond 22-25' de la compañía. Hoy, Edenred se ha posicionado como una plataforma digital líder para servicios y pagos y el compañero diario de las personas en los espacios de trabajo, que conecta ya a 52 millones de usuarios y 2 millones de comerciantes asociados en 45 países, a través de 950,000 clientes corporativos; todo ello ha impulsado el crecimiento de la compañía</w:t>
      </w:r>
      <w:r w:rsidDel="00000000" w:rsidR="00000000" w:rsidRPr="00000000">
        <w:rPr>
          <w:rFonts w:ascii="Century Gothic" w:cs="Century Gothic" w:eastAsia="Century Gothic" w:hAnsi="Century Gothic"/>
          <w:rtl w:val="0"/>
        </w:rPr>
        <w:t xml:space="preserve">”, explicó </w:t>
      </w:r>
      <w:r w:rsidDel="00000000" w:rsidR="00000000" w:rsidRPr="00000000">
        <w:rPr>
          <w:rFonts w:ascii="Century Gothic" w:cs="Century Gothic" w:eastAsia="Century Gothic" w:hAnsi="Century Gothic"/>
          <w:b w:val="1"/>
          <w:rtl w:val="0"/>
        </w:rPr>
        <w:t xml:space="preserve">Pablo Carunchio, Country Manager en Edenred México</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inclusión en el CAC 40 se da luego de que en septiembre de 2022, Edenred fue incluida en el mismo índice, pero en su apartado sobre medio ambiente, sociedad y gobierno (ESG CAC 40 Index). Esto por su compromiso con el desarrollo sustentable a nivel mundial. Edenred también ha hecho de los proyectos ambientales, sociales y gubernamentales (ASG), componente central de su desarrollo.</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Este compromiso se refleja en la política de Responsabilidad Social Corporativa del Grupo, "Ideal", lanzada en 2017, así como en el impacto positivo que las soluciones de Edenred tienen en el comportamiento de los usuarios, en particular proporcionando acceso a una alimentación sana y a una movilidad sostenible.</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Actualmente, Edenred cotiza en la bolsa Euronext de París y está incluida también en los índices CAC 40 ESG, CAC Large 60, SBF 120, Euronext 100, FTSE4Good y MSCI Europa. Este posicionamiento se debe a su presencia global y su  transformación para un crecimiento sustentable y rentable, que se ha duplicado entre 2016 y 2022 en indicadores como sus ingresos totales y EBITDA.</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 capitalización bursátil ha pasado de 4,400 millones de euros a finales de 2015 a 15,200 millones de euros el 8 de junio de 2023. El anuncio de la integración de Edenred en el CAC 40 se produce pocos meses después del lanzamiento en octubre de 2022 de su estrategia Beyond 22-25; en el cual se fijó objetivos financieros aún más ambiciosos que en su plan anterior, como la generación un crecimiento anual del EBITDA de más del 12% y una tasa de conversión anual de flujo de caja libre/EBITDA de más del 70%.</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8">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19">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1A">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1B">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1C">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1D">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1E">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1F">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20">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1">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2">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3">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4">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5">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26">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27">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28">
            <w:pPr>
              <w:spacing w:line="259" w:lineRule="auto"/>
              <w:rPr>
                <w:rFonts w:ascii="Century Gothic" w:cs="Century Gothic" w:eastAsia="Century Gothic" w:hAnsi="Century Gothic"/>
                <w:sz w:val="18"/>
                <w:szCs w:val="18"/>
              </w:rPr>
            </w:pPr>
            <w:hyperlink r:id="rId7">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29">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2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2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2C">
            <w:pPr>
              <w:spacing w:line="259" w:lineRule="auto"/>
              <w:rPr>
                <w:rFonts w:ascii="Century Gothic" w:cs="Century Gothic" w:eastAsia="Century Gothic" w:hAnsi="Century Gothic"/>
                <w:sz w:val="18"/>
                <w:szCs w:val="18"/>
              </w:rPr>
            </w:pPr>
            <w:hyperlink r:id="rId8">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1612548828102" w:hRule="atLeast"/>
          <w:tblHeader w:val="0"/>
        </w:trPr>
        <w:tc>
          <w:tcPr/>
          <w:p w:rsidR="00000000" w:rsidDel="00000000" w:rsidP="00000000" w:rsidRDefault="00000000" w:rsidRPr="00000000" w14:paraId="0000002D">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E">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r w:rsidDel="00000000" w:rsidR="00000000" w:rsidRPr="00000000">
              <w:rPr>
                <w:rtl w:val="0"/>
              </w:rPr>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w:t>
            </w:r>
            <w:r w:rsidDel="00000000" w:rsidR="00000000" w:rsidRPr="00000000">
              <w:rPr>
                <w:rFonts w:ascii="Century Gothic" w:cs="Century Gothic" w:eastAsia="Century Gothic" w:hAnsi="Century Gothic"/>
                <w:sz w:val="18"/>
                <w:szCs w:val="18"/>
                <w:rtl w:val="0"/>
              </w:rPr>
              <w:t xml:space="preserve">6376 6677</w:t>
            </w:r>
            <w:r w:rsidDel="00000000" w:rsidR="00000000" w:rsidRPr="00000000">
              <w:rPr>
                <w:rtl w:val="0"/>
              </w:rPr>
            </w:r>
          </w:p>
          <w:p w:rsidR="00000000" w:rsidDel="00000000" w:rsidP="00000000" w:rsidRDefault="00000000" w:rsidRPr="00000000" w14:paraId="00000031">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32">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3">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urelie.bagard@edenred.com" TargetMode="External"/><Relationship Id="rId8" Type="http://schemas.openxmlformats.org/officeDocument/2006/relationships/hyperlink" Target="mailto:victoria.balboa@edenr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