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entury Gothic" w:cs="Century Gothic" w:eastAsia="Century Gothic" w:hAnsi="Century Gothic"/>
          <w:b w:val="1"/>
          <w:color w:val="222222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</w:rPr>
        <w:drawing>
          <wp:inline distB="0" distT="0" distL="0" distR="0">
            <wp:extent cx="3064510" cy="1403985"/>
            <wp:effectExtent b="0" l="0" r="0" t="0"/>
            <wp:docPr descr="T_LogoC" id="1" name="image1.png"/>
            <a:graphic>
              <a:graphicData uri="http://schemas.openxmlformats.org/drawingml/2006/picture">
                <pic:pic>
                  <pic:nvPicPr>
                    <pic:cNvPr descr="T_LogoC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1403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jc w:val="center"/>
        <w:rPr>
          <w:rFonts w:ascii="Century Gothic" w:cs="Century Gothic" w:eastAsia="Century Gothic" w:hAnsi="Century Gothic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vraacs1v9eoa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8"/>
          <w:szCs w:val="28"/>
          <w:rtl w:val="0"/>
        </w:rPr>
        <w:t xml:space="preserve">Tissot PRX Powermatic 80: cuando lo de ayer es lo de hoy y viceversa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1dxf6axav5t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ky1p0pa392f" w:id="3"/>
      <w:bookmarkEnd w:id="3"/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rtl w:val="0"/>
        </w:rPr>
        <w:t xml:space="preserve">Ciudad de México, 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2"/>
          <w:szCs w:val="22"/>
          <w:rtl w:val="0"/>
        </w:rPr>
        <w:t xml:space="preserve"> de octubre de 2021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.- A finales de los años 70, la música y el mundo estaban viviendo cambios importantes. La libertad, la alegría y el ritmo dominaban el día y la noche, siendo la música disco, el hip-hop y el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sz w:val="22"/>
          <w:szCs w:val="22"/>
          <w:rtl w:val="0"/>
        </w:rPr>
        <w:t xml:space="preserve">house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los ejes rectores de esta época. Como muchas otras generaciones, ésta se regía por sus ritmos y estéticas, utilizando prendas y accesorios que 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simbolizaran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dicha pertenencia, como el Tissot PRX, el cual vuelve renovado para demostrar que los buenos tiempos nunca se han ido realmente. 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etoo9z9x70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cfcl793xhzm" w:id="5"/>
      <w:bookmarkEnd w:id="5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La vuelta del Tissot PRX Powermatic 80 también representa, a su vez, una mirada al presente y a lo que significa vivir el hoy y el ahora. Aunque existe una correspondencia de estilo entre aquella época y la actual, con tonos llamativos, el glamour y ese deseo constante por resaltar, al combinarlas surge algo totalmente nuevo: sofisticación y soltura, madurez y juventud, un estética de ayer que funciona hoy y de forma inversa.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3iwab45aun3j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rqopkf18c1r" w:id="7"/>
      <w:bookmarkEnd w:id="7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Este año, Tissot se ha inspirado en la moda disco de los setenta para presentar su PRX Automatic, un modelo nuevo y actualizado, un reloj sofisticado, de espíritu libre, con un estilo retro que viene a imponer una nueva moda. 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3dky3ykqus0a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nuqkcmz7263b" w:id="9"/>
      <w:bookmarkEnd w:id="9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El reloj se presenta con una campaña que se caracteriza por la alegría, mostrando a un joven arreglándose y preparándose para una noche muy prometedora, una estampa que probablemente sigue vigente desde hace años.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niww2f7vwzcg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i4gta63jwuas" w:id="11"/>
      <w:bookmarkEnd w:id="11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Esta campaña apuesta por un cambio en los códigos tradicionales de la relojería,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inspirándose en la vida para retratar la sofisticación del Tissot PRX Automatic. Fino, suave y con una estética que incorpora sutilmente los elementos de los años 70, el PRX Automatic actualizado viene con un movimiento Powermatic 80 y un estilo aún más atrevido que su antecesor de cuarzo. 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7t7i60t6e9vl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2784zkt7rres" w:id="13"/>
      <w:bookmarkEnd w:id="13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Perfecto para aquellos hombres que quieren divertirse con elegancia y utilizan los códigos básicos de un diseño llamativo para expresar su individualidad. Su silueta fina queda muy bien bajo el puño de una camisa o la manga de una chamarra, y combina a la perfección con el look elegido, sin quitarle ni un ápice de protagonismo y haciendo que su dueño brille y llegue siempre a tiempo.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i6378tnc2p9b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fv79d2c2aq76" w:id="15"/>
      <w:bookmarkEnd w:id="15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Las esferas con motivo grabado de cuadrícula en diversos colores y una caja ahusada distintiva convierten el PRX Automatic en un reloj de diseño atemporal que añade ese toque de frescura a cualquier look y hace que cualquiera se sienta listo para divertirse cuando quiera. 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pvhmqgdd0y0h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bookmarkStart w:colFirst="0" w:colLast="0" w:name="_eq5bqtfi7zc" w:id="17"/>
      <w:bookmarkEnd w:id="17"/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El Tissot PRX Powermatic 80 ya está disponible en la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tienda oficial de Tissot dentro de Mercado Libre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o en tiendas departamentales como Liverpool y Palacio de Hierro y cadenas joyeras.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jc w:val="left"/>
        <w:rPr>
          <w:rFonts w:ascii="Century Gothic" w:cs="Century Gothic" w:eastAsia="Century Gothic" w:hAnsi="Century Gothic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jc w:val="center"/>
        <w:rPr>
          <w:rFonts w:ascii="Century Gothic" w:cs="Century Gothic" w:eastAsia="Century Gothic" w:hAnsi="Century Gothic"/>
          <w:b w:val="1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rtl w:val="0"/>
        </w:rPr>
        <w:t xml:space="preserve">###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jc w:val="center"/>
        <w:rPr>
          <w:rFonts w:ascii="Century Gothic" w:cs="Century Gothic" w:eastAsia="Century Gothic" w:hAnsi="Century Gothic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1"/>
        <w:jc w:val="both"/>
        <w:rPr>
          <w:rFonts w:ascii="Century Gothic" w:cs="Century Gothic" w:eastAsia="Century Gothic" w:hAnsi="Century Gothic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ACERCA DE TISSOT:  </w:t>
      </w:r>
    </w:p>
    <w:p w:rsidR="00000000" w:rsidDel="00000000" w:rsidP="00000000" w:rsidRDefault="00000000" w:rsidRPr="00000000" w14:paraId="00000018">
      <w:pPr>
        <w:pageBreakBefore w:val="0"/>
        <w:widowControl w:val="1"/>
        <w:jc w:val="both"/>
        <w:rPr>
          <w:rFonts w:ascii="Century Gothic" w:cs="Century Gothic" w:eastAsia="Century Gothic" w:hAnsi="Century Gothic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El signo + de la bandera de Suiza que figura en el logotipo de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simboliza la calidad y fiabilidad suizas que la marca ha demostrado desde 1853. La venta de relojes en todo el mundo, con unas cifras de exportación que superan los 4 millones de unidades anuales, convierte 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en líder del sector de la relojería tradicional suiza.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permanece fiel a su lema: «Innovators by Tradition». La alta calidad de cada uno de los componentes de la marca goza de reconocimiento internacional.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ha sido nombrado cronometrador y socio oficial de múltiples citas deportivas internacionales en disciplinas como el baloncesto (NBA y FIBA), el ciclismo (Tour de Francia y Campeonatos del Mundo de Ciclismo UCI), los deportes de motor (MotoGP™ y Campeonatos del Mundo de Superbike FIM) y otros deportes como el hockey sobre hielo, la esgrima o el rugby. Entre sus productos estrella se cuentan el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T-Touch (el primer reloj táctil, presentado en 1999); el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Le Locle, un reloj automático, clásico y atemporal con 80 horas de reserva de marcha; y el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white"/>
          <w:rtl w:val="0"/>
        </w:rPr>
        <w:t xml:space="preserve">Tissot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 T-Race, el modelo de diseño deportivo por excelencia.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1"/>
        <w:jc w:val="both"/>
        <w:rPr>
          <w:rFonts w:ascii="Century Gothic" w:cs="Century Gothic" w:eastAsia="Century Gothic" w:hAnsi="Century Gothic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1"/>
        <w:spacing w:line="276" w:lineRule="auto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CONTACTO: </w:t>
      </w:r>
    </w:p>
    <w:p w:rsidR="00000000" w:rsidDel="00000000" w:rsidP="00000000" w:rsidRDefault="00000000" w:rsidRPr="00000000" w14:paraId="0000001B">
      <w:pPr>
        <w:pageBreakBefore w:val="0"/>
        <w:widowControl w:val="1"/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Daniela Dibildox / Sr. PR Expert</w:t>
      </w:r>
    </w:p>
    <w:p w:rsidR="00000000" w:rsidDel="00000000" w:rsidP="00000000" w:rsidRDefault="00000000" w:rsidRPr="00000000" w14:paraId="0000001C">
      <w:pPr>
        <w:pageBreakBefore w:val="0"/>
        <w:widowControl w:val="1"/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Tel: +52 5545233710  </w:t>
      </w:r>
    </w:p>
    <w:p w:rsidR="00000000" w:rsidDel="00000000" w:rsidP="00000000" w:rsidRDefault="00000000" w:rsidRPr="00000000" w14:paraId="0000001D">
      <w:pPr>
        <w:pageBreakBefore w:val="0"/>
        <w:widowControl w:val="1"/>
        <w:spacing w:line="276" w:lineRule="auto"/>
        <w:jc w:val="both"/>
        <w:rPr>
          <w:rFonts w:ascii="Century Gothic" w:cs="Century Gothic" w:eastAsia="Century Gothic" w:hAnsi="Century Gothic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daniela.dibildox@another.co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mercadolibre.com.mx/a/store/tissot" TargetMode="External"/><Relationship Id="rId8" Type="http://schemas.openxmlformats.org/officeDocument/2006/relationships/hyperlink" Target="mailto:daniela.dibildox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