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1DA5D" w14:textId="3F332A24" w:rsidR="004C53EC" w:rsidRPr="004C53EC" w:rsidRDefault="004C53EC" w:rsidP="004C53EC">
      <w:pPr>
        <w:jc w:val="center"/>
        <w:rPr>
          <w:rFonts w:ascii="Helvetica Neue Light" w:hAnsi="Helvetica Neue Light"/>
          <w:sz w:val="36"/>
          <w:szCs w:val="36"/>
        </w:rPr>
      </w:pPr>
      <w:r w:rsidRPr="004C53EC">
        <w:rPr>
          <w:rFonts w:ascii="Helvetica Neue Light" w:hAnsi="Helvetica Neue Light"/>
          <w:sz w:val="36"/>
          <w:szCs w:val="36"/>
        </w:rPr>
        <w:t>Telenet en TBWA gooien telecomlandschap overhoop met KING en KONG</w:t>
      </w:r>
    </w:p>
    <w:p w14:paraId="230F5217" w14:textId="77777777" w:rsidR="004C53EC" w:rsidRPr="004C53EC" w:rsidRDefault="004C53EC" w:rsidP="004C53EC">
      <w:pPr>
        <w:jc w:val="both"/>
        <w:rPr>
          <w:rFonts w:ascii="Helvetica Neue Light" w:hAnsi="Helvetica Neue Light"/>
          <w:sz w:val="16"/>
          <w:szCs w:val="16"/>
        </w:rPr>
      </w:pPr>
    </w:p>
    <w:p w14:paraId="09F2E97F" w14:textId="77777777" w:rsidR="004C53EC" w:rsidRPr="004C53EC" w:rsidRDefault="004C53EC" w:rsidP="004C53EC">
      <w:pPr>
        <w:shd w:val="clear" w:color="auto" w:fill="FFFFFF"/>
        <w:jc w:val="both"/>
        <w:rPr>
          <w:rFonts w:ascii="Helvetica Neue Light" w:hAnsi="Helvetica Neue Light"/>
          <w:b/>
          <w:sz w:val="24"/>
          <w:szCs w:val="26"/>
        </w:rPr>
      </w:pPr>
      <w:r w:rsidRPr="004C53EC">
        <w:rPr>
          <w:rFonts w:ascii="Helvetica Neue Light" w:hAnsi="Helvetica Neue Light"/>
          <w:b/>
          <w:sz w:val="24"/>
          <w:szCs w:val="26"/>
        </w:rPr>
        <w:t>Telenet kan het niet laten. Opnieuw trekken ze zich niets aan van de conventies en weer herschrijven ze de spelregels. Deze keer zetten ze de markt voor mobiele telefonie op z'n kop. Ze snoeien duchtig in de ondoorzichtige kostenstructuur en laten de hele tarievenjungle achter zich. Tot groot genoegen van de consument. </w:t>
      </w:r>
    </w:p>
    <w:p w14:paraId="1DCCF0CF" w14:textId="77777777" w:rsidR="004C53EC" w:rsidRPr="004C53EC" w:rsidRDefault="004C53EC" w:rsidP="004C53EC">
      <w:pPr>
        <w:shd w:val="clear" w:color="auto" w:fill="FFFFFF"/>
        <w:rPr>
          <w:rFonts w:ascii="Times" w:hAnsi="Times" w:cs="Arial"/>
          <w:noProof w:val="0"/>
          <w:color w:val="222222"/>
          <w:sz w:val="20"/>
          <w:szCs w:val="20"/>
        </w:rPr>
      </w:pPr>
    </w:p>
    <w:p w14:paraId="46F45A18" w14:textId="0E47B487" w:rsidR="004C53EC" w:rsidRPr="004C53EC" w:rsidRDefault="004C53EC" w:rsidP="004C53EC">
      <w:pPr>
        <w:shd w:val="clear" w:color="auto" w:fill="FFFFFF"/>
        <w:jc w:val="both"/>
        <w:rPr>
          <w:rFonts w:ascii="Helvetica Neue Light" w:hAnsi="Helvetica Neue Light"/>
          <w:b/>
          <w:sz w:val="22"/>
          <w:szCs w:val="26"/>
        </w:rPr>
      </w:pPr>
      <w:r w:rsidRPr="004C53EC">
        <w:rPr>
          <w:rFonts w:ascii="Helvetica Neue Light" w:hAnsi="Helvetica Neue Light"/>
          <w:b/>
          <w:sz w:val="22"/>
          <w:szCs w:val="26"/>
        </w:rPr>
        <w:t>Vanaf nu wordt alles oersimpel, want Telenet pakt uit met 2 daverende tariefplannen: KING en KONG. Gebruik je je toestel veel? Kies dan voor KING. Gebruik je 't belachelijk veel? Neem dan KONG. Voor respectievelijk 15 en 50 euro krijgen Telenet-klanten een pak meer dan ze verwachten voor die prijs. Vandaar het devies: "Eindelijk. Mobiel surfen, sms'en en bellen zonder tellen."</w:t>
      </w:r>
    </w:p>
    <w:p w14:paraId="392DCEFB" w14:textId="77777777" w:rsidR="004C53EC" w:rsidRPr="004C53EC" w:rsidRDefault="004C53EC" w:rsidP="004C53EC">
      <w:pPr>
        <w:shd w:val="clear" w:color="auto" w:fill="FFFFFF"/>
        <w:jc w:val="both"/>
        <w:rPr>
          <w:rFonts w:ascii="Helvetica Neue Light" w:hAnsi="Helvetica Neue Light"/>
          <w:b/>
          <w:sz w:val="22"/>
          <w:szCs w:val="26"/>
        </w:rPr>
      </w:pPr>
    </w:p>
    <w:p w14:paraId="273123F6" w14:textId="6FE5616D" w:rsidR="004C53EC" w:rsidRPr="004C53EC" w:rsidRDefault="00C51222" w:rsidP="004C53EC">
      <w:pPr>
        <w:shd w:val="clear" w:color="auto" w:fill="FFFFFF"/>
        <w:jc w:val="both"/>
        <w:rPr>
          <w:rFonts w:ascii="Helvetica Neue Light" w:hAnsi="Helvetica Neue Light"/>
          <w:b/>
          <w:sz w:val="22"/>
          <w:szCs w:val="26"/>
        </w:rPr>
      </w:pPr>
      <w:r>
        <w:rPr>
          <w:rFonts w:ascii="Helvetica Neue Light" w:hAnsi="Helvetica Neue Light"/>
          <w:b/>
          <w:sz w:val="22"/>
          <w:szCs w:val="26"/>
          <w:lang w:val="en-US"/>
        </w:rPr>
        <w:drawing>
          <wp:anchor distT="0" distB="0" distL="114300" distR="114300" simplePos="0" relativeHeight="251658240" behindDoc="0" locked="0" layoutInCell="1" allowOverlap="1" wp14:anchorId="3F8848DA" wp14:editId="0F897972">
            <wp:simplePos x="0" y="0"/>
            <wp:positionH relativeFrom="column">
              <wp:posOffset>17145</wp:posOffset>
            </wp:positionH>
            <wp:positionV relativeFrom="paragraph">
              <wp:posOffset>34290</wp:posOffset>
            </wp:positionV>
            <wp:extent cx="1240790" cy="3771900"/>
            <wp:effectExtent l="0" t="0" r="381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8-07 at 09.57.54.png"/>
                    <pic:cNvPicPr/>
                  </pic:nvPicPr>
                  <pic:blipFill>
                    <a:blip r:embed="rId8">
                      <a:extLst>
                        <a:ext uri="{28A0092B-C50C-407E-A947-70E740481C1C}">
                          <a14:useLocalDpi xmlns:a14="http://schemas.microsoft.com/office/drawing/2010/main" val="0"/>
                        </a:ext>
                      </a:extLst>
                    </a:blip>
                    <a:stretch>
                      <a:fillRect/>
                    </a:stretch>
                  </pic:blipFill>
                  <pic:spPr>
                    <a:xfrm>
                      <a:off x="0" y="0"/>
                      <a:ext cx="1240790" cy="3771900"/>
                    </a:xfrm>
                    <a:prstGeom prst="rect">
                      <a:avLst/>
                    </a:prstGeom>
                  </pic:spPr>
                </pic:pic>
              </a:graphicData>
            </a:graphic>
            <wp14:sizeRelH relativeFrom="page">
              <wp14:pctWidth>0</wp14:pctWidth>
            </wp14:sizeRelH>
            <wp14:sizeRelV relativeFrom="page">
              <wp14:pctHeight>0</wp14:pctHeight>
            </wp14:sizeRelV>
          </wp:anchor>
        </w:drawing>
      </w:r>
      <w:r w:rsidR="004C53EC" w:rsidRPr="004C53EC">
        <w:rPr>
          <w:rFonts w:ascii="Helvetica Neue Light" w:hAnsi="Helvetica Neue Light"/>
          <w:b/>
          <w:sz w:val="22"/>
          <w:szCs w:val="26"/>
        </w:rPr>
        <w:t>Hoe zet je nu zoiets op de markt? Nee, niet met een eerstegraads aap. Wél door de consument duidelijk te maken wat bedoeld wordt met "veel" en "belachelijk veel". Door een dame blanche van 27 bolletjes ijs met chocoladesaus te tonen naast de Mont Blanc met chocoladesaus, bijvoorbeeld. Zoals in de krantenadvertenties. Of door iemand blij te maken met een reuzenpot choco en vervolgens een heel palet reuzenpotten te laten aanrukken, zoals in de radiospots.</w:t>
      </w:r>
    </w:p>
    <w:p w14:paraId="2D6A460E" w14:textId="77777777" w:rsidR="004C53EC" w:rsidRPr="004C53EC" w:rsidRDefault="004C53EC" w:rsidP="004C53EC">
      <w:pPr>
        <w:shd w:val="clear" w:color="auto" w:fill="FFFFFF"/>
        <w:jc w:val="both"/>
        <w:rPr>
          <w:rFonts w:ascii="Helvetica Neue Light" w:hAnsi="Helvetica Neue Light"/>
          <w:b/>
          <w:sz w:val="22"/>
          <w:szCs w:val="26"/>
        </w:rPr>
      </w:pPr>
    </w:p>
    <w:p w14:paraId="233D54A8" w14:textId="77777777" w:rsidR="004C53EC" w:rsidRPr="004C53EC" w:rsidRDefault="004C53EC" w:rsidP="004C53EC">
      <w:pPr>
        <w:shd w:val="clear" w:color="auto" w:fill="FFFFFF"/>
        <w:jc w:val="both"/>
        <w:rPr>
          <w:rFonts w:ascii="Helvetica Neue Light" w:hAnsi="Helvetica Neue Light"/>
          <w:b/>
          <w:sz w:val="22"/>
          <w:szCs w:val="26"/>
        </w:rPr>
      </w:pPr>
      <w:r w:rsidRPr="004C53EC">
        <w:rPr>
          <w:rFonts w:ascii="Helvetica Neue Light" w:hAnsi="Helvetica Neue Light"/>
          <w:b/>
          <w:sz w:val="22"/>
          <w:szCs w:val="26"/>
        </w:rPr>
        <w:t>In de tv-spot maakt TBWA het nog bonter. Een practical joker besproeit de buurman met een gigantisch waterpistool. Waarop die prompt een blushelikopter bestelt die z'n lading dropt op de verraste grapjas. </w:t>
      </w:r>
    </w:p>
    <w:p w14:paraId="610E5CE1" w14:textId="77777777" w:rsidR="004C53EC" w:rsidRPr="004C53EC" w:rsidRDefault="004C53EC" w:rsidP="004C53EC">
      <w:pPr>
        <w:shd w:val="clear" w:color="auto" w:fill="FFFFFF"/>
        <w:jc w:val="both"/>
        <w:rPr>
          <w:rFonts w:ascii="Helvetica Neue Light" w:hAnsi="Helvetica Neue Light"/>
          <w:b/>
          <w:sz w:val="22"/>
          <w:szCs w:val="26"/>
        </w:rPr>
      </w:pPr>
    </w:p>
    <w:p w14:paraId="02E58508" w14:textId="77777777" w:rsidR="004C53EC" w:rsidRPr="004C53EC" w:rsidRDefault="004C53EC" w:rsidP="004C53EC">
      <w:pPr>
        <w:shd w:val="clear" w:color="auto" w:fill="FFFFFF"/>
        <w:jc w:val="both"/>
        <w:rPr>
          <w:rFonts w:ascii="Helvetica Neue Light" w:hAnsi="Helvetica Neue Light"/>
          <w:b/>
          <w:sz w:val="22"/>
          <w:szCs w:val="26"/>
        </w:rPr>
      </w:pPr>
      <w:r w:rsidRPr="004C53EC">
        <w:rPr>
          <w:rFonts w:ascii="Helvetica Neue Light" w:hAnsi="Helvetica Neue Light"/>
          <w:b/>
          <w:sz w:val="22"/>
          <w:szCs w:val="26"/>
        </w:rPr>
        <w:t>Maar het is niet allemààl om te lachen. De hele propositie steunt op keiharde, bloedserieuze cijfers. Pas als je de details ziet, besef je wat je krijgt. Daarom worden consumenten stelselmatig doorverwezen naar een online rekenmodule die ondubbelzinnig aantoont hoeveel voordeel KING of KONG oplevert. Dat gebeurt onder andere door een intensieve banneringcampagne en Facebook-ads. Consumenten kunnen daarnaast ook terecht in alle verdeelpunten van Telenet, die gepast werden aangekleed.</w:t>
      </w:r>
    </w:p>
    <w:p w14:paraId="7F0DFCC0" w14:textId="77777777" w:rsidR="004C53EC" w:rsidRPr="004C53EC" w:rsidRDefault="004C53EC" w:rsidP="004C53EC">
      <w:pPr>
        <w:shd w:val="clear" w:color="auto" w:fill="FFFFFF"/>
        <w:jc w:val="both"/>
        <w:rPr>
          <w:rFonts w:ascii="Helvetica Neue Light" w:hAnsi="Helvetica Neue Light"/>
          <w:b/>
          <w:sz w:val="22"/>
          <w:szCs w:val="26"/>
        </w:rPr>
      </w:pPr>
    </w:p>
    <w:p w14:paraId="43023FD9" w14:textId="5B628990" w:rsidR="00BB2AF8" w:rsidRDefault="004C53EC" w:rsidP="004C53EC">
      <w:pPr>
        <w:shd w:val="clear" w:color="auto" w:fill="FFFFFF"/>
        <w:jc w:val="both"/>
        <w:rPr>
          <w:rFonts w:ascii="Helvetica Neue Light" w:hAnsi="Helvetica Neue Light"/>
          <w:b/>
          <w:sz w:val="22"/>
          <w:szCs w:val="26"/>
        </w:rPr>
      </w:pPr>
      <w:r w:rsidRPr="004C53EC">
        <w:rPr>
          <w:rFonts w:ascii="Helvetica Neue Light" w:hAnsi="Helvetica Neue Light"/>
          <w:b/>
          <w:sz w:val="22"/>
          <w:szCs w:val="26"/>
        </w:rPr>
        <w:t>Wie er zeker niet om kan lachen is de concurrentie. Een vergelijkend onderzoek van Testaankoop wees uit dat de modale gebruiker aanzienlijk voordeel doet met een KING- of KONG-tarief, - enkele fanatieke mobiele surfers niet te na gesproken. Je mag dus gerust stellen dat de komst van KING en KONG diepe sporen zal nalaten in het t</w:t>
      </w:r>
      <w:r w:rsidR="00C51222">
        <w:rPr>
          <w:rFonts w:ascii="Helvetica Neue Light" w:hAnsi="Helvetica Neue Light"/>
          <w:b/>
          <w:sz w:val="22"/>
          <w:szCs w:val="26"/>
        </w:rPr>
        <w:t>elecomlandschap.</w:t>
      </w:r>
    </w:p>
    <w:p w14:paraId="6BBEFE88" w14:textId="77777777" w:rsidR="00721F88" w:rsidRDefault="00721F88" w:rsidP="004C53EC">
      <w:pPr>
        <w:shd w:val="clear" w:color="auto" w:fill="FFFFFF"/>
        <w:jc w:val="both"/>
        <w:rPr>
          <w:rFonts w:ascii="Helvetica Neue Light" w:hAnsi="Helvetica Neue Light"/>
          <w:b/>
          <w:sz w:val="22"/>
          <w:szCs w:val="26"/>
        </w:rPr>
      </w:pPr>
    </w:p>
    <w:p w14:paraId="193789F1" w14:textId="28E48125" w:rsidR="00721F88" w:rsidRPr="004C53EC" w:rsidRDefault="00721F88" w:rsidP="00721F88">
      <w:pPr>
        <w:jc w:val="both"/>
        <w:rPr>
          <w:rFonts w:ascii="Helvetica Neue Light" w:hAnsi="Helvetica Neue Light"/>
          <w:b/>
          <w:sz w:val="22"/>
          <w:szCs w:val="26"/>
        </w:rPr>
      </w:pPr>
      <w:r w:rsidRPr="00721F88">
        <w:rPr>
          <w:rFonts w:ascii="Helvetica Neue Light" w:hAnsi="Helvetica Neue Light"/>
          <w:b/>
          <w:sz w:val="26"/>
          <w:szCs w:val="26"/>
        </w:rPr>
        <w:t>Neem voor meer info contact op met Ja</w:t>
      </w:r>
      <w:r>
        <w:rPr>
          <w:rFonts w:ascii="Helvetica Neue Light" w:hAnsi="Helvetica Neue Light"/>
          <w:b/>
          <w:sz w:val="26"/>
          <w:szCs w:val="26"/>
        </w:rPr>
        <w:t>n Macken bij TBWA op 02/6797500</w:t>
      </w:r>
      <w:bookmarkStart w:id="0" w:name="_GoBack"/>
      <w:bookmarkEnd w:id="0"/>
    </w:p>
    <w:sectPr w:rsidR="00721F88" w:rsidRPr="004C53EC" w:rsidSect="00FE4F03">
      <w:headerReference w:type="even" r:id="rId9"/>
      <w:headerReference w:type="default" r:id="rId10"/>
      <w:footerReference w:type="default" r:id="rId11"/>
      <w:headerReference w:type="first" r:id="rId12"/>
      <w:footerReference w:type="first" r:id="rId13"/>
      <w:pgSz w:w="11899" w:h="16838"/>
      <w:pgMar w:top="2268" w:right="1134" w:bottom="1701" w:left="1134" w:header="1134"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1D35E" w14:textId="77777777" w:rsidR="00140223" w:rsidRDefault="00140223">
      <w:r>
        <w:separator/>
      </w:r>
    </w:p>
  </w:endnote>
  <w:endnote w:type="continuationSeparator" w:id="0">
    <w:p w14:paraId="41148556" w14:textId="77777777" w:rsidR="00140223" w:rsidRDefault="0014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uturaLightTBWA">
    <w:altName w:val="Times New Roman"/>
    <w:panose1 w:val="00000000000000000000"/>
    <w:charset w:val="00"/>
    <w:family w:val="roman"/>
    <w:notTrueType/>
    <w:pitch w:val="default"/>
  </w:font>
  <w:font w:name="FuturaBookTBWA">
    <w:altName w:val="Cambria"/>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8000007F" w:usb1="0000000A" w:usb2="00000000" w:usb3="00000000" w:csb0="00000007"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4D7DC" w14:textId="77777777" w:rsidR="00140223" w:rsidRDefault="00140223" w:rsidP="00DE6D73">
    <w:pPr>
      <w:pStyle w:val="-TBWAHeaderFooter"/>
      <w:jc w:val="center"/>
    </w:pPr>
    <w:r>
      <w:t>TBWA\</w:t>
    </w:r>
  </w:p>
  <w:p w14:paraId="5429F65A" w14:textId="77777777" w:rsidR="00140223" w:rsidRPr="00DE6D73" w:rsidRDefault="00140223" w:rsidP="00DE6D73">
    <w:pPr>
      <w:pStyle w:val="-TBWAHeaderFooter"/>
      <w:jc w:val="center"/>
    </w:pPr>
    <w:r>
      <w:t>Kroonlaan 165 Avenue de la Couronne, B-1050 Brussels, Belgium, tel. +32 2 679 75 00, fax +32 2 679 75 10, </w:t>
    </w:r>
    <w:hyperlink r:id="rId1" w:history="1">
      <w:r>
        <w:rPr>
          <w:color w:val="2152A8"/>
          <w:u w:val="single" w:color="2152A8"/>
        </w:rPr>
        <w:t>www.tbwagroup.be</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BE21" w14:textId="77777777" w:rsidR="00140223" w:rsidRDefault="00140223">
    <w:pPr>
      <w:rPr>
        <w:noProof w:val="0"/>
        <w:lang w:val="fr-FR"/>
      </w:rPr>
    </w:pPr>
    <w:r>
      <w:rPr>
        <w:noProof w:val="0"/>
        <w:lang w:val="fr-FR"/>
      </w:rPr>
      <w:tab/>
      <w:t>165 Avenue de la Couronne/Kroonlaan — B-1050 Brussels</w:t>
    </w:r>
  </w:p>
  <w:p w14:paraId="34B6CD8F" w14:textId="77777777" w:rsidR="00140223" w:rsidRDefault="00140223">
    <w:r>
      <w:tab/>
      <w:t>Tel +32 2 6797500 — Fax +32 2 6797510 — www.tbwa.be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8432B" w14:textId="77777777" w:rsidR="00140223" w:rsidRDefault="00140223">
      <w:r>
        <w:separator/>
      </w:r>
    </w:p>
  </w:footnote>
  <w:footnote w:type="continuationSeparator" w:id="0">
    <w:p w14:paraId="44705EBC" w14:textId="77777777" w:rsidR="00140223" w:rsidRDefault="001402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6876" w14:textId="77777777" w:rsidR="00140223" w:rsidRDefault="00140223">
    <w:pPr>
      <w:framePr w:wrap="around" w:vAnchor="text" w:hAnchor="margin" w:xAlign="right" w:y="1"/>
    </w:pPr>
    <w:r>
      <w:fldChar w:fldCharType="begin"/>
    </w:r>
    <w:r>
      <w:instrText xml:space="preserve">PAGE  </w:instrText>
    </w:r>
    <w:r>
      <w:fldChar w:fldCharType="end"/>
    </w:r>
  </w:p>
  <w:p w14:paraId="0FD93F53" w14:textId="77777777" w:rsidR="00140223" w:rsidRDefault="00140223">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C6527" w14:textId="2182A1AA" w:rsidR="004C53EC" w:rsidRPr="007964AD" w:rsidRDefault="004C53EC" w:rsidP="004C53EC">
    <w:pPr>
      <w:rPr>
        <w:rFonts w:ascii="Helvetica Neue Light" w:hAnsi="Helvetica Neue Light"/>
        <w:sz w:val="26"/>
        <w:szCs w:val="26"/>
        <w:lang w:val="fr-FR"/>
      </w:rPr>
    </w:pPr>
    <w:r w:rsidRPr="00BC2AC5">
      <w:rPr>
        <w:sz w:val="17"/>
      </w:rPr>
      <w:drawing>
        <wp:anchor distT="0" distB="0" distL="114300" distR="114300" simplePos="0" relativeHeight="251658240" behindDoc="0" locked="0" layoutInCell="1" allowOverlap="1" wp14:anchorId="279F6351" wp14:editId="6E042F49">
          <wp:simplePos x="0" y="0"/>
          <wp:positionH relativeFrom="column">
            <wp:posOffset>5389245</wp:posOffset>
          </wp:positionH>
          <wp:positionV relativeFrom="paragraph">
            <wp:posOffset>-31750</wp:posOffset>
          </wp:positionV>
          <wp:extent cx="774700" cy="284480"/>
          <wp:effectExtent l="0" t="0" r="12700" b="0"/>
          <wp:wrapSquare wrapText="bothSides"/>
          <wp:docPr id="1"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extLst>
                      <a:ext uri="{28A0092B-C50C-407E-A947-70E740481C1C}">
                        <a14:useLocalDpi xmlns:a14="http://schemas.microsoft.com/office/drawing/2010/main" val="0"/>
                      </a:ext>
                    </a:extLst>
                  </a:blip>
                  <a:stretch>
                    <a:fillRect/>
                  </a:stretch>
                </pic:blipFill>
                <pic:spPr>
                  <a:xfrm>
                    <a:off x="0" y="0"/>
                    <a:ext cx="774700" cy="284480"/>
                  </a:xfrm>
                  <a:prstGeom prst="rect">
                    <a:avLst/>
                  </a:prstGeom>
                </pic:spPr>
              </pic:pic>
            </a:graphicData>
          </a:graphic>
          <wp14:sizeRelH relativeFrom="page">
            <wp14:pctWidth>0</wp14:pctWidth>
          </wp14:sizeRelH>
          <wp14:sizeRelV relativeFrom="page">
            <wp14:pctHeight>0</wp14:pctHeight>
          </wp14:sizeRelV>
        </wp:anchor>
      </w:drawing>
    </w:r>
    <w:r>
      <w:rPr>
        <w:rFonts w:ascii="Helvetica Neue Light" w:hAnsi="Helvetica Neue Light"/>
        <w:sz w:val="26"/>
        <w:szCs w:val="26"/>
        <w:lang w:val="fr-FR"/>
      </w:rPr>
      <w:t>Persbericht</w:t>
    </w:r>
    <w:r>
      <w:rPr>
        <w:rFonts w:ascii="Helvetica Neue Light" w:hAnsi="Helvetica Neue Light"/>
        <w:sz w:val="26"/>
        <w:szCs w:val="26"/>
        <w:lang w:val="fr-FR"/>
      </w:rPr>
      <w:t xml:space="preserve"> - </w:t>
    </w:r>
    <w:r w:rsidR="00721F88">
      <w:rPr>
        <w:rFonts w:ascii="Helvetica Neue Light" w:hAnsi="Helvetica Neue Light"/>
        <w:sz w:val="26"/>
        <w:szCs w:val="26"/>
        <w:lang w:val="fr-FR"/>
      </w:rPr>
      <w:t>8</w:t>
    </w:r>
    <w:r>
      <w:rPr>
        <w:rFonts w:ascii="Helvetica Neue Light" w:hAnsi="Helvetica Neue Light"/>
        <w:sz w:val="26"/>
        <w:szCs w:val="26"/>
        <w:lang w:val="fr-FR"/>
      </w:rPr>
      <w:t xml:space="preserve"> augustus</w:t>
    </w:r>
    <w:r w:rsidRPr="007964AD">
      <w:rPr>
        <w:rFonts w:ascii="Helvetica Neue Light" w:hAnsi="Helvetica Neue Light"/>
        <w:sz w:val="26"/>
        <w:szCs w:val="26"/>
        <w:lang w:val="fr-FR"/>
      </w:rPr>
      <w:t xml:space="preserve"> 2012</w:t>
    </w:r>
  </w:p>
  <w:p w14:paraId="0845955B" w14:textId="6C6970AB" w:rsidR="00140223" w:rsidRPr="00BC2AC5" w:rsidRDefault="00140223" w:rsidP="00C200E3">
    <w:pPr>
      <w:pStyle w:val="-TBWAHeaderFooter"/>
      <w:rPr>
        <w:sz w:val="17"/>
      </w:rPr>
    </w:pPr>
    <w:r w:rsidRPr="00BC2AC5">
      <w:rPr>
        <w:sz w:val="17"/>
      </w:rPr>
      <w:tab/>
    </w:r>
    <w:r w:rsidRPr="00BC2AC5">
      <w:rPr>
        <w:sz w:val="17"/>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5AFB" w14:textId="77777777" w:rsidR="00140223" w:rsidRPr="00BC2AC5" w:rsidRDefault="00140223" w:rsidP="00BC2AC5">
    <w:r>
      <w:tab/>
    </w:r>
    <w:r>
      <w:rPr>
        <w:lang w:val="en-US"/>
      </w:rPr>
      <w:drawing>
        <wp:inline distT="0" distB="0" distL="0" distR="0" wp14:anchorId="4007009A" wp14:editId="67AEFD24">
          <wp:extent cx="775257" cy="285021"/>
          <wp:effectExtent l="25400" t="0" r="12143" b="0"/>
          <wp:docPr id="5"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stretch>
                    <a:fillRect/>
                  </a:stretch>
                </pic:blipFill>
                <pic:spPr>
                  <a:xfrm>
                    <a:off x="0" y="0"/>
                    <a:ext cx="775257" cy="28502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7793"/>
    <w:multiLevelType w:val="multilevel"/>
    <w:tmpl w:val="5E6A9BC0"/>
    <w:lvl w:ilvl="0">
      <w:start w:val="1"/>
      <w:numFmt w:val="decimal"/>
      <w:pStyle w:val="-AgencyHeading1Numbered"/>
      <w:lvlText w:val="%1."/>
      <w:lvlJc w:val="left"/>
      <w:pPr>
        <w:ind w:left="567" w:hanging="567"/>
      </w:pPr>
      <w:rPr>
        <w:rFonts w:hint="default"/>
      </w:rPr>
    </w:lvl>
    <w:lvl w:ilvl="1">
      <w:start w:val="1"/>
      <w:numFmt w:val="decimal"/>
      <w:pStyle w:val="-AgencyHeading2Numbered"/>
      <w:lvlText w:val="%1.%2"/>
      <w:lvlJc w:val="left"/>
      <w:pPr>
        <w:ind w:left="567" w:hanging="567"/>
      </w:pPr>
      <w:rPr>
        <w:rFonts w:hint="default"/>
      </w:rPr>
    </w:lvl>
    <w:lvl w:ilvl="2">
      <w:start w:val="1"/>
      <w:numFmt w:val="decimal"/>
      <w:pStyle w:val="-AgencyHeading3Numbered"/>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345B1C"/>
    <w:multiLevelType w:val="multilevel"/>
    <w:tmpl w:val="8014F37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TBWAHeading3Numbered"/>
      <w:lvlText w:val="%2.%1.%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5E3D17"/>
    <w:multiLevelType w:val="hybridMultilevel"/>
    <w:tmpl w:val="ABBE151A"/>
    <w:lvl w:ilvl="0" w:tplc="8E061D38">
      <w:start w:val="1"/>
      <w:numFmt w:val="bullet"/>
      <w:pStyle w:val="-AgencyNormalBulle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14384"/>
    <w:multiLevelType w:val="hybridMultilevel"/>
    <w:tmpl w:val="DCE004DC"/>
    <w:lvl w:ilvl="0" w:tplc="2B2A751C">
      <w:start w:val="1"/>
      <w:numFmt w:val="decimal"/>
      <w:pStyle w:val="-AgencyNormalNumbered"/>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D7487"/>
    <w:multiLevelType w:val="multilevel"/>
    <w:tmpl w:val="32D0B360"/>
    <w:lvl w:ilvl="0">
      <w:start w:val="1"/>
      <w:numFmt w:val="decimal"/>
      <w:pStyle w:val="-TBWA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9A6B3E"/>
    <w:multiLevelType w:val="hybridMultilevel"/>
    <w:tmpl w:val="C51E9A0E"/>
    <w:lvl w:ilvl="0" w:tplc="F616E15A">
      <w:start w:val="1"/>
      <w:numFmt w:val="bullet"/>
      <w:pStyle w:val="-TBWANormalBullets"/>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647"/>
        </w:tabs>
        <w:ind w:left="1647"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462DEC"/>
    <w:multiLevelType w:val="multilevel"/>
    <w:tmpl w:val="A0E4CEAA"/>
    <w:lvl w:ilvl="0">
      <w:start w:val="1"/>
      <w:numFmt w:val="decimal"/>
      <w:pStyle w:val="-TBWANormalNumbered"/>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287"/>
        </w:tabs>
        <w:ind w:left="1134" w:hanging="567"/>
      </w:pPr>
      <w:rPr>
        <w:rFonts w:hint="default"/>
      </w:rPr>
    </w:lvl>
    <w:lvl w:ilvl="3">
      <w:start w:val="1"/>
      <w:numFmt w:val="decimal"/>
      <w:lvlRestart w:val="0"/>
      <w:lvlText w:val="%4.%1.%2.%3"/>
      <w:lvlJc w:val="left"/>
      <w:pPr>
        <w:tabs>
          <w:tab w:val="num" w:pos="1931"/>
        </w:tabs>
        <w:ind w:left="1418" w:hanging="567"/>
      </w:pPr>
      <w:rPr>
        <w:rFonts w:hint="default"/>
      </w:rPr>
    </w:lvl>
    <w:lvl w:ilvl="4">
      <w:start w:val="1"/>
      <w:numFmt w:val="decimal"/>
      <w:lvlText w:val="%1.%2.%3.%4.%5."/>
      <w:lvlJc w:val="left"/>
      <w:pPr>
        <w:tabs>
          <w:tab w:val="num" w:pos="2574"/>
        </w:tabs>
        <w:ind w:left="1701" w:hanging="567"/>
      </w:pPr>
      <w:rPr>
        <w:rFonts w:hint="default"/>
      </w:rPr>
    </w:lvl>
    <w:lvl w:ilvl="5">
      <w:start w:val="1"/>
      <w:numFmt w:val="decimal"/>
      <w:lvlText w:val="%1.%2.%3.%4.%5.%6."/>
      <w:lvlJc w:val="left"/>
      <w:pPr>
        <w:tabs>
          <w:tab w:val="num" w:pos="2858"/>
        </w:tabs>
        <w:ind w:left="1985" w:hanging="567"/>
      </w:pPr>
      <w:rPr>
        <w:rFonts w:hint="default"/>
      </w:rPr>
    </w:lvl>
    <w:lvl w:ilvl="6">
      <w:start w:val="1"/>
      <w:numFmt w:val="decimal"/>
      <w:lvlText w:val="%1.%2.%3.%4.%5.%6.%7."/>
      <w:lvlJc w:val="left"/>
      <w:pPr>
        <w:tabs>
          <w:tab w:val="num" w:pos="3501"/>
        </w:tabs>
        <w:ind w:left="2268" w:hanging="567"/>
      </w:pPr>
      <w:rPr>
        <w:rFonts w:hint="default"/>
      </w:rPr>
    </w:lvl>
    <w:lvl w:ilvl="7">
      <w:start w:val="1"/>
      <w:numFmt w:val="decimal"/>
      <w:lvlText w:val="%1.%2.%3.%4.%5.%6.%7.%8."/>
      <w:lvlJc w:val="left"/>
      <w:pPr>
        <w:tabs>
          <w:tab w:val="num" w:pos="3785"/>
        </w:tabs>
        <w:ind w:left="2552" w:hanging="567"/>
      </w:pPr>
      <w:rPr>
        <w:rFonts w:hint="default"/>
      </w:rPr>
    </w:lvl>
    <w:lvl w:ilvl="8">
      <w:start w:val="1"/>
      <w:numFmt w:val="decimal"/>
      <w:lvlText w:val="%1.%2.%3.%4.%5.%6.%7.%8.%9."/>
      <w:lvlJc w:val="left"/>
      <w:pPr>
        <w:tabs>
          <w:tab w:val="num" w:pos="4428"/>
        </w:tabs>
        <w:ind w:left="2835" w:hanging="567"/>
      </w:pPr>
      <w:rPr>
        <w:rFonts w:hint="default"/>
      </w:rPr>
    </w:lvl>
  </w:abstractNum>
  <w:abstractNum w:abstractNumId="7">
    <w:nsid w:val="48BF16CE"/>
    <w:multiLevelType w:val="multilevel"/>
    <w:tmpl w:val="9D38198C"/>
    <w:lvl w:ilvl="0">
      <w:start w:val="1"/>
      <w:numFmt w:val="decimal"/>
      <w:lvlText w:val="%1."/>
      <w:lvlJc w:val="left"/>
      <w:pPr>
        <w:ind w:left="567" w:hanging="567"/>
      </w:pPr>
      <w:rPr>
        <w:rFonts w:hint="default"/>
      </w:rPr>
    </w:lvl>
    <w:lvl w:ilvl="1">
      <w:start w:val="1"/>
      <w:numFmt w:val="decimal"/>
      <w:pStyle w:val="-TBWAHeading2Numbered"/>
      <w:lvlText w:val="%1.%2"/>
      <w:lvlJc w:val="left"/>
      <w:pPr>
        <w:ind w:left="567" w:hanging="567"/>
      </w:pPr>
      <w:rPr>
        <w:rFonts w:hint="default"/>
      </w:rPr>
    </w:lvl>
    <w:lvl w:ilvl="2">
      <w:start w:val="1"/>
      <w:numFmt w:val="decimal"/>
      <w:lvlText w:val="%2.%1..%3"/>
      <w:lvlJc w:val="left"/>
      <w:pPr>
        <w:ind w:left="567" w:hanging="567"/>
      </w:pPr>
      <w:rPr>
        <w:rFonts w:hint="default"/>
      </w:rPr>
    </w:lvl>
    <w:lvl w:ilvl="3">
      <w:start w:val="1"/>
      <w:numFmt w:val="decimal"/>
      <w:lvlText w:val="%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5"/>
  </w:num>
  <w:num w:numId="4">
    <w:abstractNumId w:val="6"/>
  </w:num>
  <w:num w:numId="5">
    <w:abstractNumId w:val="5"/>
  </w:num>
  <w:num w:numId="6">
    <w:abstractNumId w:val="6"/>
  </w:num>
  <w:num w:numId="7">
    <w:abstractNumId w:val="0"/>
  </w:num>
  <w:num w:numId="8">
    <w:abstractNumId w:val="0"/>
  </w:num>
  <w:num w:numId="9">
    <w:abstractNumId w:val="0"/>
  </w:num>
  <w:num w:numId="10">
    <w:abstractNumId w:val="2"/>
  </w:num>
  <w:num w:numId="11">
    <w:abstractNumId w:val="3"/>
  </w:num>
  <w:num w:numId="12">
    <w:abstractNumId w:val="4"/>
  </w:num>
  <w:num w:numId="13">
    <w:abstractNumId w:val="7"/>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62"/>
    <w:rsid w:val="00032CC1"/>
    <w:rsid w:val="00117F0C"/>
    <w:rsid w:val="00140223"/>
    <w:rsid w:val="002670E1"/>
    <w:rsid w:val="00313AB3"/>
    <w:rsid w:val="003253E2"/>
    <w:rsid w:val="003C15AD"/>
    <w:rsid w:val="004A703B"/>
    <w:rsid w:val="004C53EC"/>
    <w:rsid w:val="005120AA"/>
    <w:rsid w:val="00633000"/>
    <w:rsid w:val="006551DF"/>
    <w:rsid w:val="00721F88"/>
    <w:rsid w:val="007964AD"/>
    <w:rsid w:val="00830501"/>
    <w:rsid w:val="008C6E63"/>
    <w:rsid w:val="008D49C4"/>
    <w:rsid w:val="00921688"/>
    <w:rsid w:val="00933C72"/>
    <w:rsid w:val="009510F1"/>
    <w:rsid w:val="00966C52"/>
    <w:rsid w:val="009A616D"/>
    <w:rsid w:val="009B54AA"/>
    <w:rsid w:val="00AB6244"/>
    <w:rsid w:val="00AC1AFF"/>
    <w:rsid w:val="00AE282C"/>
    <w:rsid w:val="00BB2AF8"/>
    <w:rsid w:val="00BB7928"/>
    <w:rsid w:val="00BC2AC5"/>
    <w:rsid w:val="00BC4199"/>
    <w:rsid w:val="00BD03AB"/>
    <w:rsid w:val="00C200E3"/>
    <w:rsid w:val="00C40F98"/>
    <w:rsid w:val="00C51222"/>
    <w:rsid w:val="00CB7761"/>
    <w:rsid w:val="00D51A7A"/>
    <w:rsid w:val="00D94774"/>
    <w:rsid w:val="00D94902"/>
    <w:rsid w:val="00DE6D73"/>
    <w:rsid w:val="00DF5262"/>
    <w:rsid w:val="00E22A38"/>
    <w:rsid w:val="00E55E07"/>
    <w:rsid w:val="00EC0036"/>
    <w:rsid w:val="00F848C4"/>
    <w:rsid w:val="00FD651B"/>
    <w:rsid w:val="00FE4F03"/>
    <w:rsid w:val="00FF0C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4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68884">
      <w:bodyDiv w:val="1"/>
      <w:marLeft w:val="0"/>
      <w:marRight w:val="0"/>
      <w:marTop w:val="0"/>
      <w:marBottom w:val="0"/>
      <w:divBdr>
        <w:top w:val="none" w:sz="0" w:space="0" w:color="auto"/>
        <w:left w:val="none" w:sz="0" w:space="0" w:color="auto"/>
        <w:bottom w:val="none" w:sz="0" w:space="0" w:color="auto"/>
        <w:right w:val="none" w:sz="0" w:space="0" w:color="auto"/>
      </w:divBdr>
      <w:divsChild>
        <w:div w:id="151916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861066">
              <w:marLeft w:val="0"/>
              <w:marRight w:val="0"/>
              <w:marTop w:val="0"/>
              <w:marBottom w:val="0"/>
              <w:divBdr>
                <w:top w:val="none" w:sz="0" w:space="0" w:color="auto"/>
                <w:left w:val="none" w:sz="0" w:space="0" w:color="auto"/>
                <w:bottom w:val="none" w:sz="0" w:space="0" w:color="auto"/>
                <w:right w:val="none" w:sz="0" w:space="0" w:color="auto"/>
              </w:divBdr>
              <w:divsChild>
                <w:div w:id="2007780283">
                  <w:marLeft w:val="0"/>
                  <w:marRight w:val="0"/>
                  <w:marTop w:val="0"/>
                  <w:marBottom w:val="0"/>
                  <w:divBdr>
                    <w:top w:val="none" w:sz="0" w:space="0" w:color="auto"/>
                    <w:left w:val="none" w:sz="0" w:space="0" w:color="auto"/>
                    <w:bottom w:val="none" w:sz="0" w:space="0" w:color="auto"/>
                    <w:right w:val="none" w:sz="0" w:space="0" w:color="auto"/>
                  </w:divBdr>
                  <w:divsChild>
                    <w:div w:id="17836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bwagroup.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TBWA Blanco.dotx</Template>
  <TotalTime>6</TotalTime>
  <Pages>1</Pages>
  <Words>349</Words>
  <Characters>1995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TBWA\BRUSSELS</vt:lpstr>
    </vt:vector>
  </TitlesOfParts>
  <Manager/>
  <Company>TBWA</Company>
  <LinksUpToDate>false</LinksUpToDate>
  <CharactersWithSpaces>2340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TBWA Memo</dc:title>
  <dc:subject/>
  <dc:creator>Frank Marinus</dc:creator>
  <cp:keywords/>
  <dc:description/>
  <cp:lastModifiedBy>Admin</cp:lastModifiedBy>
  <cp:revision>5</cp:revision>
  <cp:lastPrinted>2012-06-05T06:21:00Z</cp:lastPrinted>
  <dcterms:created xsi:type="dcterms:W3CDTF">2012-08-07T07:47:00Z</dcterms:created>
  <dcterms:modified xsi:type="dcterms:W3CDTF">2012-08-07T08:03:00Z</dcterms:modified>
  <cp:category/>
</cp:coreProperties>
</file>