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834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2348644" cy="471011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8644" cy="471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Times New Roman" w:cs="Times New Roman" w:eastAsia="Times New Roman" w:hAnsi="Times New Roman"/>
          <w:color w:val="000000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1257299</wp:posOffset>
                </wp:positionV>
                <wp:extent cx="7562850" cy="9455941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4575" y="0"/>
                          <a:ext cx="7562850" cy="9455941"/>
                          <a:chOff x="1564575" y="0"/>
                          <a:chExt cx="7562850" cy="7560000"/>
                        </a:xfrm>
                      </wpg:grpSpPr>
                      <wpg:grpSp>
                        <wpg:cNvGrpSpPr/>
                        <wpg:grpSpPr>
                          <a:xfrm>
                            <a:off x="1564575" y="0"/>
                            <a:ext cx="7562850" cy="7560000"/>
                            <a:chOff x="-231262" y="122401"/>
                            <a:chExt cx="7791572" cy="945138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231262" y="122401"/>
                              <a:ext cx="7791550" cy="945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122401"/>
                              <a:ext cx="7560310" cy="9451389"/>
                              <a:chOff x="0" y="0"/>
                              <a:chExt cx="7560310" cy="907478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7560300" cy="907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6350"/>
                                <a:ext cx="7560310" cy="387985"/>
                              </a:xfrm>
                              <a:custGeom>
                                <a:rect b="b" l="l" r="r" t="t"/>
                                <a:pathLst>
                                  <a:path extrusionOk="0" h="387985" w="7560310">
                                    <a:moveTo>
                                      <a:pt x="0" y="0"/>
                                    </a:moveTo>
                                    <a:lnTo>
                                      <a:pt x="7560310" y="0"/>
                                    </a:lnTo>
                                    <a:moveTo>
                                      <a:pt x="0" y="387985"/>
                                    </a:moveTo>
                                    <a:lnTo>
                                      <a:pt x="7560310" y="3879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2B54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153285" y="6350"/>
                                <a:ext cx="0" cy="90684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2B54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-19355" l="-42995" r="-21046" t="-43033"/>
                            <a:stretch/>
                          </pic:blipFill>
                          <pic:spPr>
                            <a:xfrm>
                              <a:off x="-231262" y="5505925"/>
                              <a:ext cx="2543775" cy="205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1257299</wp:posOffset>
                </wp:positionV>
                <wp:extent cx="7562850" cy="9455941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94559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310"/>
        <w:rPr/>
      </w:pPr>
      <w:r w:rsidDel="00000000" w:rsidR="00000000" w:rsidRPr="00000000">
        <w:rPr>
          <w:color w:val="001f5f"/>
          <w:rtl w:val="0"/>
        </w:rPr>
        <w:t xml:space="preserve">PRESS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" w:lineRule="auto"/>
        <w:ind w:left="3368" w:firstLine="0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Kuehne+Nagel América del Sur y Central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1" w:lineRule="auto"/>
        <w:ind w:left="3368" w:right="1380" w:firstLine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Kuehne+Nagel se posiciona como socio estratégico para impulsar el comercio electrónico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4320" w:right="138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2021 fueron más de 211 millones de pedidos digitales.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138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Apoyar el crecimiento de las empresas es una de las prioridades.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Arial" w:cs="Arial" w:eastAsia="Arial" w:hAnsi="Arial"/>
          <w:b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3368" w:right="11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Santiago / Chile, Octubre de 2022 – Kuehne+Nagel, empresa logística líder a nivel mundial, se prepara para asumir los desafíos e impulsar el comercio electrónico a nivel terrestre, marítimo y aéreo. El año pasado, se operaron más de 211 millones de pedidos digitales en sus 175 centros operativos, los cuales cubren 1.1 millones de m2 de instalaciones destinadas a la venta de comercio digital en 35 mercados conectados.</w:t>
      </w:r>
    </w:p>
    <w:p w:rsidR="00000000" w:rsidDel="00000000" w:rsidP="00000000" w:rsidRDefault="00000000" w:rsidRPr="00000000" w14:paraId="0000000F">
      <w:pPr>
        <w:spacing w:line="276" w:lineRule="auto"/>
        <w:ind w:left="3368" w:right="11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3368" w:right="1109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crecimiento del comercio electrónico es más rápido que en otros sectores, de acuerdo con </w:t>
      </w:r>
      <w:hyperlink r:id="rId10">
        <w:r w:rsidDel="00000000" w:rsidR="00000000" w:rsidRPr="00000000">
          <w:rPr>
            <w:rFonts w:ascii="Arial" w:cs="Arial" w:eastAsia="Arial" w:hAnsi="Arial"/>
            <w:u w:val="single"/>
            <w:rtl w:val="0"/>
          </w:rPr>
          <w:t xml:space="preserve">Statista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se proyecta que para el 2025 este sector supere los 105.500 millones de dólares, la cifra más alta registrada para este mercado.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La estrategia de Kuehne+Nagel consiste en unir las capacidades de toda la cadena de suministro de principio a fin, abarcando soluciones logísticas de entrada, fulfilment, transfronterizas, de última milla y devoluciones.  </w:t>
      </w:r>
    </w:p>
    <w:p w:rsidR="00000000" w:rsidDel="00000000" w:rsidP="00000000" w:rsidRDefault="00000000" w:rsidRPr="00000000" w14:paraId="00000011">
      <w:pPr>
        <w:spacing w:line="276" w:lineRule="auto"/>
        <w:ind w:right="1109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3368" w:right="1109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Es por ello que, de cara al futuro, Kuehne+Nagel invierte en tecnología que ayuda a crear una mejor experiencia para el usuario, facilitando una mayor visibilidad y entregando soluciones de cumplimiento más flexibles, junto con brindar apoyo para la entrega de pedidos transfronterizos. Esto, le permite a sus clientes de todo el mundo crecer hacia nuevos mercados, además de habilitar una mejor y más fiable estrategia de abastecimiento. Actualmente, el líder logístico presta servicio a más de </w:t>
      </w:r>
      <w:hyperlink r:id="rId11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400 mil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empresas internacionales, muchas de ellas desarrollando comercio electrónico a través de soluciones de fulfillment, transporte marítimo, aéreo y por carretera.</w:t>
      </w:r>
    </w:p>
    <w:p w:rsidR="00000000" w:rsidDel="00000000" w:rsidP="00000000" w:rsidRDefault="00000000" w:rsidRPr="00000000" w14:paraId="00000013">
      <w:pPr>
        <w:spacing w:line="276" w:lineRule="auto"/>
        <w:ind w:left="3368" w:right="1109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3368" w:right="1109" w:firstLine="0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Ingo Goldhammer, Presidente de Kuehne+Nagel para América del Sur y Central, destaca: “La revolución digital está ocurriendo y estamos preparados para ofrecer la mejor solución a los consumidores. Con el comercio electrónico, la expansión internacional es mucho más evidente que con otros negocios.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Somos los socios ideales porque nuestra experiencia, combinada con nuestra red local, conecta a las empresas de comercio electrónico con nuevos mercados”.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spacing w:line="276" w:lineRule="auto"/>
        <w:ind w:left="3368" w:right="11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3368" w:right="1109" w:firstLine="0"/>
        <w:jc w:val="both"/>
        <w:rPr>
          <w:rFonts w:ascii="Arial" w:cs="Arial" w:eastAsia="Arial" w:hAnsi="Arial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Eduardo Razuck, Vicepresidente de Logística de Contratos para las Américas, añade: "En Kuehne+Nagel ayudamos a empresas de todos los tamaños a ofrecer las mejores experiencias a sus clientes. Las apoyamos para competir en el comercio digital integrándolas con tecnología de compras y marketplaces".</w:t>
      </w:r>
    </w:p>
    <w:p w:rsidR="00000000" w:rsidDel="00000000" w:rsidP="00000000" w:rsidRDefault="00000000" w:rsidRPr="00000000" w14:paraId="00000017">
      <w:pPr>
        <w:spacing w:line="276" w:lineRule="auto"/>
        <w:ind w:left="3368" w:right="1109" w:firstLine="0"/>
        <w:jc w:val="center"/>
        <w:rPr>
          <w:rFonts w:ascii="Arial" w:cs="Arial" w:eastAsia="Arial" w:hAnsi="Arial"/>
          <w:highlight w:val="white"/>
        </w:rPr>
      </w:pPr>
      <w:bookmarkStart w:colFirst="0" w:colLast="0" w:name="_heading=h.jq8za3kax2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2" w:lineRule="auto"/>
        <w:ind w:right="1042"/>
        <w:jc w:val="both"/>
        <w:rPr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368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Sobre Kuehne+Nagel</w:t>
      </w:r>
    </w:p>
    <w:p w:rsidR="00000000" w:rsidDel="00000000" w:rsidP="00000000" w:rsidRDefault="00000000" w:rsidRPr="00000000" w14:paraId="0000001A">
      <w:pPr>
        <w:spacing w:before="87" w:line="338" w:lineRule="auto"/>
        <w:ind w:left="3368" w:right="111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 más de 79.000 empleados y más de 1.300 centros en más de 100 países, el Grupo Kuehne+Nagel es uno de los principales proveedores de logística del mundo. Opera en los sectores de la logística marítima, aérea, por carretera y de contratos, con un claro enfoque en soluciones logísticas integradas</w:t>
      </w:r>
      <w:r w:rsidDel="00000000" w:rsidR="00000000" w:rsidRPr="00000000">
        <w:rPr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tabs>
          <w:tab w:val="center" w:pos="4536"/>
          <w:tab w:val="right" w:pos="9072"/>
        </w:tabs>
        <w:spacing w:line="2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tabs>
          <w:tab w:val="center" w:pos="4536"/>
          <w:tab w:val="right" w:pos="9072"/>
        </w:tabs>
        <w:spacing w:line="26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Page 2 </w:t>
      </w:r>
      <w:r w:rsidDel="00000000" w:rsidR="00000000" w:rsidRPr="00000000">
        <w:rPr>
          <w:rtl w:val="0"/>
        </w:rPr>
      </w:r>
    </w:p>
    <w:sectPr>
      <w:headerReference r:id="rId12" w:type="first"/>
      <w:headerReference r:id="rId13" w:type="even"/>
      <w:footerReference r:id="rId14" w:type="first"/>
      <w:footerReference r:id="rId15" w:type="even"/>
      <w:pgSz w:h="16840" w:w="11910" w:orient="portrait"/>
      <w:pgMar w:bottom="0" w:top="640" w:left="460" w:right="0" w:header="357" w:footer="35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310"/>
    </w:pPr>
    <w:rPr>
      <w:rFonts w:ascii="Arial" w:cs="Arial" w:eastAsia="Arial" w:hAnsi="Arial"/>
      <w:b w:val="1"/>
      <w:sz w:val="30"/>
      <w:szCs w:val="30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spacing w:before="91"/>
      <w:ind w:left="310"/>
    </w:pPr>
    <w:rPr>
      <w:rFonts w:ascii="Arial" w:cs="Arial" w:eastAsia="Arial" w:hAnsi="Arial"/>
      <w:b w:val="1"/>
      <w:sz w:val="30"/>
      <w:szCs w:val="3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 w:val="1"/>
    <w:rsid w:val="0040536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2021-annual-report.kuehne-nagel.com/fileadmin/user_upload/KN_Uploads/pdf-Download/KN_CB_final_EN.pdf" TargetMode="External"/><Relationship Id="rId10" Type="http://schemas.openxmlformats.org/officeDocument/2006/relationships/hyperlink" Target="https://es.statista.com/grafico/22835/boom-del-e-commerce-en-latinoamerica/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3wQxamaBpv6t6AIYvFZfOx3aag==">AMUW2mXzMBVDlWMavkVIsDJrvTbeYB7LMWNieVb6xY8uTvWqE3ZNZPSpzsNYUMPxXH/wF8aXeC0oYztCQ2jv5xCRicyFTBpdkVvcRHIr3G8nxGW6SRqAmlOO0neKoiUczXGnf17Lw6tAJeRg0LILwISp6QZN1bm/gg==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2022-10-12T16:26:00Z</dcterms:created>
  <dc:creator>Lagno, Andrea / Kuehne + Nagel / Scl RM-K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5de889ffc5eec9deefa3cbb9fe220e12129500918b89437cb678f03bb0aaa73a</vt:lpwstr>
  </property>
</Properties>
</file>