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114300</wp:posOffset>
            </wp:positionV>
            <wp:extent cx="2262188" cy="66534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665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1838325</wp:posOffset>
            </wp:positionH>
            <wp:positionV relativeFrom="paragraph">
              <wp:posOffset>114300</wp:posOffset>
            </wp:positionV>
            <wp:extent cx="2262188" cy="66534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665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Qué dejó el 2021 a los emprendimientos 'proptech'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y qué se espera para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México es actualmente el segundo país con más iniciativas </w:t>
      </w:r>
      <w:r w:rsidDel="00000000" w:rsidR="00000000" w:rsidRPr="00000000">
        <w:rPr>
          <w:rtl w:val="0"/>
        </w:rPr>
        <w:t xml:space="preserve">proptech</w:t>
      </w:r>
      <w:r w:rsidDel="00000000" w:rsidR="00000000" w:rsidRPr="00000000">
        <w:rPr>
          <w:i w:val="1"/>
          <w:rtl w:val="0"/>
        </w:rPr>
        <w:t xml:space="preserve"> en la región, con más de 55 firmas que utilizan la tecnología para reinventar los servicios inmobiliarios.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Tan sólo en la primera mitad del año, Latinoamérica atrajo unos 6.2 mil mdd en capital de riesgo, sobre todo en los segmentos </w:t>
      </w:r>
      <w:r w:rsidDel="00000000" w:rsidR="00000000" w:rsidRPr="00000000">
        <w:rPr>
          <w:rtl w:val="0"/>
        </w:rPr>
        <w:t xml:space="preserve">proptech </w:t>
      </w:r>
      <w:r w:rsidDel="00000000" w:rsidR="00000000" w:rsidRPr="00000000">
        <w:rPr>
          <w:i w:val="1"/>
          <w:rtl w:val="0"/>
        </w:rPr>
        <w:t xml:space="preserve">y </w:t>
      </w:r>
      <w:r w:rsidDel="00000000" w:rsidR="00000000" w:rsidRPr="00000000">
        <w:rPr>
          <w:rtl w:val="0"/>
        </w:rPr>
        <w:t xml:space="preserve">fintech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04 de enero de 2022.-</w:t>
      </w:r>
      <w:r w:rsidDel="00000000" w:rsidR="00000000" w:rsidRPr="00000000">
        <w:rPr>
          <w:rtl w:val="0"/>
        </w:rPr>
        <w:t xml:space="preserve"> La emergencia sanitaria tuvo repercusiones en las empresas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, esas que utilizan la tecnología para mejorar, optimizar o reinventar los servicios inmobiliarios, con un 2020 con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inversiones</w:t>
        </w:r>
      </w:hyperlink>
      <w:r w:rsidDel="00000000" w:rsidR="00000000" w:rsidRPr="00000000">
        <w:rPr>
          <w:rtl w:val="0"/>
        </w:rPr>
        <w:t xml:space="preserve"> ligeramente menores que las del 2019, alcanzando los 571 millones de dólares (mdd) en Latinoamérica. Sin embargo, durante este año, el ecosistema mostró señales de recuperación, con una diversificación de </w:t>
      </w:r>
      <w:r w:rsidDel="00000000" w:rsidR="00000000" w:rsidRPr="00000000">
        <w:rPr>
          <w:i w:val="1"/>
          <w:rtl w:val="0"/>
        </w:rPr>
        <w:t xml:space="preserve">startups</w:t>
      </w:r>
      <w:r w:rsidDel="00000000" w:rsidR="00000000" w:rsidRPr="00000000">
        <w:rPr>
          <w:rtl w:val="0"/>
        </w:rPr>
        <w:t xml:space="preserve">, que han levantado sumas de capital sin precedentes para el desarrollo de sus modelos de negocio.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“La rebelión de los emprendedores </w:t>
      </w:r>
      <w:r w:rsidDel="00000000" w:rsidR="00000000" w:rsidRPr="00000000">
        <w:rPr>
          <w:rtl w:val="0"/>
        </w:rPr>
        <w:t xml:space="preserve">proptech</w:t>
      </w:r>
      <w:r w:rsidDel="00000000" w:rsidR="00000000" w:rsidRPr="00000000">
        <w:rPr>
          <w:i w:val="1"/>
          <w:rtl w:val="0"/>
        </w:rPr>
        <w:t xml:space="preserve"> sigue su curso en México. Durante el presente año, el país se colocó como el segundo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hub</w:t>
        </w:r>
      </w:hyperlink>
      <w:r w:rsidDel="00000000" w:rsidR="00000000" w:rsidRPr="00000000">
        <w:rPr>
          <w:i w:val="1"/>
          <w:rtl w:val="0"/>
        </w:rPr>
        <w:t xml:space="preserve"> a nivel regional, con más de 55 iniciativas que están reconfigurando el </w:t>
      </w:r>
      <w:r w:rsidDel="00000000" w:rsidR="00000000" w:rsidRPr="00000000">
        <w:rPr>
          <w:rtl w:val="0"/>
        </w:rPr>
        <w:t xml:space="preserve">real estate</w:t>
      </w:r>
      <w:r w:rsidDel="00000000" w:rsidR="00000000" w:rsidRPr="00000000">
        <w:rPr>
          <w:i w:val="1"/>
          <w:rtl w:val="0"/>
        </w:rPr>
        <w:t xml:space="preserve"> desde la innovación tecnológica, en mercados como la compra, venta y alquiler de propiedades, inversión, financiamiento y gestión; así, se prevé que el próximo año más segmentos tendrán la presencia </w:t>
      </w:r>
      <w:r w:rsidDel="00000000" w:rsidR="00000000" w:rsidRPr="00000000">
        <w:rPr>
          <w:rtl w:val="0"/>
        </w:rPr>
        <w:t xml:space="preserve">propech</w:t>
      </w:r>
      <w:r w:rsidDel="00000000" w:rsidR="00000000" w:rsidRPr="00000000">
        <w:rPr>
          <w:i w:val="1"/>
          <w:rtl w:val="0"/>
        </w:rPr>
        <w:t xml:space="preserve">”, </w:t>
      </w:r>
      <w:r w:rsidDel="00000000" w:rsidR="00000000" w:rsidRPr="00000000">
        <w:rPr>
          <w:rtl w:val="0"/>
        </w:rPr>
        <w:t xml:space="preserve">explica </w:t>
      </w:r>
      <w:r w:rsidDel="00000000" w:rsidR="00000000" w:rsidRPr="00000000">
        <w:rPr>
          <w:b w:val="1"/>
          <w:rtl w:val="0"/>
        </w:rPr>
        <w:t xml:space="preserve">Caterine Castillo, Cofundadora y CEO de</w:t>
      </w:r>
      <w:r w:rsidDel="00000000" w:rsidR="00000000" w:rsidRPr="00000000">
        <w:rPr>
          <w:b w:val="1"/>
          <w:rtl w:val="0"/>
        </w:rPr>
        <w:t xml:space="preserve"> </w:t>
      </w: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Neivor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líder en Latinoamérica que está revolucionando la forma de administrar y gestionar condominios con la plataforma más completa del mercado.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Con esto en mente, la experta comparte lo que el 2021 dejó a las </w:t>
      </w:r>
      <w:r w:rsidDel="00000000" w:rsidR="00000000" w:rsidRPr="00000000">
        <w:rPr>
          <w:i w:val="1"/>
          <w:rtl w:val="0"/>
        </w:rPr>
        <w:t xml:space="preserve">startups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y algunas tendencias que se esperan para el próximo año dentro de este ecosistema inmobiliario: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año de las grandes inversiones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Una de las principales conclusiones del año es la gran cantidad de rondas de inversión para el sector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provenientes de fondos internacionales. Según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reveló</w:t>
        </w:r>
      </w:hyperlink>
      <w:r w:rsidDel="00000000" w:rsidR="00000000" w:rsidRPr="00000000">
        <w:rPr>
          <w:rtl w:val="0"/>
        </w:rPr>
        <w:t xml:space="preserve"> TechCrunch, tan solo en la primera mitad del año la región atrajo unos 6.2 mil mdd en capital de riesgo, sobre todo en segmentos como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fintech</w:t>
      </w:r>
      <w:r w:rsidDel="00000000" w:rsidR="00000000" w:rsidRPr="00000000">
        <w:rPr>
          <w:rtl w:val="0"/>
        </w:rPr>
        <w:t xml:space="preserve">. Por otro lado, este año se organizaron los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Proptech Latam Awards</w:t>
        </w:r>
      </w:hyperlink>
      <w:r w:rsidDel="00000000" w:rsidR="00000000" w:rsidRPr="00000000">
        <w:rPr>
          <w:rtl w:val="0"/>
        </w:rPr>
        <w:t xml:space="preserve">, certamen al que se presentaron 184 empresas, de las cuales el 22% provenían de México, colocando al país como el que mayor número de postulaciones tuvo.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left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La democratización </w:t>
      </w:r>
      <w:r w:rsidDel="00000000" w:rsidR="00000000" w:rsidRPr="00000000">
        <w:rPr>
          <w:b w:val="1"/>
          <w:i w:val="1"/>
          <w:rtl w:val="0"/>
        </w:rPr>
        <w:t xml:space="preserve">proptech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acuerdo con el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análisis</w:t>
        </w:r>
      </w:hyperlink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Real estate technology trends 2022</w:t>
      </w:r>
      <w:r w:rsidDel="00000000" w:rsidR="00000000" w:rsidRPr="00000000">
        <w:rPr>
          <w:rtl w:val="0"/>
        </w:rPr>
        <w:t xml:space="preserve">”, de MRI Software, el </w:t>
      </w:r>
      <w:r w:rsidDel="00000000" w:rsidR="00000000" w:rsidRPr="00000000">
        <w:rPr>
          <w:i w:val="1"/>
          <w:rtl w:val="0"/>
        </w:rPr>
        <w:t xml:space="preserve">propech </w:t>
      </w:r>
      <w:r w:rsidDel="00000000" w:rsidR="00000000" w:rsidRPr="00000000">
        <w:rPr>
          <w:rtl w:val="0"/>
        </w:rPr>
        <w:t xml:space="preserve">ofrece al </w:t>
      </w:r>
      <w:r w:rsidDel="00000000" w:rsidR="00000000" w:rsidRPr="00000000">
        <w:rPr>
          <w:i w:val="1"/>
          <w:rtl w:val="0"/>
        </w:rPr>
        <w:t xml:space="preserve">real estate</w:t>
      </w:r>
      <w:r w:rsidDel="00000000" w:rsidR="00000000" w:rsidRPr="00000000">
        <w:rPr>
          <w:rtl w:val="0"/>
        </w:rPr>
        <w:t xml:space="preserve"> una especie de democratización. Y es que estas aplicaciones ya no serán exclusivas de las bienes raíces, sino que cada vez más serán aplicadas en áreas como la administración de trabajadores en instalaciones comerciales, oficinas o centros de distribución. Así, l</w:t>
      </w:r>
      <w:r w:rsidDel="00000000" w:rsidR="00000000" w:rsidRPr="00000000">
        <w:rPr>
          <w:rtl w:val="0"/>
        </w:rPr>
        <w:t xml:space="preserve">as organizaciones de todas las industrias están aprovechando la tecnología para optimizar el uso del espacio y la toma decisiones sobre las necesidades de éste.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La administración inteligente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este sentido, y derivado del punto anterior, el próximo año el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será la tecnología de referencia para conectar a la fuerza laboral con la administración de un lugar de trabajo, vinculando las bienes raíces, los recursos humanos</w:t>
      </w:r>
      <w:r w:rsidDel="00000000" w:rsidR="00000000" w:rsidRPr="00000000">
        <w:rPr>
          <w:rtl w:val="0"/>
        </w:rPr>
        <w:t xml:space="preserve"> y la administración de propiedades. Este último segmento ha ganado terreno en México con soluciones como </w:t>
      </w:r>
      <w:r w:rsidDel="00000000" w:rsidR="00000000" w:rsidRPr="00000000">
        <w:rPr>
          <w:i w:val="1"/>
          <w:rtl w:val="0"/>
        </w:rPr>
        <w:t xml:space="preserve">Neivor</w:t>
      </w:r>
      <w:r w:rsidDel="00000000" w:rsidR="00000000" w:rsidRPr="00000000">
        <w:rPr>
          <w:rtl w:val="0"/>
        </w:rPr>
        <w:t xml:space="preserve">, las cual permite a los administradores la automatización de tareas manuales como la gestión de cuotas y cobros, con reportes automáticos que ahorran tiempo y eliminan fricciones, al tiempo que mejoran la comunicación y disposición de amenidades para los residentes.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Tecnologías que prometen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Las tecnologías más prometedoras del </w:t>
      </w:r>
      <w:r w:rsidDel="00000000" w:rsidR="00000000" w:rsidRPr="00000000">
        <w:rPr>
          <w:i w:val="1"/>
          <w:rtl w:val="0"/>
        </w:rPr>
        <w:t xml:space="preserve">proptech</w:t>
      </w:r>
      <w:r w:rsidDel="00000000" w:rsidR="00000000" w:rsidRPr="00000000">
        <w:rPr>
          <w:rtl w:val="0"/>
        </w:rPr>
        <w:t xml:space="preserve"> son el uso de la inteligencia artificial y el </w:t>
      </w:r>
      <w:r w:rsidDel="00000000" w:rsidR="00000000" w:rsidRPr="00000000">
        <w:rPr>
          <w:i w:val="1"/>
          <w:rtl w:val="0"/>
        </w:rPr>
        <w:t xml:space="preserve">blockchain</w:t>
      </w:r>
      <w:r w:rsidDel="00000000" w:rsidR="00000000" w:rsidRPr="00000000">
        <w:rPr>
          <w:rtl w:val="0"/>
        </w:rPr>
        <w:t xml:space="preserve">, pues actualmente cada una de ellas sólo representa el 2% del número total de nuevas empresas del sector en el país. Sin duda, hay espacio para que muchas más </w:t>
      </w:r>
      <w:r w:rsidDel="00000000" w:rsidR="00000000" w:rsidRPr="00000000">
        <w:rPr>
          <w:i w:val="1"/>
          <w:rtl w:val="0"/>
        </w:rPr>
        <w:t xml:space="preserve">startups</w:t>
      </w:r>
      <w:r w:rsidDel="00000000" w:rsidR="00000000" w:rsidRPr="00000000">
        <w:rPr>
          <w:rtl w:val="0"/>
        </w:rPr>
        <w:t xml:space="preserve"> las utilicen en sus modelos de negocio. El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The State of PropTech in Mexico</w:t>
      </w:r>
      <w:r w:rsidDel="00000000" w:rsidR="00000000" w:rsidRPr="00000000">
        <w:rPr>
          <w:rtl w:val="0"/>
        </w:rPr>
        <w:t xml:space="preserve">”, de VCRC, concluye que las</w:t>
      </w:r>
      <w:r w:rsidDel="00000000" w:rsidR="00000000" w:rsidRPr="00000000">
        <w:rPr>
          <w:i w:val="1"/>
          <w:rtl w:val="0"/>
        </w:rPr>
        <w:t xml:space="preserve"> startups</w:t>
      </w:r>
      <w:r w:rsidDel="00000000" w:rsidR="00000000" w:rsidRPr="00000000">
        <w:rPr>
          <w:rtl w:val="0"/>
        </w:rPr>
        <w:t xml:space="preserve"> mexicanas todavía no emplean estas tecnologías de manera masiva, pero estamos comenzando a ver cómo las primeras lo hacen, lo cual significa un avance.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Gestión energética y sostenibilidad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 preocupaciones ambientales, sociales y de sostenibilidad tendrán impacto importante en el </w:t>
      </w:r>
      <w:r w:rsidDel="00000000" w:rsidR="00000000" w:rsidRPr="00000000">
        <w:rPr>
          <w:i w:val="1"/>
          <w:rtl w:val="0"/>
        </w:rPr>
        <w:t xml:space="preserve">proptech </w:t>
      </w:r>
      <w:r w:rsidDel="00000000" w:rsidR="00000000" w:rsidRPr="00000000">
        <w:rPr>
          <w:rtl w:val="0"/>
        </w:rPr>
        <w:t xml:space="preserve">a corto plazo. Retomando el reporte “</w:t>
      </w:r>
      <w:r w:rsidDel="00000000" w:rsidR="00000000" w:rsidRPr="00000000">
        <w:rPr>
          <w:i w:val="1"/>
          <w:rtl w:val="0"/>
        </w:rPr>
        <w:t xml:space="preserve">Real estate technology trends 2022</w:t>
      </w:r>
      <w:r w:rsidDel="00000000" w:rsidR="00000000" w:rsidRPr="00000000">
        <w:rPr>
          <w:rtl w:val="0"/>
        </w:rPr>
        <w:t xml:space="preserve">”, estos factores serán clave en las valoraciones, los arrendamientos y las decisiones de inversión en propiedades comerciales, donde generarán valor a partir de acciones como el ahorro de energía y el cuidado del ambiente a través de edificios sustentables. Aquí, las </w:t>
      </w:r>
      <w:r w:rsidDel="00000000" w:rsidR="00000000" w:rsidRPr="00000000">
        <w:rPr>
          <w:i w:val="1"/>
          <w:rtl w:val="0"/>
        </w:rPr>
        <w:t xml:space="preserve">protechs</w:t>
      </w:r>
      <w:r w:rsidDel="00000000" w:rsidR="00000000" w:rsidRPr="00000000">
        <w:rPr>
          <w:rtl w:val="0"/>
        </w:rPr>
        <w:t xml:space="preserve"> tendrán una ventana de oportunidad para diseñar soluciones que cumplan con estas expectativas.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Con el país como una de las puntas de lanza en el desarrollo </w:t>
      </w:r>
      <w:r w:rsidDel="00000000" w:rsidR="00000000" w:rsidRPr="00000000">
        <w:rPr>
          <w:rtl w:val="0"/>
        </w:rPr>
        <w:t xml:space="preserve">proptech</w:t>
      </w:r>
      <w:r w:rsidDel="00000000" w:rsidR="00000000" w:rsidRPr="00000000">
        <w:rPr>
          <w:i w:val="1"/>
          <w:rtl w:val="0"/>
        </w:rPr>
        <w:t xml:space="preserve"> en Latinoamérica, es muy probable que el 2022 esté marcado por importantes hitos que nos revelen más áreas de oportunidad de estas innovaciones basadas en datos, en realidad virtual y machine learning, entre otros, los cuales </w:t>
      </w:r>
      <w:r w:rsidDel="00000000" w:rsidR="00000000" w:rsidRPr="00000000">
        <w:rPr>
          <w:i w:val="1"/>
          <w:rtl w:val="0"/>
        </w:rPr>
        <w:t xml:space="preserve">agregarán</w:t>
      </w:r>
      <w:r w:rsidDel="00000000" w:rsidR="00000000" w:rsidRPr="00000000">
        <w:rPr>
          <w:i w:val="1"/>
          <w:rtl w:val="0"/>
        </w:rPr>
        <w:t xml:space="preserve"> mayor valor para inversionistas, propietarios e inquilinos en un entorno cambiante que espera la recuperación económica”, </w:t>
      </w:r>
      <w:r w:rsidDel="00000000" w:rsidR="00000000" w:rsidRPr="00000000">
        <w:rPr>
          <w:rtl w:val="0"/>
        </w:rPr>
        <w:t xml:space="preserve">concluye </w:t>
      </w:r>
      <w:r w:rsidDel="00000000" w:rsidR="00000000" w:rsidRPr="00000000">
        <w:rPr>
          <w:b w:val="1"/>
          <w:rtl w:val="0"/>
        </w:rPr>
        <w:t xml:space="preserve">Caterine Castillo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-o0o-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Sobre </w:t>
      </w:r>
      <w:hyperlink r:id="rId15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Neivor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Neivor es la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startup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líder en Latinoamérica que está revolucionando la forma de administrar y gestionar condominios con el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más completo del mercado. Fundada en Colombia en 2019 por Caterine Castillo, Paola Fuertes y Óscar Garzón, Neivor opera la administración de 3,300 condominios en Latinoamérica, con cerca de 290 mil residentes que usan la plataforma. Neivor elimina la fricción y las ineficiencias generadas actualmente por las reconciliaciones manuales y las transacciones basadas en efectivo. Con su plataforma, los administradores de edificios gestionan sus tareas de cara a los residentes dentro de una sola aplicación y los residentes pueden realizar sus pagos y mantenerse al día de todo lo que pasa en su edificio o condominio de forma fácil y sencilla.  Visita: </w:t>
      </w: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https://neivor.com/mx/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Síguenos en: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https://www.linkedin.com/company/neivor/about/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Instagram: </w:t>
      </w: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https://www.instagram.com/neivorlatam/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19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https://www.facebook.com/NeivorLatam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 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Salvador Sánchez | Sr. PR Executive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hyperlink r:id="rId2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Carmen Muñoz | PR Manager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Open Sans" w:cs="Open Sans" w:eastAsia="Open Sans" w:hAnsi="Open Sans"/>
          <w:sz w:val="20"/>
          <w:szCs w:val="20"/>
        </w:rPr>
      </w:pPr>
      <w:hyperlink r:id="rId2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carmen.munoz@another.co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alvador.sanchez@another.co" TargetMode="External"/><Relationship Id="rId11" Type="http://schemas.openxmlformats.org/officeDocument/2006/relationships/hyperlink" Target="https://techcrunch.com/2021/08/24/why-global-investors-are-flocking-to-back-latin-american-startups/" TargetMode="External"/><Relationship Id="rId10" Type="http://schemas.openxmlformats.org/officeDocument/2006/relationships/hyperlink" Target="https://neivor.com/mx/" TargetMode="External"/><Relationship Id="rId21" Type="http://schemas.openxmlformats.org/officeDocument/2006/relationships/hyperlink" Target="mailto:salvador.sanchez@another.co" TargetMode="External"/><Relationship Id="rId13" Type="http://schemas.openxmlformats.org/officeDocument/2006/relationships/hyperlink" Target="https://www.mrisoftware.com/blog/2022-real-estate-technology-trends/amp/" TargetMode="External"/><Relationship Id="rId12" Type="http://schemas.openxmlformats.org/officeDocument/2006/relationships/hyperlink" Target="https://proptechlatam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atista.com/statistics/1168739/proptech-latin-america/" TargetMode="External"/><Relationship Id="rId15" Type="http://schemas.openxmlformats.org/officeDocument/2006/relationships/hyperlink" Target="https://neivor.com/mx/" TargetMode="External"/><Relationship Id="rId14" Type="http://schemas.openxmlformats.org/officeDocument/2006/relationships/hyperlink" Target="https://www.orionstartups.com/research/the-state-of-proptech-in-mexico" TargetMode="External"/><Relationship Id="rId17" Type="http://schemas.openxmlformats.org/officeDocument/2006/relationships/hyperlink" Target="https://www.linkedin.com/company/neivor/about/" TargetMode="External"/><Relationship Id="rId16" Type="http://schemas.openxmlformats.org/officeDocument/2006/relationships/hyperlink" Target="https://neivor.com/mx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acebook.com/NeivorLatam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instagram.com/neivorlatam/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startupeable.com/wp-content/uploads/2021/05/final-proptech-vc-1024x734.p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