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EL CENTRO EDUCATIVO DELIA MORÁN CUMPLE CINCO AÑOS DE MEJORAR LA CALIDAD DE VIDA DE LA NIÑEZ DE LA RIVIERA NAYARIT</w:t>
      </w:r>
    </w:p>
    <w:p w:rsidR="00000000" w:rsidDel="00000000" w:rsidP="00000000" w:rsidRDefault="00000000" w:rsidRPr="00000000" w14:paraId="00000001">
      <w:pPr>
        <w:contextualSpacing w:val="0"/>
        <w:jc w:val="cente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2">
      <w:pPr>
        <w:contextualSpacing w:val="0"/>
        <w:jc w:val="cente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3">
      <w:pPr>
        <w:numPr>
          <w:ilvl w:val="0"/>
          <w:numId w:val="1"/>
        </w:numPr>
        <w:spacing w:after="0" w:before="0" w:lineRule="auto"/>
        <w:ind w:left="720" w:hanging="360"/>
        <w:contextualSpacing w:val="1"/>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Alrededor de 600 infantes y 2,000 familias se han beneficiado con los servicios y programas implementados por la Fundación Delia Morán Vidanta a lo largo de cinco años, cambiando así su perspectiva sobre la posibilidad de tener un mejor futuro.</w:t>
      </w:r>
    </w:p>
    <w:p w:rsidR="00000000" w:rsidDel="00000000" w:rsidP="00000000" w:rsidRDefault="00000000" w:rsidRPr="00000000" w14:paraId="00000004">
      <w:pPr>
        <w:contextualSpacing w:val="0"/>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5">
      <w:pPr>
        <w:contextualSpacing w:val="0"/>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6">
      <w:pPr>
        <w:contextualSpacing w:val="0"/>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Bahía de Banderas, Nayarit, a 10</w:t>
      </w:r>
      <w:r w:rsidDel="00000000" w:rsidR="00000000" w:rsidRPr="00000000">
        <w:rPr>
          <w:rFonts w:ascii="Century Gothic" w:cs="Century Gothic" w:eastAsia="Century Gothic" w:hAnsi="Century Gothic"/>
          <w:b w:val="1"/>
          <w:rtl w:val="0"/>
        </w:rPr>
        <w:t xml:space="preserve"> de septiembre de 2018.- </w:t>
      </w:r>
      <w:r w:rsidDel="00000000" w:rsidR="00000000" w:rsidRPr="00000000">
        <w:rPr>
          <w:rFonts w:ascii="Century Gothic" w:cs="Century Gothic" w:eastAsia="Century Gothic" w:hAnsi="Century Gothic"/>
          <w:rtl w:val="0"/>
        </w:rPr>
        <w:t xml:space="preserve">Fiel a su misión de enriquecer las vidas de niñas y niños de manera significativa y dinámica, la Fundación Delia Morán Vidanta celebrará el próximo 17 de septiembre, el 5º aniversario de su Centro Educativo, el cual combina materias básicas con valiosas actividades extracurriculares que fomentan el desarrollo de habilidades y los preparan para un futuro en el que cuenten con igualdad de oportunidades.</w:t>
      </w:r>
    </w:p>
    <w:p w:rsidR="00000000" w:rsidDel="00000000" w:rsidP="00000000" w:rsidRDefault="00000000" w:rsidRPr="00000000" w14:paraId="00000007">
      <w:pPr>
        <w:contextualSpacing w:val="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8">
      <w:pPr>
        <w:contextualSpacing w:val="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Fundada en 1988 con el apoyo de Grupo Vidanta –desarrollador líder de resorts e infraestructuras turísticas en México y Latinoamérica–, la Fundación Delia Morán Vidanta, entre muchas otras iniciativas, ha ofrecido servicios y programas extracurriculares a niñas y niños de bajos recursos de la Riviera Nayarit a través de su  Centro Educativo Delia Morán, fiel a su compromiso de crear un ambiente en el que la niñez cuente con el apoyo necesario para alcanzar su verdadero potencial con una serie de actividades académicas, artísticas y deportivas que permiten la formación integral de cada estudiante.</w:t>
      </w:r>
    </w:p>
    <w:p w:rsidR="00000000" w:rsidDel="00000000" w:rsidP="00000000" w:rsidRDefault="00000000" w:rsidRPr="00000000" w14:paraId="00000009">
      <w:pPr>
        <w:contextualSpacing w:val="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A">
      <w:pPr>
        <w:contextualSpacing w:val="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 2013 se inauguró el Centro Educativo Delia Morán y a lo largo de estos cinco años, sus magníficas instalaciones y extraordinarios programas, nos han permitido impactar positivamente en la vida de más de 600 niños y niñas de la Riviera Nayarit y las comunidades cercanas. No hay nada más satisfactorio para nosotros, que dotar de nuevas habilidades y contribuir en el desarrollo integral de la niñez de nuestro país”, señaló Naitzé García, coordinadora académica de la Fundación Delia Morán Vidanta.</w:t>
      </w:r>
    </w:p>
    <w:p w:rsidR="00000000" w:rsidDel="00000000" w:rsidP="00000000" w:rsidRDefault="00000000" w:rsidRPr="00000000" w14:paraId="0000000B">
      <w:pPr>
        <w:contextualSpacing w:val="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C">
      <w:pPr>
        <w:contextualSpacing w:val="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Los programas académicos del Centro Educativo Delia Morán están diseñados para niños y niñas entre los 6 y 12 años, etapa en la cual experimentan cambios significativos en sus intereses, personalidades y su comprensión del mundo; es decir, es el periodo en el que desarrollan habilidades cognitivas y sociales que mantendrán durante la vida adulta. Por lo que algunas de las clases que se imparten incluyen inglés, tecnología y computación, pensamiento creativo, inteligencia emocional, entre muchas otras.</w:t>
      </w:r>
    </w:p>
    <w:p w:rsidR="00000000" w:rsidDel="00000000" w:rsidP="00000000" w:rsidRDefault="00000000" w:rsidRPr="00000000" w14:paraId="0000000D">
      <w:pPr>
        <w:contextualSpacing w:val="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E">
      <w:pPr>
        <w:contextualSpacing w:val="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manera paralela, ofrecen también programas deportivos –debido al papel tan importante que los deportes juegan en el desarrollo de las habilidades motoras y de socialización–; y programas de artes –que les permiten expresar su ser interior mientras aprenden a crear y apreciar–. Las clases impartidas van desde natación, fútbol o tenis, hasta teatro, música o danza.</w:t>
      </w:r>
    </w:p>
    <w:p w:rsidR="00000000" w:rsidDel="00000000" w:rsidP="00000000" w:rsidRDefault="00000000" w:rsidRPr="00000000" w14:paraId="0000000F">
      <w:pPr>
        <w:contextualSpacing w:val="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0">
      <w:pPr>
        <w:contextualSpacing w:val="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Consciente de que, para materializar este esfuerzo en resultados, es necesario brindar apoyo más allá de las aulas, el Centro Educativo Delia Morán ofrece todos los servicios necesarios para que los infantes desarrollen al máximo su potencial: psicología educativa, asesoramiento nutricional y talleres para padres, así como servicios médicos.</w:t>
      </w:r>
    </w:p>
    <w:p w:rsidR="00000000" w:rsidDel="00000000" w:rsidP="00000000" w:rsidRDefault="00000000" w:rsidRPr="00000000" w14:paraId="00000011">
      <w:pPr>
        <w:contextualSpacing w:val="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2">
      <w:pPr>
        <w:contextualSpacing w:val="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 el Centro Educativo Delia Morán no solo nos hemos acercado a los niños y niñas, hemos ido mucho más allá al organizar actividades en las que involucramos a los padres de familia, impactando así a casi 2,000 familias en estos cinco años. Creemos firmemente que la familia es uno de los ejes más importantes para lograr el éxito de nuestros programas”, culminó García. </w:t>
      </w:r>
    </w:p>
    <w:p w:rsidR="00000000" w:rsidDel="00000000" w:rsidP="00000000" w:rsidRDefault="00000000" w:rsidRPr="00000000" w14:paraId="00000013">
      <w:pPr>
        <w:contextualSpacing w:val="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4">
      <w:pPr>
        <w:contextualSpacing w:val="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Para conocer más acerca de la Fundación Delia Morán Vidanta, su Centro Educativo o las historias de vida de los estudiantes, por favor visite </w:t>
      </w:r>
      <w:hyperlink r:id="rId6">
        <w:r w:rsidDel="00000000" w:rsidR="00000000" w:rsidRPr="00000000">
          <w:rPr>
            <w:rFonts w:ascii="Century Gothic" w:cs="Century Gothic" w:eastAsia="Century Gothic" w:hAnsi="Century Gothic"/>
            <w:color w:val="1155cc"/>
            <w:u w:val="single"/>
            <w:rtl w:val="0"/>
          </w:rPr>
          <w:t xml:space="preserve">www.fundaciondeliamoran.org</w:t>
        </w:r>
      </w:hyperlink>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15">
      <w:pPr>
        <w:contextualSpacing w:val="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6">
      <w:pPr>
        <w:contextualSpacing w:val="0"/>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17">
      <w:pPr>
        <w:contextualSpacing w:val="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8">
      <w:pPr>
        <w:contextualSpacing w:val="0"/>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Acerca de la Fundación Delia Morán Vidanta</w:t>
      </w:r>
    </w:p>
    <w:p w:rsidR="00000000" w:rsidDel="00000000" w:rsidP="00000000" w:rsidRDefault="00000000" w:rsidRPr="00000000" w14:paraId="00000019">
      <w:pPr>
        <w:contextualSpacing w:val="0"/>
        <w:jc w:val="both"/>
        <w:rPr>
          <w:rFonts w:ascii="Century Gothic" w:cs="Century Gothic" w:eastAsia="Century Gothic" w:hAnsi="Century Gothic"/>
          <w:sz w:val="18"/>
          <w:szCs w:val="18"/>
        </w:rPr>
      </w:pPr>
      <w:bookmarkStart w:colFirst="0" w:colLast="0" w:name="_gjdgxs" w:id="0"/>
      <w:bookmarkEnd w:id="0"/>
      <w:r w:rsidDel="00000000" w:rsidR="00000000" w:rsidRPr="00000000">
        <w:rPr>
          <w:rFonts w:ascii="Century Gothic" w:cs="Century Gothic" w:eastAsia="Century Gothic" w:hAnsi="Century Gothic"/>
          <w:sz w:val="18"/>
          <w:szCs w:val="18"/>
          <w:rtl w:val="0"/>
        </w:rPr>
        <w:t xml:space="preserve">Fundada en 1988 con el apoyo de Grupo Vidanta, la Fundación Delia Morán Vidanta ha permanecido fiel a su misión de enriquecer las vidas de niñas y niños de manera significativa y dinámica. A través de diferentes iniciativas, entre las que destacan servicios y programas extracurriculares, la Fundación ayuda a niñas y niños de bajos recursos de Riviera Nayarit y las comunidades cercanas a superar los obstáculos y a prepararlos para un futuro en el que cuenten con igualdad de oportunidades. Con el propósito de continuar con las metas de Delia Morán, profesora que dedicó su vida a la educación, en 2013 se inauguró el Centro Educativo Delia Morán. Desde entonces, el Centro ha ofrecido servicios y programas a más de 600 niñas y niños y alrededor de 2,000 familias. La profesora Delia Morán inspiró a cientos de estudiantes con su integridad, valores y una vida dedicada a atender las necesidades y desigualdades en México. Como madre del filántropo mexicano Daniel Chávez Morán, fundador de Grupo Vidanta, dejó un impacto positivo y duradero que acompañará a las generaciones futuras. Conoce más sobre Fundación Delia Morán Vidanta en</w:t>
      </w:r>
      <w:hyperlink r:id="rId7">
        <w:r w:rsidDel="00000000" w:rsidR="00000000" w:rsidRPr="00000000">
          <w:rPr>
            <w:rFonts w:ascii="Century Gothic" w:cs="Century Gothic" w:eastAsia="Century Gothic" w:hAnsi="Century Gothic"/>
            <w:sz w:val="18"/>
            <w:szCs w:val="18"/>
            <w:rtl w:val="0"/>
          </w:rPr>
          <w:t xml:space="preserve"> </w:t>
        </w:r>
      </w:hyperlink>
      <w:hyperlink r:id="rId8">
        <w:r w:rsidDel="00000000" w:rsidR="00000000" w:rsidRPr="00000000">
          <w:rPr>
            <w:rFonts w:ascii="Century Gothic" w:cs="Century Gothic" w:eastAsia="Century Gothic" w:hAnsi="Century Gothic"/>
            <w:color w:val="1155cc"/>
            <w:sz w:val="18"/>
            <w:szCs w:val="18"/>
            <w:u w:val="single"/>
            <w:rtl w:val="0"/>
          </w:rPr>
          <w:t xml:space="preserve">www.fundaciondeliamoran.org</w:t>
        </w:r>
      </w:hyperlink>
      <w:r w:rsidDel="00000000" w:rsidR="00000000" w:rsidRPr="00000000">
        <w:rPr>
          <w:rFonts w:ascii="Century Gothic" w:cs="Century Gothic" w:eastAsia="Century Gothic" w:hAnsi="Century Gothic"/>
          <w:sz w:val="18"/>
          <w:szCs w:val="18"/>
          <w:rtl w:val="0"/>
        </w:rPr>
        <w:t xml:space="preserve"> </w:t>
      </w:r>
    </w:p>
    <w:p w:rsidR="00000000" w:rsidDel="00000000" w:rsidP="00000000" w:rsidRDefault="00000000" w:rsidRPr="00000000" w14:paraId="0000001A">
      <w:pPr>
        <w:contextualSpacing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B">
      <w:pPr>
        <w:widowControl w:val="0"/>
        <w:spacing w:line="240" w:lineRule="auto"/>
        <w:contextualSpacing w:val="0"/>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CONTACTO</w:t>
      </w:r>
    </w:p>
    <w:p w:rsidR="00000000" w:rsidDel="00000000" w:rsidP="00000000" w:rsidRDefault="00000000" w:rsidRPr="00000000" w14:paraId="0000001C">
      <w:pPr>
        <w:widowControl w:val="0"/>
        <w:spacing w:line="240" w:lineRule="auto"/>
        <w:contextualSpacing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D">
      <w:pPr>
        <w:widowControl w:val="0"/>
        <w:spacing w:line="240" w:lineRule="auto"/>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Sandy Machuca</w:t>
      </w:r>
    </w:p>
    <w:p w:rsidR="00000000" w:rsidDel="00000000" w:rsidP="00000000" w:rsidRDefault="00000000" w:rsidRPr="00000000" w14:paraId="0000001E">
      <w:pPr>
        <w:widowControl w:val="0"/>
        <w:spacing w:line="240" w:lineRule="auto"/>
        <w:contextualSpacing w:val="0"/>
        <w:jc w:val="both"/>
        <w:rPr>
          <w:rFonts w:ascii="Century Gothic" w:cs="Century Gothic" w:eastAsia="Century Gothic" w:hAnsi="Century Gothic"/>
          <w:sz w:val="20"/>
          <w:szCs w:val="20"/>
        </w:rPr>
      </w:pPr>
      <w:hyperlink r:id="rId9">
        <w:r w:rsidDel="00000000" w:rsidR="00000000" w:rsidRPr="00000000">
          <w:rPr>
            <w:rFonts w:ascii="Century Gothic" w:cs="Century Gothic" w:eastAsia="Century Gothic" w:hAnsi="Century Gothic"/>
            <w:color w:val="1155cc"/>
            <w:sz w:val="20"/>
            <w:szCs w:val="20"/>
            <w:u w:val="single"/>
            <w:rtl w:val="0"/>
          </w:rPr>
          <w:t xml:space="preserve">sandy@another.co</w:t>
        </w:r>
      </w:hyperlink>
      <w:r w:rsidDel="00000000" w:rsidR="00000000" w:rsidRPr="00000000">
        <w:rPr>
          <w:rtl w:val="0"/>
        </w:rPr>
      </w:r>
    </w:p>
    <w:p w:rsidR="00000000" w:rsidDel="00000000" w:rsidP="00000000" w:rsidRDefault="00000000" w:rsidRPr="00000000" w14:paraId="0000001F">
      <w:pPr>
        <w:widowControl w:val="0"/>
        <w:spacing w:line="240" w:lineRule="auto"/>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Public Relations Manager</w:t>
      </w:r>
    </w:p>
    <w:p w:rsidR="00000000" w:rsidDel="00000000" w:rsidP="00000000" w:rsidRDefault="00000000" w:rsidRPr="00000000" w14:paraId="00000020">
      <w:pPr>
        <w:widowControl w:val="0"/>
        <w:spacing w:line="240" w:lineRule="auto"/>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Of. 6392.1100 Ext. 3415</w:t>
      </w:r>
    </w:p>
    <w:p w:rsidR="00000000" w:rsidDel="00000000" w:rsidP="00000000" w:rsidRDefault="00000000" w:rsidRPr="00000000" w14:paraId="00000021">
      <w:pPr>
        <w:widowControl w:val="0"/>
        <w:spacing w:line="240" w:lineRule="auto"/>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 04455 2270 5536</w:t>
      </w:r>
    </w:p>
    <w:p w:rsidR="00000000" w:rsidDel="00000000" w:rsidP="00000000" w:rsidRDefault="00000000" w:rsidRPr="00000000" w14:paraId="00000022">
      <w:pPr>
        <w:widowControl w:val="0"/>
        <w:spacing w:line="240" w:lineRule="auto"/>
        <w:contextualSpacing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3">
      <w:pPr>
        <w:widowControl w:val="0"/>
        <w:spacing w:line="240" w:lineRule="auto"/>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César Jasso</w:t>
      </w:r>
    </w:p>
    <w:p w:rsidR="00000000" w:rsidDel="00000000" w:rsidP="00000000" w:rsidRDefault="00000000" w:rsidRPr="00000000" w14:paraId="00000024">
      <w:pPr>
        <w:widowControl w:val="0"/>
        <w:spacing w:line="240" w:lineRule="auto"/>
        <w:contextualSpacing w:val="0"/>
        <w:jc w:val="both"/>
        <w:rPr>
          <w:rFonts w:ascii="Century Gothic" w:cs="Century Gothic" w:eastAsia="Century Gothic" w:hAnsi="Century Gothic"/>
          <w:sz w:val="20"/>
          <w:szCs w:val="20"/>
        </w:rPr>
      </w:pPr>
      <w:hyperlink r:id="rId10">
        <w:r w:rsidDel="00000000" w:rsidR="00000000" w:rsidRPr="00000000">
          <w:rPr>
            <w:rFonts w:ascii="Century Gothic" w:cs="Century Gothic" w:eastAsia="Century Gothic" w:hAnsi="Century Gothic"/>
            <w:color w:val="1155cc"/>
            <w:sz w:val="20"/>
            <w:szCs w:val="20"/>
            <w:u w:val="single"/>
            <w:rtl w:val="0"/>
          </w:rPr>
          <w:t xml:space="preserve">cesar.jasso@another.co</w:t>
        </w:r>
      </w:hyperlink>
      <w:r w:rsidDel="00000000" w:rsidR="00000000" w:rsidRPr="00000000">
        <w:rPr>
          <w:rtl w:val="0"/>
        </w:rPr>
      </w:r>
    </w:p>
    <w:p w:rsidR="00000000" w:rsidDel="00000000" w:rsidP="00000000" w:rsidRDefault="00000000" w:rsidRPr="00000000" w14:paraId="00000025">
      <w:pPr>
        <w:widowControl w:val="0"/>
        <w:spacing w:line="240" w:lineRule="auto"/>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Account Executive</w:t>
      </w:r>
    </w:p>
    <w:p w:rsidR="00000000" w:rsidDel="00000000" w:rsidP="00000000" w:rsidRDefault="00000000" w:rsidRPr="00000000" w14:paraId="00000026">
      <w:pPr>
        <w:widowControl w:val="0"/>
        <w:spacing w:line="240" w:lineRule="auto"/>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Of. 6392.1100</w:t>
      </w:r>
    </w:p>
    <w:p w:rsidR="00000000" w:rsidDel="00000000" w:rsidP="00000000" w:rsidRDefault="00000000" w:rsidRPr="00000000" w14:paraId="00000027">
      <w:pPr>
        <w:widowControl w:val="0"/>
        <w:spacing w:line="240" w:lineRule="auto"/>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 04455 5217 5036</w:t>
      </w:r>
    </w:p>
    <w:sectPr>
      <w:headerReference r:id="rId11"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contextualSpacing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1257300</wp:posOffset>
          </wp:positionH>
          <wp:positionV relativeFrom="paragraph">
            <wp:posOffset>228600</wp:posOffset>
          </wp:positionV>
          <wp:extent cx="3107127" cy="728663"/>
          <wp:effectExtent b="0" l="0" r="0" t="0"/>
          <wp:wrapSquare wrapText="bothSides" distB="0" distT="0" distL="114300" distR="114300"/>
          <wp:docPr descr="Logo%20GV/Grupo-Vidanta.jpg" id="1" name="image2.jpg"/>
          <a:graphic>
            <a:graphicData uri="http://schemas.openxmlformats.org/drawingml/2006/picture">
              <pic:pic>
                <pic:nvPicPr>
                  <pic:cNvPr descr="Logo%20GV/Grupo-Vidanta.jpg" id="0" name="image2.jpg"/>
                  <pic:cNvPicPr preferRelativeResize="0"/>
                </pic:nvPicPr>
                <pic:blipFill>
                  <a:blip r:embed="rId1"/>
                  <a:srcRect b="38629" l="18330" r="17039" t="38866"/>
                  <a:stretch>
                    <a:fillRect/>
                  </a:stretch>
                </pic:blipFill>
                <pic:spPr>
                  <a:xfrm>
                    <a:off x="0" y="0"/>
                    <a:ext cx="3107127" cy="728663"/>
                  </a:xfrm>
                  <a:prstGeom prst="rect"/>
                  <a:ln/>
                </pic:spPr>
              </pic:pic>
            </a:graphicData>
          </a:graphic>
        </wp:anchor>
      </w:drawing>
    </w:r>
  </w:p>
  <w:p w:rsidR="00000000" w:rsidDel="00000000" w:rsidP="00000000" w:rsidRDefault="00000000" w:rsidRPr="00000000" w14:paraId="00000029">
    <w:pPr>
      <w:contextualSpacing w:val="0"/>
      <w:rPr/>
    </w:pPr>
    <w:r w:rsidDel="00000000" w:rsidR="00000000" w:rsidRPr="00000000">
      <w:rPr>
        <w:rtl w:val="0"/>
      </w:rPr>
    </w:r>
  </w:p>
  <w:p w:rsidR="00000000" w:rsidDel="00000000" w:rsidP="00000000" w:rsidRDefault="00000000" w:rsidRPr="00000000" w14:paraId="0000002A">
    <w:pPr>
      <w:contextualSpacing w:val="0"/>
      <w:rPr/>
    </w:pPr>
    <w:r w:rsidDel="00000000" w:rsidR="00000000" w:rsidRPr="00000000">
      <w:rPr>
        <w:rtl w:val="0"/>
      </w:rPr>
    </w:r>
  </w:p>
  <w:p w:rsidR="00000000" w:rsidDel="00000000" w:rsidP="00000000" w:rsidRDefault="00000000" w:rsidRPr="00000000" w14:paraId="0000002B">
    <w:pPr>
      <w:contextualSpacing w:val="0"/>
      <w:rPr/>
    </w:pPr>
    <w:r w:rsidDel="00000000" w:rsidR="00000000" w:rsidRPr="00000000">
      <w:rPr>
        <w:rtl w:val="0"/>
      </w:rPr>
    </w:r>
  </w:p>
  <w:p w:rsidR="00000000" w:rsidDel="00000000" w:rsidP="00000000" w:rsidRDefault="00000000" w:rsidRPr="00000000" w14:paraId="0000002C">
    <w:pPr>
      <w:contextualSpacing w:val="0"/>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rtl w:val="0"/>
      </w:rPr>
    </w:r>
  </w:p>
  <w:p w:rsidR="00000000" w:rsidDel="00000000" w:rsidP="00000000" w:rsidRDefault="00000000" w:rsidRPr="00000000" w14:paraId="0000002E">
    <w:pP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cesar.jasso@another.co" TargetMode="External"/><Relationship Id="rId9" Type="http://schemas.openxmlformats.org/officeDocument/2006/relationships/hyperlink" Target="mailto:sandy@another.co" TargetMode="External"/><Relationship Id="rId5" Type="http://schemas.openxmlformats.org/officeDocument/2006/relationships/styles" Target="styles.xml"/><Relationship Id="rId6" Type="http://schemas.openxmlformats.org/officeDocument/2006/relationships/hyperlink" Target="https://www.fundaciondeliamoran.org/es/index.php" TargetMode="External"/><Relationship Id="rId7" Type="http://schemas.openxmlformats.org/officeDocument/2006/relationships/hyperlink" Target="https://www.fundaciondeliamoran.org/es/about.php" TargetMode="External"/><Relationship Id="rId8" Type="http://schemas.openxmlformats.org/officeDocument/2006/relationships/hyperlink" Target="https://www.fundaciondeliamoran.org/es/about.ph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