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Default="001572F2" w:rsidP="004278B1">
      <w:pPr>
        <w:pStyle w:val="NoSpacing"/>
        <w:ind w:left="993"/>
      </w:pPr>
    </w:p>
    <w:p w:rsidR="00B97593" w:rsidRDefault="00C41FB4" w:rsidP="006917E1">
      <w:pPr>
        <w:pStyle w:val="NoSpacing"/>
        <w:ind w:left="993"/>
      </w:pPr>
      <w:r>
        <w:rPr>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1990725</wp:posOffset>
                </wp:positionH>
                <wp:positionV relativeFrom="paragraph">
                  <wp:posOffset>66040</wp:posOffset>
                </wp:positionV>
                <wp:extent cx="4709795" cy="675640"/>
                <wp:effectExtent l="4445" t="0" r="63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D86" w:rsidRPr="00B5684E" w:rsidRDefault="00701D86" w:rsidP="00673D3E">
                            <w:pPr>
                              <w:spacing w:after="0" w:line="240" w:lineRule="auto"/>
                              <w:rPr>
                                <w:rFonts w:ascii="Rockwell" w:hAnsi="Rockwell" w:cs="Rockwell"/>
                                <w:color w:val="00AEEF"/>
                                <w:sz w:val="56"/>
                                <w:szCs w:val="56"/>
                                <w:lang w:val="nl-BE" w:eastAsia="nl-BE"/>
                              </w:rPr>
                            </w:pPr>
                            <w:r w:rsidRPr="00B5684E">
                              <w:rPr>
                                <w:rFonts w:ascii="Rockwell" w:hAnsi="Rockwell" w:cs="Rockwell"/>
                                <w:color w:val="00AEEF"/>
                                <w:sz w:val="56"/>
                                <w:szCs w:val="56"/>
                                <w:lang w:val="nl-BE" w:eastAsia="nl-BE"/>
                              </w:rPr>
                              <w:t>Persbericht</w:t>
                            </w:r>
                          </w:p>
                          <w:p w:rsidR="00701D86" w:rsidRPr="00B5684E" w:rsidRDefault="00701D86" w:rsidP="00673D3E">
                            <w:pPr>
                              <w:rPr>
                                <w:color w:val="003768"/>
                                <w:szCs w:val="20"/>
                                <w:lang w:val="nl-BE"/>
                              </w:rPr>
                            </w:pPr>
                            <w:r w:rsidRPr="00892218">
                              <w:rPr>
                                <w:rFonts w:ascii="Rockwell" w:hAnsi="Rockwell" w:cs="Rockwell"/>
                                <w:color w:val="003768"/>
                                <w:sz w:val="20"/>
                                <w:szCs w:val="20"/>
                                <w:lang w:val="nl-BE" w:eastAsia="nl-BE"/>
                              </w:rPr>
                              <w:t>Buiten beurstijd - Gereglementeerde informatie*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PMtwIAALk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" filled="f" stroked="f">
                <v:textbox>
                  <w:txbxContent>
                    <w:p w:rsidR="00701D86" w:rsidRPr="00B5684E" w:rsidRDefault="00701D86" w:rsidP="00673D3E">
                      <w:pPr>
                        <w:spacing w:after="0" w:line="240" w:lineRule="auto"/>
                        <w:rPr>
                          <w:rFonts w:ascii="Rockwell" w:hAnsi="Rockwell" w:cs="Rockwell"/>
                          <w:color w:val="00AEEF"/>
                          <w:sz w:val="56"/>
                          <w:szCs w:val="56"/>
                          <w:lang w:val="nl-BE" w:eastAsia="nl-BE"/>
                        </w:rPr>
                      </w:pPr>
                      <w:r w:rsidRPr="00B5684E">
                        <w:rPr>
                          <w:rFonts w:ascii="Rockwell" w:hAnsi="Rockwell" w:cs="Rockwell"/>
                          <w:color w:val="00AEEF"/>
                          <w:sz w:val="56"/>
                          <w:szCs w:val="56"/>
                          <w:lang w:val="nl-BE" w:eastAsia="nl-BE"/>
                        </w:rPr>
                        <w:t>Persbericht</w:t>
                      </w:r>
                    </w:p>
                    <w:p w:rsidR="00701D86" w:rsidRPr="00B5684E" w:rsidRDefault="00701D86" w:rsidP="00673D3E">
                      <w:pPr>
                        <w:rPr>
                          <w:color w:val="003768"/>
                          <w:szCs w:val="20"/>
                          <w:lang w:val="nl-BE"/>
                        </w:rPr>
                      </w:pPr>
                      <w:r w:rsidRPr="00892218">
                        <w:rPr>
                          <w:rFonts w:ascii="Rockwell" w:hAnsi="Rockwell" w:cs="Rockwell"/>
                          <w:color w:val="003768"/>
                          <w:sz w:val="20"/>
                          <w:szCs w:val="20"/>
                          <w:lang w:val="nl-BE" w:eastAsia="nl-BE"/>
                        </w:rPr>
                        <w:t>Buiten beurstijd - Gereglementeerde informatie*</w:t>
                      </w:r>
                    </w:p>
                  </w:txbxContent>
                </v:textbox>
              </v:shape>
            </w:pict>
          </mc:Fallback>
        </mc:AlternateContent>
      </w:r>
      <w:r w:rsidR="00571370">
        <w:rPr>
          <w:noProof/>
          <w:lang w:val="nl-BE" w:eastAsia="nl-BE"/>
        </w:rPr>
        <w:drawing>
          <wp:inline distT="0" distB="0" distL="0" distR="0">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9"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p w:rsidR="004278B1" w:rsidRDefault="004278B1" w:rsidP="00673D3E">
      <w:pPr>
        <w:pStyle w:val="NoSpacing"/>
        <w:ind w:left="1440"/>
        <w:rPr>
          <w:sz w:val="8"/>
          <w:szCs w:val="8"/>
        </w:rPr>
      </w:pPr>
    </w:p>
    <w:p w:rsidR="00FC36C2" w:rsidRPr="004278B1" w:rsidRDefault="00FC36C2" w:rsidP="00673D3E">
      <w:pPr>
        <w:pStyle w:val="NoSpacing"/>
        <w:ind w:left="1440"/>
        <w:rPr>
          <w:sz w:val="8"/>
          <w:szCs w:val="8"/>
        </w:rPr>
      </w:pPr>
    </w:p>
    <w:p w:rsidR="004278B1" w:rsidRDefault="00571370" w:rsidP="00FC36C2">
      <w:pPr>
        <w:pStyle w:val="NoSpacing"/>
        <w:ind w:left="284"/>
      </w:pPr>
      <w:r>
        <w:rPr>
          <w:noProof/>
          <w:lang w:val="nl-BE" w:eastAsia="nl-BE"/>
        </w:rPr>
        <w:drawing>
          <wp:inline distT="0" distB="0" distL="0" distR="0">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10"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574F3C" w:rsidRDefault="00574F3C" w:rsidP="002D344C">
      <w:pPr>
        <w:pStyle w:val="NoSpacing"/>
        <w:ind w:left="993"/>
      </w:pPr>
    </w:p>
    <w:p w:rsidR="00B91505" w:rsidRPr="00C41FB4" w:rsidRDefault="00B91505" w:rsidP="002D344C">
      <w:pPr>
        <w:ind w:left="993"/>
        <w:rPr>
          <w:color w:val="003768"/>
          <w:lang w:val="nl-BE"/>
        </w:rPr>
      </w:pPr>
      <w:r w:rsidRPr="00C41FB4">
        <w:rPr>
          <w:color w:val="003768"/>
          <w:lang w:val="nl-BE"/>
        </w:rPr>
        <w:t xml:space="preserve">Brussel, </w:t>
      </w:r>
      <w:r w:rsidR="00C41FB4" w:rsidRPr="00C41FB4">
        <w:rPr>
          <w:color w:val="003768"/>
          <w:lang w:val="nl-BE"/>
        </w:rPr>
        <w:t>1</w:t>
      </w:r>
      <w:r w:rsidR="00C41FB4">
        <w:rPr>
          <w:color w:val="003768"/>
          <w:lang w:val="nl-BE"/>
        </w:rPr>
        <w:t>3</w:t>
      </w:r>
      <w:r w:rsidRPr="00C41FB4">
        <w:rPr>
          <w:color w:val="003768"/>
          <w:lang w:val="nl-BE"/>
        </w:rPr>
        <w:t xml:space="preserve"> </w:t>
      </w:r>
      <w:r w:rsidR="00C41FB4">
        <w:rPr>
          <w:color w:val="003768"/>
          <w:lang w:val="nl-BE"/>
        </w:rPr>
        <w:t>november</w:t>
      </w:r>
      <w:r w:rsidRPr="00C41FB4">
        <w:rPr>
          <w:color w:val="003768"/>
          <w:lang w:val="nl-BE"/>
        </w:rPr>
        <w:t xml:space="preserve"> 201</w:t>
      </w:r>
      <w:r w:rsidR="00AF0348" w:rsidRPr="00C41FB4">
        <w:rPr>
          <w:color w:val="003768"/>
          <w:lang w:val="nl-BE"/>
        </w:rPr>
        <w:t>4</w:t>
      </w:r>
      <w:r w:rsidRPr="00C41FB4">
        <w:rPr>
          <w:color w:val="003768"/>
          <w:lang w:val="nl-BE"/>
        </w:rPr>
        <w:t xml:space="preserve"> (0</w:t>
      </w:r>
      <w:r w:rsidR="00C41FB4">
        <w:rPr>
          <w:color w:val="003768"/>
          <w:lang w:val="nl-BE"/>
        </w:rPr>
        <w:t>7</w:t>
      </w:r>
      <w:r w:rsidRPr="00C41FB4">
        <w:rPr>
          <w:color w:val="003768"/>
          <w:lang w:val="nl-BE"/>
        </w:rPr>
        <w:t>.00 a.m. CET)</w:t>
      </w:r>
    </w:p>
    <w:p w:rsidR="00B91505" w:rsidRPr="00C41FB4" w:rsidRDefault="00C41FB4" w:rsidP="002D344C">
      <w:pPr>
        <w:autoSpaceDE w:val="0"/>
        <w:autoSpaceDN w:val="0"/>
        <w:adjustRightInd w:val="0"/>
        <w:spacing w:after="0" w:line="240" w:lineRule="auto"/>
        <w:ind w:left="993" w:right="4"/>
        <w:rPr>
          <w:rFonts w:cs="Arial"/>
          <w:b/>
          <w:bCs/>
          <w:color w:val="003768"/>
          <w:sz w:val="28"/>
          <w:szCs w:val="28"/>
          <w:lang w:val="nl-BE"/>
        </w:rPr>
      </w:pPr>
      <w:r w:rsidRPr="00C41FB4">
        <w:rPr>
          <w:rFonts w:ascii="Rockwell" w:hAnsi="Rockwell" w:cs="Rockwell,Bold"/>
          <w:b/>
          <w:bCs/>
          <w:color w:val="00AEEF"/>
          <w:sz w:val="48"/>
          <w:szCs w:val="48"/>
          <w:lang w:val="nl-BE"/>
        </w:rPr>
        <w:t>Sterke resultaten en afronding van het desinvesteringsprogramma</w:t>
      </w:r>
    </w:p>
    <w:p w:rsidR="00B91505" w:rsidRPr="00C41FB4" w:rsidRDefault="00B91505" w:rsidP="002D344C">
      <w:pPr>
        <w:autoSpaceDE w:val="0"/>
        <w:autoSpaceDN w:val="0"/>
        <w:adjustRightInd w:val="0"/>
        <w:spacing w:after="0" w:line="240" w:lineRule="auto"/>
        <w:ind w:left="993" w:right="4"/>
        <w:rPr>
          <w:rFonts w:cs="Arial"/>
          <w:b/>
          <w:bCs/>
          <w:color w:val="003768"/>
          <w:sz w:val="28"/>
          <w:szCs w:val="28"/>
          <w:lang w:val="nl-BE"/>
        </w:rPr>
      </w:pPr>
    </w:p>
    <w:p w:rsidR="00840394" w:rsidRPr="00840394" w:rsidRDefault="00840394" w:rsidP="00840394">
      <w:pPr>
        <w:autoSpaceDE w:val="0"/>
        <w:autoSpaceDN w:val="0"/>
        <w:adjustRightInd w:val="0"/>
        <w:spacing w:after="120" w:line="240" w:lineRule="auto"/>
        <w:ind w:left="992" w:right="6"/>
        <w:jc w:val="both"/>
        <w:rPr>
          <w:rFonts w:cs="Arial"/>
          <w:b/>
          <w:bCs/>
          <w:color w:val="003768"/>
          <w:lang w:val="nl-BE"/>
        </w:rPr>
      </w:pPr>
      <w:r w:rsidRPr="00840394">
        <w:rPr>
          <w:rFonts w:cs="Arial"/>
          <w:b/>
          <w:bCs/>
          <w:color w:val="003768"/>
          <w:lang w:val="nl-BE"/>
        </w:rPr>
        <w:t>KBC sloot het derde kwartaal van 2014 af met een nettowinst van 591 miljoen euro, tegenover een nettowinst van 317 miljoen euro in het vorige kwartaal en 272 miljoen euro in het derde kwartaal van 2013.</w:t>
      </w:r>
    </w:p>
    <w:p w:rsidR="00840394" w:rsidRPr="00840394" w:rsidRDefault="00840394" w:rsidP="00840394">
      <w:pPr>
        <w:autoSpaceDE w:val="0"/>
        <w:autoSpaceDN w:val="0"/>
        <w:adjustRightInd w:val="0"/>
        <w:spacing w:after="120" w:line="240" w:lineRule="auto"/>
        <w:ind w:left="992" w:right="6"/>
        <w:contextualSpacing/>
        <w:jc w:val="both"/>
        <w:rPr>
          <w:rFonts w:cs="Arial"/>
          <w:b/>
          <w:bCs/>
          <w:color w:val="003768"/>
          <w:lang w:val="nl-BE"/>
        </w:rPr>
      </w:pPr>
      <w:r w:rsidRPr="00840394">
        <w:rPr>
          <w:rFonts w:cs="Arial"/>
          <w:b/>
          <w:bCs/>
          <w:color w:val="003768"/>
          <w:lang w:val="nl-BE"/>
        </w:rPr>
        <w:t xml:space="preserve">Als we de invloed van de </w:t>
      </w:r>
      <w:proofErr w:type="spellStart"/>
      <w:r w:rsidRPr="00840394">
        <w:rPr>
          <w:rFonts w:cs="Arial"/>
          <w:b/>
          <w:bCs/>
          <w:color w:val="003768"/>
          <w:lang w:val="nl-BE"/>
        </w:rPr>
        <w:t>legacy</w:t>
      </w:r>
      <w:proofErr w:type="spellEnd"/>
      <w:r w:rsidRPr="00840394">
        <w:rPr>
          <w:rFonts w:cs="Arial"/>
          <w:b/>
          <w:bCs/>
          <w:color w:val="003768"/>
          <w:lang w:val="nl-BE"/>
        </w:rPr>
        <w:t>-activiteiten (</w:t>
      </w:r>
      <w:proofErr w:type="spellStart"/>
      <w:r w:rsidRPr="00840394">
        <w:rPr>
          <w:rFonts w:cs="Arial"/>
          <w:b/>
          <w:bCs/>
          <w:color w:val="003768"/>
          <w:lang w:val="nl-BE"/>
        </w:rPr>
        <w:t>CDO’s</w:t>
      </w:r>
      <w:proofErr w:type="spellEnd"/>
      <w:r w:rsidRPr="00840394">
        <w:rPr>
          <w:rFonts w:cs="Arial"/>
          <w:b/>
          <w:bCs/>
          <w:color w:val="003768"/>
          <w:lang w:val="nl-BE"/>
        </w:rPr>
        <w:t>, desinvesteringen) en de waardering van het eigen kredietrisico niet in aanmerking nemen, bedroeg de aangepaste nettowinst 477 miljoen euro voor het derde kwartaal van 2014, tegenover 287 miljoen euro in het tweede kwartaal van 2014 en 457 miljoen euro in het derde kwartaal van 2013.</w:t>
      </w:r>
    </w:p>
    <w:p w:rsidR="00840394" w:rsidRPr="00840394" w:rsidRDefault="00840394" w:rsidP="00840394">
      <w:pPr>
        <w:autoSpaceDE w:val="0"/>
        <w:autoSpaceDN w:val="0"/>
        <w:adjustRightInd w:val="0"/>
        <w:spacing w:after="0" w:line="240" w:lineRule="auto"/>
        <w:ind w:left="993" w:right="4"/>
        <w:rPr>
          <w:rFonts w:cs="Arial"/>
          <w:b/>
          <w:bCs/>
          <w:color w:val="003768"/>
          <w:lang w:val="nl-BE"/>
        </w:rPr>
      </w:pPr>
    </w:p>
    <w:p w:rsidR="00840394" w:rsidRPr="00840394" w:rsidRDefault="00840394" w:rsidP="00840394">
      <w:pPr>
        <w:autoSpaceDE w:val="0"/>
        <w:autoSpaceDN w:val="0"/>
        <w:adjustRightInd w:val="0"/>
        <w:spacing w:after="240" w:line="240" w:lineRule="auto"/>
        <w:ind w:left="992" w:right="6"/>
        <w:rPr>
          <w:rFonts w:cs="Arial"/>
          <w:b/>
          <w:bCs/>
          <w:i/>
          <w:color w:val="003768"/>
          <w:lang w:val="nl-BE"/>
        </w:rPr>
      </w:pPr>
      <w:r w:rsidRPr="00E15449">
        <w:rPr>
          <w:noProof/>
          <w:sz w:val="10"/>
          <w:szCs w:val="10"/>
          <w:lang w:val="nl-BE" w:eastAsia="nl-BE"/>
        </w:rPr>
        <w:drawing>
          <wp:anchor distT="0" distB="0" distL="114300" distR="114300" simplePos="0" relativeHeight="251660288" behindDoc="0" locked="0" layoutInCell="1" allowOverlap="1" wp14:anchorId="2966B544" wp14:editId="6444AFBF">
            <wp:simplePos x="0" y="0"/>
            <wp:positionH relativeFrom="margin">
              <wp:posOffset>601980</wp:posOffset>
            </wp:positionH>
            <wp:positionV relativeFrom="margin">
              <wp:posOffset>3989070</wp:posOffset>
            </wp:positionV>
            <wp:extent cx="1541145" cy="2139950"/>
            <wp:effectExtent l="0" t="0" r="190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1145" cy="2139950"/>
                    </a:xfrm>
                    <a:prstGeom prst="rect">
                      <a:avLst/>
                    </a:prstGeom>
                    <a:noFill/>
                  </pic:spPr>
                </pic:pic>
              </a:graphicData>
            </a:graphic>
            <wp14:sizeRelH relativeFrom="margin">
              <wp14:pctWidth>0</wp14:pctWidth>
            </wp14:sizeRelH>
            <wp14:sizeRelV relativeFrom="margin">
              <wp14:pctHeight>0</wp14:pctHeight>
            </wp14:sizeRelV>
          </wp:anchor>
        </w:drawing>
      </w:r>
      <w:r w:rsidRPr="00840394">
        <w:rPr>
          <w:rFonts w:cs="Arial"/>
          <w:b/>
          <w:bCs/>
          <w:i/>
          <w:color w:val="003768"/>
          <w:lang w:val="nl-BE"/>
        </w:rPr>
        <w:t>Johan Thijs, Groeps-CEO:</w:t>
      </w:r>
    </w:p>
    <w:p w:rsidR="00840394" w:rsidRPr="00840394" w:rsidRDefault="00840394" w:rsidP="00840394">
      <w:pPr>
        <w:autoSpaceDE w:val="0"/>
        <w:autoSpaceDN w:val="0"/>
        <w:adjustRightInd w:val="0"/>
        <w:spacing w:after="240" w:line="240" w:lineRule="auto"/>
        <w:ind w:left="992" w:right="6"/>
        <w:jc w:val="both"/>
        <w:rPr>
          <w:rFonts w:cs="Arial"/>
          <w:bCs/>
          <w:i/>
          <w:color w:val="003768"/>
          <w:lang w:val="nl-BE"/>
        </w:rPr>
      </w:pPr>
      <w:r w:rsidRPr="00840394">
        <w:rPr>
          <w:rFonts w:cs="Arial"/>
          <w:bCs/>
          <w:i/>
          <w:color w:val="003768"/>
          <w:lang w:val="nl-BE"/>
        </w:rPr>
        <w:t xml:space="preserve">"De zomermaanden van 2014 werden gekenmerkt door een </w:t>
      </w:r>
      <w:proofErr w:type="spellStart"/>
      <w:r w:rsidRPr="00840394">
        <w:rPr>
          <w:rFonts w:cs="Arial"/>
          <w:bCs/>
          <w:i/>
          <w:color w:val="003768"/>
          <w:lang w:val="nl-BE"/>
        </w:rPr>
        <w:t>lagerenteklimaat</w:t>
      </w:r>
      <w:proofErr w:type="spellEnd"/>
      <w:r w:rsidRPr="00840394">
        <w:rPr>
          <w:rFonts w:cs="Arial"/>
          <w:bCs/>
          <w:i/>
          <w:color w:val="003768"/>
          <w:lang w:val="nl-BE"/>
        </w:rPr>
        <w:t xml:space="preserve"> en een verzwakking van het economische herstel dat eerder dit jaar was ingezet, gecombineerd met een lage inflatie. In die context boekte KBC een nettoresultaat van 591 miljoen euro voor het derde kwartaal, of een aangepaste winst van 477 miljoen euro. De groep blijft uitstekende commerciële resultaten neerzetten. De </w:t>
      </w:r>
      <w:proofErr w:type="spellStart"/>
      <w:r w:rsidRPr="00840394">
        <w:rPr>
          <w:rFonts w:cs="Arial"/>
          <w:bCs/>
          <w:i/>
          <w:color w:val="003768"/>
          <w:lang w:val="nl-BE"/>
        </w:rPr>
        <w:t>nettorente</w:t>
      </w:r>
      <w:proofErr w:type="spellEnd"/>
      <w:r w:rsidRPr="00840394">
        <w:rPr>
          <w:rFonts w:cs="Arial"/>
          <w:bCs/>
          <w:i/>
          <w:color w:val="003768"/>
          <w:lang w:val="nl-BE"/>
        </w:rPr>
        <w:t xml:space="preserve">-inkomsten zijn gestegen en de kredietvolumes en de klantendeposito's groeien nog aan. We haalden ook hogere </w:t>
      </w:r>
      <w:proofErr w:type="spellStart"/>
      <w:r w:rsidRPr="00840394">
        <w:rPr>
          <w:rFonts w:cs="Arial"/>
          <w:bCs/>
          <w:i/>
          <w:color w:val="003768"/>
          <w:lang w:val="nl-BE"/>
        </w:rPr>
        <w:t>nettoprovisie</w:t>
      </w:r>
      <w:proofErr w:type="spellEnd"/>
      <w:r w:rsidRPr="00840394">
        <w:rPr>
          <w:rFonts w:cs="Arial"/>
          <w:bCs/>
          <w:i/>
          <w:color w:val="003768"/>
          <w:lang w:val="nl-BE"/>
        </w:rPr>
        <w:t xml:space="preserve">-inkomsten, vooral in de </w:t>
      </w:r>
      <w:proofErr w:type="spellStart"/>
      <w:r w:rsidRPr="00840394">
        <w:rPr>
          <w:rFonts w:cs="Arial"/>
          <w:bCs/>
          <w:i/>
          <w:color w:val="003768"/>
          <w:lang w:val="nl-BE"/>
        </w:rPr>
        <w:t>assetmanagementactiviteiten</w:t>
      </w:r>
      <w:proofErr w:type="spellEnd"/>
      <w:r w:rsidRPr="00840394">
        <w:rPr>
          <w:rFonts w:cs="Arial"/>
          <w:bCs/>
          <w:i/>
          <w:color w:val="003768"/>
          <w:lang w:val="nl-BE"/>
        </w:rPr>
        <w:t xml:space="preserve">. De gecombineerde ratio voor onze schadeverzekeringsactiviteiten bleef sterk en ook de verkoop van levensverzekeringen steeg. We behielden een sterke kosten-inkomstenratio, aangepast voor specifieke items. De waardeverminderingen op kredieten stegen licht tegenover het vorige kwartaal, maar bleven algemeen laag, met een daling in Ierland. De totale opbrengsten hadden nog altijd te lijden onder negatieve </w:t>
      </w:r>
      <w:proofErr w:type="spellStart"/>
      <w:r w:rsidRPr="00840394">
        <w:rPr>
          <w:rFonts w:cs="Arial"/>
          <w:bCs/>
          <w:i/>
          <w:color w:val="003768"/>
          <w:lang w:val="nl-BE"/>
        </w:rPr>
        <w:t>marked</w:t>
      </w:r>
      <w:proofErr w:type="spellEnd"/>
      <w:r w:rsidRPr="00840394">
        <w:rPr>
          <w:rFonts w:cs="Arial"/>
          <w:bCs/>
          <w:i/>
          <w:color w:val="003768"/>
          <w:lang w:val="nl-BE"/>
        </w:rPr>
        <w:t>-</w:t>
      </w:r>
      <w:proofErr w:type="spellStart"/>
      <w:r w:rsidRPr="00840394">
        <w:rPr>
          <w:rFonts w:cs="Arial"/>
          <w:bCs/>
          <w:i/>
          <w:color w:val="003768"/>
          <w:lang w:val="nl-BE"/>
        </w:rPr>
        <w:t>to</w:t>
      </w:r>
      <w:proofErr w:type="spellEnd"/>
      <w:r w:rsidRPr="00840394">
        <w:rPr>
          <w:rFonts w:cs="Arial"/>
          <w:bCs/>
          <w:i/>
          <w:color w:val="003768"/>
          <w:lang w:val="nl-BE"/>
        </w:rPr>
        <w:t xml:space="preserve">-marketaanpassingen in de waarde van afgeleide producten gebruikt voor balansbeheer. </w:t>
      </w:r>
    </w:p>
    <w:p w:rsidR="00840394" w:rsidRPr="00840394" w:rsidRDefault="00840394" w:rsidP="00840394">
      <w:pPr>
        <w:autoSpaceDE w:val="0"/>
        <w:autoSpaceDN w:val="0"/>
        <w:adjustRightInd w:val="0"/>
        <w:spacing w:after="240" w:line="240" w:lineRule="auto"/>
        <w:ind w:left="992" w:right="6"/>
        <w:jc w:val="both"/>
        <w:rPr>
          <w:rFonts w:cs="Arial"/>
          <w:bCs/>
          <w:i/>
          <w:color w:val="003768"/>
          <w:lang w:val="nl-BE"/>
        </w:rPr>
      </w:pPr>
      <w:r w:rsidRPr="00840394">
        <w:rPr>
          <w:rFonts w:cs="Arial"/>
          <w:bCs/>
          <w:i/>
          <w:color w:val="003768"/>
          <w:lang w:val="nl-BE"/>
        </w:rPr>
        <w:t xml:space="preserve">Naast die uitstekende commerciële resultaten slaagde de groep er ook in het desinvesteringsprogramma af te ronden dat  in 2009 overeengekomen was met de Europese Commissie. De verkoop van KBC Deutschland werd afgerond in september, de activiteiten van Antwerpse Diamantbank worden afgebouwd en de twee resterende </w:t>
      </w:r>
      <w:proofErr w:type="spellStart"/>
      <w:r w:rsidRPr="00840394">
        <w:rPr>
          <w:rFonts w:cs="Arial"/>
          <w:bCs/>
          <w:i/>
          <w:color w:val="003768"/>
          <w:lang w:val="nl-BE"/>
        </w:rPr>
        <w:t>CDO's</w:t>
      </w:r>
      <w:proofErr w:type="spellEnd"/>
      <w:r w:rsidRPr="00840394">
        <w:rPr>
          <w:rFonts w:cs="Arial"/>
          <w:bCs/>
          <w:i/>
          <w:color w:val="003768"/>
          <w:lang w:val="nl-BE"/>
        </w:rPr>
        <w:t xml:space="preserve"> in de portefeuille werden </w:t>
      </w:r>
      <w:proofErr w:type="spellStart"/>
      <w:r w:rsidRPr="00840394">
        <w:rPr>
          <w:rFonts w:cs="Arial"/>
          <w:bCs/>
          <w:i/>
          <w:color w:val="003768"/>
          <w:lang w:val="nl-BE"/>
        </w:rPr>
        <w:t>gecollaps</w:t>
      </w:r>
      <w:r w:rsidR="009E1FAF">
        <w:rPr>
          <w:rFonts w:cs="Arial"/>
          <w:bCs/>
          <w:i/>
          <w:color w:val="003768"/>
          <w:lang w:val="nl-BE"/>
        </w:rPr>
        <w:t>ed</w:t>
      </w:r>
      <w:bookmarkStart w:id="0" w:name="_GoBack"/>
      <w:bookmarkEnd w:id="0"/>
      <w:proofErr w:type="spellEnd"/>
      <w:r w:rsidRPr="00840394">
        <w:rPr>
          <w:rFonts w:cs="Arial"/>
          <w:bCs/>
          <w:i/>
          <w:color w:val="003768"/>
          <w:lang w:val="nl-BE"/>
        </w:rPr>
        <w:t>. Met die operaties is het desinvesteringsprogramma afgerond.</w:t>
      </w:r>
    </w:p>
    <w:p w:rsidR="00840394" w:rsidRPr="00840394" w:rsidRDefault="00840394" w:rsidP="00840394">
      <w:pPr>
        <w:autoSpaceDE w:val="0"/>
        <w:autoSpaceDN w:val="0"/>
        <w:adjustRightInd w:val="0"/>
        <w:spacing w:after="240" w:line="240" w:lineRule="auto"/>
        <w:ind w:left="992" w:right="6"/>
        <w:jc w:val="both"/>
        <w:rPr>
          <w:rFonts w:cs="Arial"/>
          <w:bCs/>
          <w:i/>
          <w:color w:val="003768"/>
          <w:lang w:val="nl-BE"/>
        </w:rPr>
      </w:pPr>
      <w:r w:rsidRPr="00840394">
        <w:rPr>
          <w:rFonts w:cs="Arial"/>
          <w:bCs/>
          <w:i/>
          <w:color w:val="003768"/>
          <w:lang w:val="nl-BE"/>
        </w:rPr>
        <w:t xml:space="preserve">In het derde kwartaal van 2014 behaalde de divisie België een nettoresultaat van 384 miljoen euro, iets boven het gemiddelde van 375 miljoen euro van de vier voorgaande kwartalen. Ten opzichte van het vorige kwartaal werd het derde kwartaal van 2014 gekenmerkt door hogere </w:t>
      </w:r>
      <w:proofErr w:type="spellStart"/>
      <w:r w:rsidRPr="00840394">
        <w:rPr>
          <w:rFonts w:cs="Arial"/>
          <w:bCs/>
          <w:i/>
          <w:color w:val="003768"/>
          <w:lang w:val="nl-BE"/>
        </w:rPr>
        <w:t>nettorente</w:t>
      </w:r>
      <w:proofErr w:type="spellEnd"/>
      <w:r w:rsidRPr="00840394">
        <w:rPr>
          <w:rFonts w:cs="Arial"/>
          <w:bCs/>
          <w:i/>
          <w:color w:val="003768"/>
          <w:lang w:val="nl-BE"/>
        </w:rPr>
        <w:t xml:space="preserve">-inkomsten en </w:t>
      </w:r>
      <w:proofErr w:type="spellStart"/>
      <w:r w:rsidRPr="00840394">
        <w:rPr>
          <w:rFonts w:cs="Arial"/>
          <w:bCs/>
          <w:i/>
          <w:color w:val="003768"/>
          <w:lang w:val="nl-BE"/>
        </w:rPr>
        <w:t>nettoprovisie</w:t>
      </w:r>
      <w:proofErr w:type="spellEnd"/>
      <w:r w:rsidRPr="00840394">
        <w:rPr>
          <w:rFonts w:cs="Arial"/>
          <w:bCs/>
          <w:i/>
          <w:color w:val="003768"/>
          <w:lang w:val="nl-BE"/>
        </w:rPr>
        <w:t xml:space="preserve">-inkomsten, een gezonde gecombineerde ratio voor schadeverzekeringen en een hogere verkoop van tak 23-producten. Andere kenmerken van het afgelopen kwartaal waren het verminderde maar nog altijd negatieve effect van de waardering van ALM-derivaten, lagere </w:t>
      </w:r>
      <w:proofErr w:type="spellStart"/>
      <w:r w:rsidRPr="00840394">
        <w:rPr>
          <w:rFonts w:cs="Arial"/>
          <w:bCs/>
          <w:i/>
          <w:color w:val="003768"/>
          <w:lang w:val="nl-BE"/>
        </w:rPr>
        <w:t>meerwaarden</w:t>
      </w:r>
      <w:proofErr w:type="spellEnd"/>
      <w:r w:rsidRPr="00840394">
        <w:rPr>
          <w:rFonts w:cs="Arial"/>
          <w:bCs/>
          <w:i/>
          <w:color w:val="003768"/>
          <w:lang w:val="nl-BE"/>
        </w:rPr>
        <w:t xml:space="preserve"> uit de verkoop van financiële activa, seizoensgebonden lagere dividendinkomsten en lagere overige netto-inkomsten. De kosten zijn iets gedaald en de waardeverminderingen stegen in vergelijking met het lage niveau van het tweede kwartaal. De bankactiviteiten waren in het derde kwartaal van 2014 goed voor 80% van het nettoresultaat, de verzekeringsactiviteiten voor 20%.</w:t>
      </w:r>
    </w:p>
    <w:p w:rsidR="00186A5F" w:rsidRDefault="00186A5F" w:rsidP="00840394">
      <w:pPr>
        <w:autoSpaceDE w:val="0"/>
        <w:autoSpaceDN w:val="0"/>
        <w:adjustRightInd w:val="0"/>
        <w:spacing w:after="240" w:line="240" w:lineRule="auto"/>
        <w:ind w:left="992" w:right="6"/>
        <w:jc w:val="both"/>
        <w:rPr>
          <w:rFonts w:cs="Arial"/>
          <w:bCs/>
          <w:i/>
          <w:color w:val="003768"/>
          <w:lang w:val="nl-BE"/>
        </w:rPr>
      </w:pPr>
    </w:p>
    <w:p w:rsidR="00840394" w:rsidRPr="00840394" w:rsidRDefault="00840394" w:rsidP="00840394">
      <w:pPr>
        <w:autoSpaceDE w:val="0"/>
        <w:autoSpaceDN w:val="0"/>
        <w:adjustRightInd w:val="0"/>
        <w:spacing w:after="240" w:line="240" w:lineRule="auto"/>
        <w:ind w:left="992" w:right="6"/>
        <w:jc w:val="both"/>
        <w:rPr>
          <w:rFonts w:cs="Arial"/>
          <w:bCs/>
          <w:i/>
          <w:color w:val="003768"/>
          <w:lang w:val="nl-BE"/>
        </w:rPr>
      </w:pPr>
      <w:r w:rsidRPr="00840394">
        <w:rPr>
          <w:rFonts w:cs="Arial"/>
          <w:bCs/>
          <w:i/>
          <w:color w:val="003768"/>
          <w:lang w:val="nl-BE"/>
        </w:rPr>
        <w:t xml:space="preserve">In het derde kwartaal van 2014 boekte de divisie Tsjechië een nettoresultaat van 130 miljoen euro. Dat is iets lager dan het gemiddelde van 139 miljoen euro voor de vier voorgaande kwartalen. Ten opzichte van het vorige kwartaal omvatten de resultaten voor het derde kwartaal (op vergelijkbare basis) gelijkblijvende </w:t>
      </w:r>
      <w:proofErr w:type="spellStart"/>
      <w:r w:rsidRPr="00840394">
        <w:rPr>
          <w:rFonts w:cs="Arial"/>
          <w:bCs/>
          <w:i/>
          <w:color w:val="003768"/>
          <w:lang w:val="nl-BE"/>
        </w:rPr>
        <w:t>nettorente</w:t>
      </w:r>
      <w:proofErr w:type="spellEnd"/>
      <w:r w:rsidRPr="00840394">
        <w:rPr>
          <w:rFonts w:cs="Arial"/>
          <w:bCs/>
          <w:i/>
          <w:color w:val="003768"/>
          <w:lang w:val="nl-BE"/>
        </w:rPr>
        <w:t xml:space="preserve">-inkomsten en lagere </w:t>
      </w:r>
      <w:proofErr w:type="spellStart"/>
      <w:r w:rsidRPr="00840394">
        <w:rPr>
          <w:rFonts w:cs="Arial"/>
          <w:bCs/>
          <w:i/>
          <w:color w:val="003768"/>
          <w:lang w:val="nl-BE"/>
        </w:rPr>
        <w:t>nettoprovisie</w:t>
      </w:r>
      <w:proofErr w:type="spellEnd"/>
      <w:r w:rsidRPr="00840394">
        <w:rPr>
          <w:rFonts w:cs="Arial"/>
          <w:bCs/>
          <w:i/>
          <w:color w:val="003768"/>
          <w:lang w:val="nl-BE"/>
        </w:rPr>
        <w:t xml:space="preserve">-inkomsten, geen </w:t>
      </w:r>
      <w:proofErr w:type="spellStart"/>
      <w:r w:rsidRPr="00840394">
        <w:rPr>
          <w:rFonts w:cs="Arial"/>
          <w:bCs/>
          <w:i/>
          <w:color w:val="003768"/>
          <w:lang w:val="nl-BE"/>
        </w:rPr>
        <w:t>meerwaarden</w:t>
      </w:r>
      <w:proofErr w:type="spellEnd"/>
      <w:r w:rsidRPr="00840394">
        <w:rPr>
          <w:rFonts w:cs="Arial"/>
          <w:bCs/>
          <w:i/>
          <w:color w:val="003768"/>
          <w:lang w:val="nl-BE"/>
        </w:rPr>
        <w:t xml:space="preserve"> uit de verkoop van financiële activa, een hoger nettoresultaat uit financiële instrumenten, lagere overige inkomsten, een stevige gecombineerde ratio voor schadeverzekeringen en een hogere verkoop van tak 23-producten. De kosten daalden licht en de waardeverminderingen op kredieten stegen ten opzichte van het onhoudbaar lage niveau van het vorige kwartaal. De bankactiviteiten waren in het derde kwartaal van 2014 goed voor 95% van het nettoresultaat, de verzekeringsactiviteiten voor 5%.</w:t>
      </w:r>
    </w:p>
    <w:p w:rsidR="00840394" w:rsidRPr="00840394" w:rsidRDefault="00840394" w:rsidP="00840394">
      <w:pPr>
        <w:autoSpaceDE w:val="0"/>
        <w:autoSpaceDN w:val="0"/>
        <w:adjustRightInd w:val="0"/>
        <w:spacing w:after="240" w:line="240" w:lineRule="auto"/>
        <w:ind w:left="992" w:right="6"/>
        <w:jc w:val="both"/>
        <w:rPr>
          <w:rFonts w:cs="Arial"/>
          <w:bCs/>
          <w:i/>
          <w:color w:val="003768"/>
          <w:lang w:val="nl-BE"/>
        </w:rPr>
      </w:pPr>
      <w:r w:rsidRPr="00840394">
        <w:rPr>
          <w:rFonts w:cs="Arial"/>
          <w:bCs/>
          <w:i/>
          <w:color w:val="003768"/>
          <w:lang w:val="nl-BE"/>
        </w:rPr>
        <w:t xml:space="preserve">In het derde kwartaal van 2014 boekte de divisie Internationale Markten een nettowinst van </w:t>
      </w:r>
      <w:r>
        <w:rPr>
          <w:rFonts w:cs="Arial"/>
          <w:bCs/>
          <w:i/>
          <w:color w:val="003768"/>
          <w:lang w:val="nl-BE"/>
        </w:rPr>
        <w:t xml:space="preserve">                               </w:t>
      </w:r>
      <w:r w:rsidRPr="00840394">
        <w:rPr>
          <w:rFonts w:cs="Arial"/>
          <w:bCs/>
          <w:i/>
          <w:color w:val="003768"/>
          <w:lang w:val="nl-BE"/>
        </w:rPr>
        <w:t xml:space="preserve">27 miljoen euro. Dat is heel wat beter dan het negatieve gemiddelde van -236 miljoen euro van de vier voorgaande kwartalen, dat sterk werd beïnvloed door de bijkomende kredietvoorzieningen voor Ierland in het vierde kwartaal van 2013 en de nieuwe Hongaarse wet op kredieten aan particulieren in het tweede kwartaal van 2014. In vergelijking met het vorige kwartaal werd het derde kwartaal van 2014 gekenmerkt door iets hogere </w:t>
      </w:r>
      <w:proofErr w:type="spellStart"/>
      <w:r w:rsidRPr="00840394">
        <w:rPr>
          <w:rFonts w:cs="Arial"/>
          <w:bCs/>
          <w:i/>
          <w:color w:val="003768"/>
          <w:lang w:val="nl-BE"/>
        </w:rPr>
        <w:t>nettorente</w:t>
      </w:r>
      <w:proofErr w:type="spellEnd"/>
      <w:r w:rsidRPr="00840394">
        <w:rPr>
          <w:rFonts w:cs="Arial"/>
          <w:bCs/>
          <w:i/>
          <w:color w:val="003768"/>
          <w:lang w:val="nl-BE"/>
        </w:rPr>
        <w:t xml:space="preserve">-inkomsten en stevige </w:t>
      </w:r>
      <w:proofErr w:type="spellStart"/>
      <w:r w:rsidRPr="00840394">
        <w:rPr>
          <w:rFonts w:cs="Arial"/>
          <w:bCs/>
          <w:i/>
          <w:color w:val="003768"/>
          <w:lang w:val="nl-BE"/>
        </w:rPr>
        <w:t>nettoprovisie</w:t>
      </w:r>
      <w:proofErr w:type="spellEnd"/>
      <w:r w:rsidRPr="00840394">
        <w:rPr>
          <w:rFonts w:cs="Arial"/>
          <w:bCs/>
          <w:i/>
          <w:color w:val="003768"/>
          <w:lang w:val="nl-BE"/>
        </w:rPr>
        <w:t xml:space="preserve">-inkomsten, een stabiel resultaat uit financiële instrumenten tegen reële waarde en iets lagere </w:t>
      </w:r>
      <w:proofErr w:type="spellStart"/>
      <w:r w:rsidRPr="00840394">
        <w:rPr>
          <w:rFonts w:cs="Arial"/>
          <w:bCs/>
          <w:i/>
          <w:color w:val="003768"/>
          <w:lang w:val="nl-BE"/>
        </w:rPr>
        <w:t>meerwaarden</w:t>
      </w:r>
      <w:proofErr w:type="spellEnd"/>
      <w:r w:rsidRPr="00840394">
        <w:rPr>
          <w:rFonts w:cs="Arial"/>
          <w:bCs/>
          <w:i/>
          <w:color w:val="003768"/>
          <w:lang w:val="nl-BE"/>
        </w:rPr>
        <w:t xml:space="preserve"> op obligaties en aandelen, een verslechtering van de gecombineerde ratio van schadeverzekeringen en een gedaalde verkoop van levensverzekeringen. We wijzen erop dat het vorige kwartaal zwaar te lijden had onder de nieuwe Hongaarse wet op kredieten aan particulieren. De kosten bleven in het derde kwartaal stabiel en de kredietvoorzieningen daalden, vooral in Ierland. In totaal leverden de bankactiviteiten een nettoresultaat van 23 miljoen euro op (positieve resultaten van Slowakije, Hongarije en Bulgarije, maar een negatief resultaat in Ierland), terwijl de verzekeringsactiviteiten een nettoresultaat van 4 miljoen euro genereerden.</w:t>
      </w:r>
    </w:p>
    <w:p w:rsidR="00840394" w:rsidRPr="00840394" w:rsidRDefault="00840394" w:rsidP="00840394">
      <w:pPr>
        <w:autoSpaceDE w:val="0"/>
        <w:autoSpaceDN w:val="0"/>
        <w:adjustRightInd w:val="0"/>
        <w:spacing w:after="240" w:line="240" w:lineRule="auto"/>
        <w:ind w:left="992" w:right="6"/>
        <w:jc w:val="both"/>
        <w:rPr>
          <w:rFonts w:cs="Arial"/>
          <w:bCs/>
          <w:i/>
          <w:color w:val="003768"/>
          <w:lang w:val="nl-BE"/>
        </w:rPr>
      </w:pPr>
      <w:r w:rsidRPr="00840394">
        <w:rPr>
          <w:rFonts w:cs="Arial"/>
          <w:bCs/>
          <w:i/>
          <w:color w:val="003768"/>
          <w:lang w:val="nl-BE"/>
        </w:rPr>
        <w:t>De liquiditeitspositie van onze groep blijft erg sterk. De LCR en NSFR zitten ruim boven 100%.</w:t>
      </w:r>
    </w:p>
    <w:p w:rsidR="00840394" w:rsidRPr="00840394" w:rsidRDefault="00840394" w:rsidP="00840394">
      <w:pPr>
        <w:autoSpaceDE w:val="0"/>
        <w:autoSpaceDN w:val="0"/>
        <w:adjustRightInd w:val="0"/>
        <w:spacing w:after="240" w:line="240" w:lineRule="auto"/>
        <w:ind w:left="992" w:right="6"/>
        <w:jc w:val="both"/>
        <w:rPr>
          <w:rFonts w:cs="Arial"/>
          <w:bCs/>
          <w:i/>
          <w:color w:val="003768"/>
          <w:lang w:val="nl-BE"/>
        </w:rPr>
      </w:pPr>
      <w:r w:rsidRPr="00840394">
        <w:rPr>
          <w:rFonts w:cs="Arial"/>
          <w:bCs/>
          <w:i/>
          <w:color w:val="003768"/>
          <w:lang w:val="nl-BE"/>
        </w:rPr>
        <w:t xml:space="preserve">Ook onze kapitaalpositie blijft erg sterk, zoals blijkt uit onze common </w:t>
      </w:r>
      <w:proofErr w:type="spellStart"/>
      <w:r w:rsidRPr="00840394">
        <w:rPr>
          <w:rFonts w:cs="Arial"/>
          <w:bCs/>
          <w:i/>
          <w:color w:val="003768"/>
          <w:lang w:val="nl-BE"/>
        </w:rPr>
        <w:t>equity</w:t>
      </w:r>
      <w:proofErr w:type="spellEnd"/>
      <w:r w:rsidRPr="00840394">
        <w:rPr>
          <w:rFonts w:cs="Arial"/>
          <w:bCs/>
          <w:i/>
          <w:color w:val="003768"/>
          <w:lang w:val="nl-BE"/>
        </w:rPr>
        <w:t xml:space="preserve"> ratio van 13,7% (</w:t>
      </w:r>
      <w:proofErr w:type="spellStart"/>
      <w:r w:rsidRPr="00840394">
        <w:rPr>
          <w:rFonts w:cs="Arial"/>
          <w:bCs/>
          <w:i/>
          <w:color w:val="003768"/>
          <w:lang w:val="nl-BE"/>
        </w:rPr>
        <w:t>Basel</w:t>
      </w:r>
      <w:proofErr w:type="spellEnd"/>
      <w:r w:rsidRPr="00840394">
        <w:rPr>
          <w:rFonts w:cs="Arial"/>
          <w:bCs/>
          <w:i/>
          <w:color w:val="003768"/>
          <w:lang w:val="nl-BE"/>
        </w:rPr>
        <w:t xml:space="preserve"> III, </w:t>
      </w:r>
      <w:proofErr w:type="spellStart"/>
      <w:r w:rsidRPr="00840394">
        <w:rPr>
          <w:rFonts w:cs="Arial"/>
          <w:bCs/>
          <w:i/>
          <w:color w:val="003768"/>
          <w:lang w:val="nl-BE"/>
        </w:rPr>
        <w:t>fully</w:t>
      </w:r>
      <w:proofErr w:type="spellEnd"/>
      <w:r w:rsidRPr="00840394">
        <w:rPr>
          <w:rFonts w:cs="Arial"/>
          <w:bCs/>
          <w:i/>
          <w:color w:val="003768"/>
          <w:lang w:val="nl-BE"/>
        </w:rPr>
        <w:t xml:space="preserve"> </w:t>
      </w:r>
      <w:proofErr w:type="spellStart"/>
      <w:r w:rsidRPr="00840394">
        <w:rPr>
          <w:rFonts w:cs="Arial"/>
          <w:bCs/>
          <w:i/>
          <w:color w:val="003768"/>
          <w:lang w:val="nl-BE"/>
        </w:rPr>
        <w:t>loaded</w:t>
      </w:r>
      <w:proofErr w:type="spellEnd"/>
      <w:r w:rsidRPr="00840394">
        <w:rPr>
          <w:rFonts w:cs="Arial"/>
          <w:bCs/>
          <w:i/>
          <w:color w:val="003768"/>
          <w:lang w:val="nl-BE"/>
        </w:rPr>
        <w:t xml:space="preserve"> volgens de Deense compromismethode). In de analyse van de eerste negen maanden van het jaar is rekening gehouden met de terugbetaling van 0,5 miljard euro aan de Vlaamse overheid begin januari, met de resultaten voor die eerste negen maanden en met een pro-ratavoorziening voor het voorgestelde dividend, de coupons op de </w:t>
      </w:r>
      <w:proofErr w:type="spellStart"/>
      <w:r w:rsidRPr="00840394">
        <w:rPr>
          <w:rFonts w:cs="Arial"/>
          <w:bCs/>
          <w:i/>
          <w:color w:val="003768"/>
          <w:lang w:val="nl-BE"/>
        </w:rPr>
        <w:t>Additional</w:t>
      </w:r>
      <w:proofErr w:type="spellEnd"/>
      <w:r w:rsidRPr="00840394">
        <w:rPr>
          <w:rFonts w:cs="Arial"/>
          <w:bCs/>
          <w:i/>
          <w:color w:val="003768"/>
          <w:lang w:val="nl-BE"/>
        </w:rPr>
        <w:t xml:space="preserve"> Tier 1-instrumenten en de coupon op de resterende overheidssteun die over 2014 moeten worden betaald. Daardoor blijft de common </w:t>
      </w:r>
      <w:proofErr w:type="spellStart"/>
      <w:r w:rsidRPr="00840394">
        <w:rPr>
          <w:rFonts w:cs="Arial"/>
          <w:bCs/>
          <w:i/>
          <w:color w:val="003768"/>
          <w:lang w:val="nl-BE"/>
        </w:rPr>
        <w:t>equity</w:t>
      </w:r>
      <w:proofErr w:type="spellEnd"/>
      <w:r w:rsidRPr="00840394">
        <w:rPr>
          <w:rFonts w:cs="Arial"/>
          <w:bCs/>
          <w:i/>
          <w:color w:val="003768"/>
          <w:lang w:val="nl-BE"/>
        </w:rPr>
        <w:t xml:space="preserve"> ratio ruim boven onze doelstelling van 10,5%.</w:t>
      </w:r>
    </w:p>
    <w:p w:rsidR="00840394" w:rsidRPr="00840394" w:rsidRDefault="00840394" w:rsidP="00840394">
      <w:pPr>
        <w:autoSpaceDE w:val="0"/>
        <w:autoSpaceDN w:val="0"/>
        <w:adjustRightInd w:val="0"/>
        <w:spacing w:after="240" w:line="240" w:lineRule="auto"/>
        <w:ind w:left="992" w:right="6"/>
        <w:jc w:val="both"/>
        <w:rPr>
          <w:rFonts w:cs="Arial"/>
          <w:bCs/>
          <w:i/>
          <w:color w:val="003768"/>
          <w:lang w:val="nl-BE"/>
        </w:rPr>
      </w:pPr>
      <w:r w:rsidRPr="00840394">
        <w:rPr>
          <w:rFonts w:cs="Arial"/>
          <w:bCs/>
          <w:i/>
          <w:color w:val="003768"/>
          <w:lang w:val="nl-BE"/>
        </w:rPr>
        <w:t xml:space="preserve">Die stevige kapitaalpositie werd ook bevestigd door de resultaten van de uitgebreide beoordeling die de ECB heeft uitgevoerd. KBC overtrof de drempels van de </w:t>
      </w:r>
      <w:proofErr w:type="spellStart"/>
      <w:r w:rsidRPr="00840394">
        <w:rPr>
          <w:rFonts w:cs="Arial"/>
          <w:bCs/>
          <w:i/>
          <w:color w:val="003768"/>
          <w:lang w:val="nl-BE"/>
        </w:rPr>
        <w:t>asset</w:t>
      </w:r>
      <w:proofErr w:type="spellEnd"/>
      <w:r w:rsidRPr="00840394">
        <w:rPr>
          <w:rFonts w:cs="Arial"/>
          <w:bCs/>
          <w:i/>
          <w:color w:val="003768"/>
          <w:lang w:val="nl-BE"/>
        </w:rPr>
        <w:t xml:space="preserve"> </w:t>
      </w:r>
      <w:proofErr w:type="spellStart"/>
      <w:r w:rsidRPr="00840394">
        <w:rPr>
          <w:rFonts w:cs="Arial"/>
          <w:bCs/>
          <w:i/>
          <w:color w:val="003768"/>
          <w:lang w:val="nl-BE"/>
        </w:rPr>
        <w:t>quality</w:t>
      </w:r>
      <w:proofErr w:type="spellEnd"/>
      <w:r w:rsidRPr="00840394">
        <w:rPr>
          <w:rFonts w:cs="Arial"/>
          <w:bCs/>
          <w:i/>
          <w:color w:val="003768"/>
          <w:lang w:val="nl-BE"/>
        </w:rPr>
        <w:t xml:space="preserve"> review en de stresstests en behield een ruime marge van 2,8 procentpunten (2,8 miljard euro) boven de drempel van 5,5% die de ECB oplegt. Dat toont de robuustheid van KBC aan.</w:t>
      </w:r>
    </w:p>
    <w:p w:rsidR="00840394" w:rsidRPr="00840394" w:rsidRDefault="00840394" w:rsidP="00840394">
      <w:pPr>
        <w:autoSpaceDE w:val="0"/>
        <w:autoSpaceDN w:val="0"/>
        <w:adjustRightInd w:val="0"/>
        <w:spacing w:after="240" w:line="240" w:lineRule="auto"/>
        <w:ind w:left="992" w:right="6"/>
        <w:jc w:val="both"/>
        <w:rPr>
          <w:rFonts w:cs="Arial"/>
          <w:bCs/>
          <w:i/>
          <w:color w:val="003768"/>
          <w:lang w:val="nl-BE"/>
        </w:rPr>
      </w:pPr>
      <w:r w:rsidRPr="00840394">
        <w:rPr>
          <w:rFonts w:cs="Arial"/>
          <w:bCs/>
          <w:i/>
          <w:color w:val="003768"/>
          <w:lang w:val="nl-BE"/>
        </w:rPr>
        <w:t xml:space="preserve">De groep verwelkomde ook de verlenging van de verankeringsafspraken tussen </w:t>
      </w:r>
      <w:proofErr w:type="spellStart"/>
      <w:r w:rsidRPr="00840394">
        <w:rPr>
          <w:rFonts w:cs="Arial"/>
          <w:bCs/>
          <w:i/>
          <w:color w:val="003768"/>
          <w:lang w:val="nl-BE"/>
        </w:rPr>
        <w:t>Cera</w:t>
      </w:r>
      <w:proofErr w:type="spellEnd"/>
      <w:r w:rsidRPr="00840394">
        <w:rPr>
          <w:rFonts w:cs="Arial"/>
          <w:bCs/>
          <w:i/>
          <w:color w:val="003768"/>
          <w:lang w:val="nl-BE"/>
        </w:rPr>
        <w:t xml:space="preserve">, KBC </w:t>
      </w:r>
      <w:proofErr w:type="spellStart"/>
      <w:r w:rsidRPr="00840394">
        <w:rPr>
          <w:rFonts w:cs="Arial"/>
          <w:bCs/>
          <w:i/>
          <w:color w:val="003768"/>
          <w:lang w:val="nl-BE"/>
        </w:rPr>
        <w:t>Ancora</w:t>
      </w:r>
      <w:proofErr w:type="spellEnd"/>
      <w:r w:rsidRPr="00840394">
        <w:rPr>
          <w:rFonts w:cs="Arial"/>
          <w:bCs/>
          <w:i/>
          <w:color w:val="003768"/>
          <w:lang w:val="nl-BE"/>
        </w:rPr>
        <w:t>, MRBB en de Andere Vaste Aandeelhouders met betrekking tot KBC Groep. Zij bevestigden dat ze ook de volgende tien jaar in onderling overleg willen blijven optreden met betrekking tot KBC Groep. Op die manier verzekeren ze de aandeelhoudersstabiliteit en ondersteunen ze de verdere ontwikkeling van de KBC-groep.</w:t>
      </w:r>
    </w:p>
    <w:p w:rsidR="00840394" w:rsidRPr="00840394" w:rsidRDefault="00840394" w:rsidP="00840394">
      <w:pPr>
        <w:autoSpaceDE w:val="0"/>
        <w:autoSpaceDN w:val="0"/>
        <w:adjustRightInd w:val="0"/>
        <w:spacing w:after="240" w:line="240" w:lineRule="auto"/>
        <w:ind w:left="992" w:right="6"/>
        <w:jc w:val="both"/>
        <w:rPr>
          <w:rFonts w:cs="Arial"/>
          <w:bCs/>
          <w:i/>
          <w:color w:val="003768"/>
          <w:lang w:val="nl-BE"/>
        </w:rPr>
      </w:pPr>
      <w:r w:rsidRPr="00840394">
        <w:rPr>
          <w:rFonts w:cs="Arial"/>
          <w:bCs/>
          <w:i/>
          <w:color w:val="003768"/>
          <w:lang w:val="nl-BE"/>
        </w:rPr>
        <w:t xml:space="preserve">Die verankeringsafspraak helpt KBC zijn ambitie waar te maken om tot de best presterende </w:t>
      </w:r>
      <w:proofErr w:type="spellStart"/>
      <w:r w:rsidRPr="00840394">
        <w:rPr>
          <w:rFonts w:cs="Arial"/>
          <w:bCs/>
          <w:i/>
          <w:color w:val="003768"/>
          <w:lang w:val="nl-BE"/>
        </w:rPr>
        <w:t>retailgerichte</w:t>
      </w:r>
      <w:proofErr w:type="spellEnd"/>
      <w:r w:rsidRPr="00840394">
        <w:rPr>
          <w:rFonts w:cs="Arial"/>
          <w:bCs/>
          <w:i/>
          <w:color w:val="003768"/>
          <w:lang w:val="nl-BE"/>
        </w:rPr>
        <w:t xml:space="preserve"> financiële instellingen in Europa te behoren en in zijn kernmarkten de referentie te worden in </w:t>
      </w:r>
      <w:proofErr w:type="spellStart"/>
      <w:r w:rsidRPr="00840394">
        <w:rPr>
          <w:rFonts w:cs="Arial"/>
          <w:bCs/>
          <w:i/>
          <w:color w:val="003768"/>
          <w:lang w:val="nl-BE"/>
        </w:rPr>
        <w:t>bankverzekeren</w:t>
      </w:r>
      <w:proofErr w:type="spellEnd"/>
      <w:r w:rsidRPr="00840394">
        <w:rPr>
          <w:rFonts w:cs="Arial"/>
          <w:bCs/>
          <w:i/>
          <w:color w:val="003768"/>
          <w:lang w:val="nl-BE"/>
        </w:rPr>
        <w:t xml:space="preserve">. Dat wil KBC bereiken door in zijn kernmarkten zijn </w:t>
      </w:r>
      <w:proofErr w:type="spellStart"/>
      <w:r w:rsidRPr="00840394">
        <w:rPr>
          <w:rFonts w:cs="Arial"/>
          <w:bCs/>
          <w:i/>
          <w:color w:val="003768"/>
          <w:lang w:val="nl-BE"/>
        </w:rPr>
        <w:t>businessmodel</w:t>
      </w:r>
      <w:proofErr w:type="spellEnd"/>
      <w:r w:rsidRPr="00840394">
        <w:rPr>
          <w:rFonts w:cs="Arial"/>
          <w:bCs/>
          <w:i/>
          <w:color w:val="003768"/>
          <w:lang w:val="nl-BE"/>
        </w:rPr>
        <w:t xml:space="preserve"> van bank-verzekeraar voor particulieren, </w:t>
      </w:r>
      <w:proofErr w:type="spellStart"/>
      <w:r w:rsidRPr="00840394">
        <w:rPr>
          <w:rFonts w:cs="Arial"/>
          <w:bCs/>
          <w:i/>
          <w:color w:val="003768"/>
          <w:lang w:val="nl-BE"/>
        </w:rPr>
        <w:t>kmo's</w:t>
      </w:r>
      <w:proofErr w:type="spellEnd"/>
      <w:r w:rsidRPr="00840394">
        <w:rPr>
          <w:rFonts w:cs="Arial"/>
          <w:bCs/>
          <w:i/>
          <w:color w:val="003768"/>
          <w:lang w:val="nl-BE"/>
        </w:rPr>
        <w:t xml:space="preserve"> en </w:t>
      </w:r>
      <w:proofErr w:type="spellStart"/>
      <w:r w:rsidRPr="00840394">
        <w:rPr>
          <w:rFonts w:cs="Arial"/>
          <w:bCs/>
          <w:i/>
          <w:color w:val="003768"/>
          <w:lang w:val="nl-BE"/>
        </w:rPr>
        <w:t>midcaps</w:t>
      </w:r>
      <w:proofErr w:type="spellEnd"/>
      <w:r w:rsidRPr="00840394">
        <w:rPr>
          <w:rFonts w:cs="Arial"/>
          <w:bCs/>
          <w:i/>
          <w:color w:val="003768"/>
          <w:lang w:val="nl-BE"/>
        </w:rPr>
        <w:t xml:space="preserve"> op een uiterst kostenefficiënte manier te versterken. Het focust daarvoor op een duurzame en rendabele groei binnen het kader van een degelijk risico-, kapitaal- en liquiditeitsbeheer. En het wil komen tot een uitmuntende klantentevredenheid via een naadloze </w:t>
      </w:r>
      <w:proofErr w:type="spellStart"/>
      <w:r w:rsidRPr="00840394">
        <w:rPr>
          <w:rFonts w:cs="Arial"/>
          <w:bCs/>
          <w:i/>
          <w:color w:val="003768"/>
          <w:lang w:val="nl-BE"/>
        </w:rPr>
        <w:t>multikanaalbenadering</w:t>
      </w:r>
      <w:proofErr w:type="spellEnd"/>
      <w:r w:rsidRPr="00840394">
        <w:rPr>
          <w:rFonts w:cs="Arial"/>
          <w:bCs/>
          <w:i/>
          <w:color w:val="003768"/>
          <w:lang w:val="nl-BE"/>
        </w:rPr>
        <w:t xml:space="preserve"> voor zijn distributie, waarbij de klant centraal staat. De groep is oprecht dankbaar voor het vertrouwen van zijn klanten en stakeholders in het bedrijf en zijn medewerkers."</w:t>
      </w:r>
    </w:p>
    <w:p w:rsidR="00840394" w:rsidRDefault="00840394">
      <w:pPr>
        <w:spacing w:after="0" w:line="240" w:lineRule="auto"/>
        <w:rPr>
          <w:rFonts w:cs="Arial"/>
          <w:bCs/>
          <w:color w:val="003768"/>
          <w:lang w:val="nl-BE"/>
        </w:rPr>
      </w:pPr>
      <w:r>
        <w:rPr>
          <w:rFonts w:cs="Arial"/>
          <w:bCs/>
          <w:color w:val="003768"/>
          <w:lang w:val="nl-BE"/>
        </w:rPr>
        <w:br w:type="page"/>
      </w:r>
    </w:p>
    <w:p w:rsidR="00840394" w:rsidRPr="00840394" w:rsidRDefault="00840394" w:rsidP="002D344C">
      <w:pPr>
        <w:autoSpaceDE w:val="0"/>
        <w:autoSpaceDN w:val="0"/>
        <w:adjustRightInd w:val="0"/>
        <w:spacing w:after="0" w:line="240" w:lineRule="auto"/>
        <w:ind w:left="993" w:right="4"/>
        <w:rPr>
          <w:rFonts w:cs="Arial"/>
          <w:bCs/>
          <w:color w:val="003768"/>
          <w:lang w:val="nl-BE"/>
        </w:rPr>
      </w:pPr>
    </w:p>
    <w:p w:rsidR="00186A5F" w:rsidRDefault="00186A5F" w:rsidP="002D344C">
      <w:pPr>
        <w:autoSpaceDE w:val="0"/>
        <w:autoSpaceDN w:val="0"/>
        <w:adjustRightInd w:val="0"/>
        <w:spacing w:after="0" w:line="240" w:lineRule="auto"/>
        <w:ind w:left="993" w:right="4"/>
        <w:rPr>
          <w:rFonts w:ascii="Rockwell" w:hAnsi="Rockwell" w:cs="Arial"/>
          <w:b/>
          <w:bCs/>
          <w:color w:val="003366"/>
          <w:sz w:val="28"/>
          <w:szCs w:val="28"/>
          <w:lang w:val="nl-BE"/>
        </w:rPr>
      </w:pPr>
    </w:p>
    <w:p w:rsidR="00B91505" w:rsidRPr="00840394" w:rsidRDefault="00840394" w:rsidP="002D344C">
      <w:pPr>
        <w:autoSpaceDE w:val="0"/>
        <w:autoSpaceDN w:val="0"/>
        <w:adjustRightInd w:val="0"/>
        <w:spacing w:after="0" w:line="240" w:lineRule="auto"/>
        <w:ind w:left="993" w:right="4"/>
        <w:rPr>
          <w:rFonts w:ascii="Rockwell" w:hAnsi="Rockwell" w:cs="Arial"/>
          <w:b/>
          <w:bCs/>
          <w:color w:val="003366"/>
          <w:sz w:val="28"/>
          <w:szCs w:val="28"/>
          <w:lang w:val="nl-BE"/>
        </w:rPr>
      </w:pPr>
      <w:r w:rsidRPr="00840394">
        <w:rPr>
          <w:rFonts w:ascii="Rockwell" w:hAnsi="Rockwell" w:cs="Arial"/>
          <w:b/>
          <w:bCs/>
          <w:color w:val="003366"/>
          <w:sz w:val="28"/>
          <w:szCs w:val="28"/>
          <w:lang w:val="nl-BE"/>
        </w:rPr>
        <w:t xml:space="preserve">Invloed van de </w:t>
      </w:r>
      <w:proofErr w:type="spellStart"/>
      <w:r w:rsidRPr="00840394">
        <w:rPr>
          <w:rFonts w:ascii="Rockwell" w:hAnsi="Rockwell" w:cs="Arial"/>
          <w:b/>
          <w:bCs/>
          <w:color w:val="003366"/>
          <w:sz w:val="28"/>
          <w:szCs w:val="28"/>
          <w:lang w:val="nl-BE"/>
        </w:rPr>
        <w:t>legacy</w:t>
      </w:r>
      <w:proofErr w:type="spellEnd"/>
      <w:r w:rsidRPr="00840394">
        <w:rPr>
          <w:rFonts w:ascii="Rockwell" w:hAnsi="Rockwell" w:cs="Arial"/>
          <w:b/>
          <w:bCs/>
          <w:color w:val="003366"/>
          <w:sz w:val="28"/>
          <w:szCs w:val="28"/>
          <w:lang w:val="nl-BE"/>
        </w:rPr>
        <w:t>-activiteiten en de waardering van het eigen kredietrisico:</w:t>
      </w:r>
    </w:p>
    <w:p w:rsidR="00B91505" w:rsidRPr="00840394" w:rsidRDefault="00B91505" w:rsidP="002D344C">
      <w:pPr>
        <w:autoSpaceDE w:val="0"/>
        <w:autoSpaceDN w:val="0"/>
        <w:adjustRightInd w:val="0"/>
        <w:spacing w:after="0" w:line="240" w:lineRule="auto"/>
        <w:ind w:left="993" w:right="4"/>
        <w:rPr>
          <w:rFonts w:cs="Arial"/>
          <w:color w:val="003366"/>
          <w:lang w:val="nl-BE"/>
        </w:rPr>
      </w:pPr>
    </w:p>
    <w:p w:rsidR="00840394" w:rsidRPr="00840394" w:rsidRDefault="00840394" w:rsidP="00840394">
      <w:pPr>
        <w:autoSpaceDE w:val="0"/>
        <w:autoSpaceDN w:val="0"/>
        <w:adjustRightInd w:val="0"/>
        <w:spacing w:after="120" w:line="240" w:lineRule="auto"/>
        <w:ind w:left="992" w:right="6"/>
        <w:jc w:val="both"/>
        <w:rPr>
          <w:rFonts w:cs="Arial"/>
          <w:color w:val="003768"/>
          <w:lang w:val="nl-BE"/>
        </w:rPr>
      </w:pPr>
      <w:r w:rsidRPr="00840394">
        <w:rPr>
          <w:rFonts w:cs="Arial"/>
          <w:color w:val="003768"/>
          <w:lang w:val="nl-BE"/>
        </w:rPr>
        <w:t xml:space="preserve">Om een duidelijk inzicht te verschaffen in de bedrijfsresultaten geeft KBC ook aangepaste cijfers die geen rekening houden met a) de invloed van de </w:t>
      </w:r>
      <w:proofErr w:type="spellStart"/>
      <w:r w:rsidRPr="00840394">
        <w:rPr>
          <w:rFonts w:cs="Arial"/>
          <w:color w:val="003768"/>
          <w:lang w:val="nl-BE"/>
        </w:rPr>
        <w:t>legacy</w:t>
      </w:r>
      <w:proofErr w:type="spellEnd"/>
      <w:r w:rsidRPr="00840394">
        <w:rPr>
          <w:rFonts w:cs="Arial"/>
          <w:color w:val="003768"/>
          <w:lang w:val="nl-BE"/>
        </w:rPr>
        <w:t xml:space="preserve">-activiteiten, nl. de waardering van de resterende </w:t>
      </w:r>
      <w:proofErr w:type="spellStart"/>
      <w:r w:rsidRPr="00840394">
        <w:rPr>
          <w:rFonts w:cs="Arial"/>
          <w:color w:val="003768"/>
          <w:lang w:val="nl-BE"/>
        </w:rPr>
        <w:t>CDO’s</w:t>
      </w:r>
      <w:proofErr w:type="spellEnd"/>
      <w:r w:rsidRPr="00840394">
        <w:rPr>
          <w:rFonts w:cs="Arial"/>
          <w:color w:val="003768"/>
          <w:lang w:val="nl-BE"/>
        </w:rPr>
        <w:t xml:space="preserve"> in portefeuille (inclusief de vergoeding voor de garantieregeling met de Belgische overheid) en de invloed van de desinvesteringen en b) de invloed van de waardering van het eigen kredietrisico. Voor het derde kwartaal van 2014 hadden die posten de volgende invloed:</w:t>
      </w:r>
    </w:p>
    <w:p w:rsidR="00840394" w:rsidRPr="00840394" w:rsidRDefault="00840394" w:rsidP="00840394">
      <w:pPr>
        <w:pStyle w:val="ListParagraph"/>
        <w:numPr>
          <w:ilvl w:val="0"/>
          <w:numId w:val="2"/>
        </w:numPr>
        <w:autoSpaceDE w:val="0"/>
        <w:autoSpaceDN w:val="0"/>
        <w:adjustRightInd w:val="0"/>
        <w:spacing w:after="120" w:line="240" w:lineRule="auto"/>
        <w:ind w:left="1440" w:right="6" w:hanging="448"/>
        <w:contextualSpacing w:val="0"/>
        <w:jc w:val="both"/>
        <w:rPr>
          <w:rFonts w:cs="Arial"/>
          <w:color w:val="003768"/>
          <w:lang w:val="nl-BE"/>
        </w:rPr>
      </w:pPr>
      <w:proofErr w:type="spellStart"/>
      <w:r w:rsidRPr="00840394">
        <w:rPr>
          <w:rFonts w:cs="Arial"/>
          <w:color w:val="003768"/>
          <w:lang w:val="nl-BE"/>
        </w:rPr>
        <w:t>CDO's</w:t>
      </w:r>
      <w:proofErr w:type="spellEnd"/>
      <w:r w:rsidRPr="00840394">
        <w:rPr>
          <w:rFonts w:cs="Arial"/>
          <w:color w:val="003768"/>
          <w:lang w:val="nl-BE"/>
        </w:rPr>
        <w:t xml:space="preserve">: in het derde kwartaal heeft KBC de laatste twee </w:t>
      </w:r>
      <w:proofErr w:type="spellStart"/>
      <w:r w:rsidRPr="00840394">
        <w:rPr>
          <w:rFonts w:cs="Arial"/>
          <w:color w:val="003768"/>
          <w:lang w:val="nl-BE"/>
        </w:rPr>
        <w:t>CDO's</w:t>
      </w:r>
      <w:proofErr w:type="spellEnd"/>
      <w:r w:rsidRPr="00840394">
        <w:rPr>
          <w:rFonts w:cs="Arial"/>
          <w:color w:val="003768"/>
          <w:lang w:val="nl-BE"/>
        </w:rPr>
        <w:t xml:space="preserve"> in portefeuille </w:t>
      </w:r>
      <w:proofErr w:type="spellStart"/>
      <w:r w:rsidRPr="00840394">
        <w:rPr>
          <w:rFonts w:cs="Arial"/>
          <w:color w:val="003768"/>
          <w:lang w:val="nl-BE"/>
        </w:rPr>
        <w:t>gecollapsed</w:t>
      </w:r>
      <w:proofErr w:type="spellEnd"/>
      <w:r w:rsidRPr="00840394">
        <w:rPr>
          <w:rFonts w:cs="Arial"/>
          <w:color w:val="003768"/>
          <w:lang w:val="nl-BE"/>
        </w:rPr>
        <w:t xml:space="preserve">. Dat had een beperkte negatieve invloed op de resultaten maar een positieve invloed op het kapitaal. De totale invloed ervan op de winst-en-verliesrekening van KBC voor het derde kwartaal bedroeg -24 miljoen euro (na belastingen), rekening houdend met de wijzigingen van de credit spreads en de garantievergoedingen. Door de </w:t>
      </w:r>
      <w:proofErr w:type="spellStart"/>
      <w:r w:rsidRPr="00840394">
        <w:rPr>
          <w:rFonts w:cs="Arial"/>
          <w:color w:val="003768"/>
          <w:lang w:val="nl-BE"/>
        </w:rPr>
        <w:t>collapse</w:t>
      </w:r>
      <w:proofErr w:type="spellEnd"/>
      <w:r w:rsidRPr="00840394">
        <w:rPr>
          <w:rFonts w:cs="Arial"/>
          <w:color w:val="003768"/>
          <w:lang w:val="nl-BE"/>
        </w:rPr>
        <w:t xml:space="preserve"> van de </w:t>
      </w:r>
      <w:proofErr w:type="spellStart"/>
      <w:r w:rsidRPr="00840394">
        <w:rPr>
          <w:rFonts w:cs="Arial"/>
          <w:color w:val="003768"/>
          <w:lang w:val="nl-BE"/>
        </w:rPr>
        <w:t>CDO's</w:t>
      </w:r>
      <w:proofErr w:type="spellEnd"/>
      <w:r w:rsidRPr="00840394">
        <w:rPr>
          <w:rFonts w:cs="Arial"/>
          <w:color w:val="003768"/>
          <w:lang w:val="nl-BE"/>
        </w:rPr>
        <w:t xml:space="preserve"> kwam 0,3 miljard euro aan kapitaal vrij en nam de solvabiliteit van KBC toe met 0,4%.</w:t>
      </w:r>
    </w:p>
    <w:p w:rsidR="00840394" w:rsidRPr="00840394" w:rsidRDefault="00840394" w:rsidP="00840394">
      <w:pPr>
        <w:pStyle w:val="ListParagraph"/>
        <w:numPr>
          <w:ilvl w:val="0"/>
          <w:numId w:val="2"/>
        </w:numPr>
        <w:autoSpaceDE w:val="0"/>
        <w:autoSpaceDN w:val="0"/>
        <w:adjustRightInd w:val="0"/>
        <w:spacing w:after="120" w:line="240" w:lineRule="auto"/>
        <w:ind w:left="1440" w:right="6" w:hanging="448"/>
        <w:contextualSpacing w:val="0"/>
        <w:jc w:val="both"/>
        <w:rPr>
          <w:rFonts w:cs="Arial"/>
          <w:color w:val="003768"/>
          <w:lang w:val="nl-BE"/>
        </w:rPr>
      </w:pPr>
      <w:r w:rsidRPr="00840394">
        <w:rPr>
          <w:rFonts w:cs="Arial"/>
          <w:color w:val="003768"/>
          <w:lang w:val="nl-BE"/>
        </w:rPr>
        <w:t xml:space="preserve">Resterende desinvesteringen: voor het voorbije kwartaal was er een positief effect van in totaal 132 miljoen euro na belastingen. Dat was voornamelijk het gevolg van een terugname van de waardevermindering op het belang in Antwerpse Diamantbank in 2012 en 2013. </w:t>
      </w:r>
    </w:p>
    <w:p w:rsidR="00840394" w:rsidRPr="00840394" w:rsidRDefault="00840394" w:rsidP="00840394">
      <w:pPr>
        <w:pStyle w:val="ListParagraph"/>
        <w:numPr>
          <w:ilvl w:val="0"/>
          <w:numId w:val="2"/>
        </w:numPr>
        <w:autoSpaceDE w:val="0"/>
        <w:autoSpaceDN w:val="0"/>
        <w:adjustRightInd w:val="0"/>
        <w:spacing w:after="120" w:line="240" w:lineRule="auto"/>
        <w:ind w:left="1440" w:right="6" w:hanging="448"/>
        <w:contextualSpacing w:val="0"/>
        <w:jc w:val="both"/>
        <w:rPr>
          <w:rFonts w:cs="Arial"/>
          <w:color w:val="003768"/>
          <w:lang w:val="nl-BE"/>
        </w:rPr>
      </w:pPr>
      <w:r w:rsidRPr="00840394">
        <w:rPr>
          <w:rFonts w:cs="Arial"/>
          <w:color w:val="003768"/>
          <w:lang w:val="nl-BE"/>
        </w:rPr>
        <w:t xml:space="preserve">Invloed van de waardering van het eigen kredietrisico: de vernauwing van de senior credit spread, in combinatie met de verbreding van de achtergestelde credit spread van KBC tussen eind juni 2014 en eind september 2014 leidde tot een licht positieve </w:t>
      </w:r>
      <w:proofErr w:type="spellStart"/>
      <w:r w:rsidRPr="00840394">
        <w:rPr>
          <w:rFonts w:cs="Arial"/>
          <w:color w:val="003768"/>
          <w:lang w:val="nl-BE"/>
        </w:rPr>
        <w:t>marked</w:t>
      </w:r>
      <w:proofErr w:type="spellEnd"/>
      <w:r w:rsidRPr="00840394">
        <w:rPr>
          <w:rFonts w:cs="Arial"/>
          <w:color w:val="003768"/>
          <w:lang w:val="nl-BE"/>
        </w:rPr>
        <w:t>-</w:t>
      </w:r>
      <w:proofErr w:type="spellStart"/>
      <w:r w:rsidRPr="00840394">
        <w:rPr>
          <w:rFonts w:cs="Arial"/>
          <w:color w:val="003768"/>
          <w:lang w:val="nl-BE"/>
        </w:rPr>
        <w:t>to</w:t>
      </w:r>
      <w:proofErr w:type="spellEnd"/>
      <w:r w:rsidRPr="00840394">
        <w:rPr>
          <w:rFonts w:cs="Arial"/>
          <w:color w:val="003768"/>
          <w:lang w:val="nl-BE"/>
        </w:rPr>
        <w:t>-marketaanpassing van 6 miljoen euro (na belastingen), maar had geen invloed op het reglementair eigen vermogen.</w:t>
      </w:r>
    </w:p>
    <w:p w:rsidR="00840394" w:rsidRDefault="00840394">
      <w:pPr>
        <w:spacing w:after="0" w:line="240" w:lineRule="auto"/>
        <w:rPr>
          <w:rFonts w:cs="Arial"/>
          <w:color w:val="003768"/>
          <w:lang w:val="nl-BE"/>
        </w:rPr>
      </w:pPr>
      <w:r>
        <w:rPr>
          <w:rFonts w:cs="Arial"/>
          <w:color w:val="003768"/>
          <w:lang w:val="nl-BE"/>
        </w:rPr>
        <w:br w:type="page"/>
      </w:r>
    </w:p>
    <w:p w:rsidR="00186A5F" w:rsidRDefault="00186A5F" w:rsidP="00840394">
      <w:pPr>
        <w:autoSpaceDE w:val="0"/>
        <w:autoSpaceDN w:val="0"/>
        <w:adjustRightInd w:val="0"/>
        <w:spacing w:after="0" w:line="240" w:lineRule="auto"/>
        <w:ind w:left="993" w:right="4"/>
        <w:rPr>
          <w:rFonts w:ascii="Rockwell" w:hAnsi="Rockwell" w:cs="Arial"/>
          <w:b/>
          <w:bCs/>
          <w:color w:val="003366"/>
          <w:sz w:val="28"/>
          <w:szCs w:val="28"/>
          <w:lang w:val="nl-BE"/>
        </w:rPr>
      </w:pPr>
    </w:p>
    <w:p w:rsidR="00840394" w:rsidRDefault="00840394" w:rsidP="00840394">
      <w:pPr>
        <w:autoSpaceDE w:val="0"/>
        <w:autoSpaceDN w:val="0"/>
        <w:adjustRightInd w:val="0"/>
        <w:spacing w:after="0" w:line="240" w:lineRule="auto"/>
        <w:ind w:left="993" w:right="4"/>
        <w:rPr>
          <w:rFonts w:cs="Arial"/>
          <w:color w:val="003768"/>
          <w:lang w:val="nl-BE"/>
        </w:rPr>
      </w:pPr>
      <w:r w:rsidRPr="00840394">
        <w:rPr>
          <w:rFonts w:ascii="Rockwell" w:hAnsi="Rockwell" w:cs="Arial"/>
          <w:b/>
          <w:bCs/>
          <w:color w:val="003366"/>
          <w:sz w:val="28"/>
          <w:szCs w:val="28"/>
          <w:lang w:val="nl-BE"/>
        </w:rPr>
        <w:t>Financiële hoofdlijnen van het derde kwartaal van 2014, in vergelijking met het tweede kwartaal van 2014:</w:t>
      </w:r>
    </w:p>
    <w:p w:rsidR="00840394" w:rsidRDefault="00840394" w:rsidP="00840394">
      <w:pPr>
        <w:autoSpaceDE w:val="0"/>
        <w:autoSpaceDN w:val="0"/>
        <w:adjustRightInd w:val="0"/>
        <w:spacing w:after="0" w:line="240" w:lineRule="auto"/>
        <w:ind w:left="993" w:right="4"/>
        <w:rPr>
          <w:rFonts w:cs="Arial"/>
          <w:color w:val="003768"/>
          <w:lang w:val="nl-BE"/>
        </w:rPr>
      </w:pPr>
    </w:p>
    <w:p w:rsidR="00840394" w:rsidRPr="00840394" w:rsidRDefault="00840394" w:rsidP="00840394">
      <w:pPr>
        <w:pStyle w:val="ListParagraph"/>
        <w:numPr>
          <w:ilvl w:val="0"/>
          <w:numId w:val="2"/>
        </w:numPr>
        <w:autoSpaceDE w:val="0"/>
        <w:autoSpaceDN w:val="0"/>
        <w:adjustRightInd w:val="0"/>
        <w:spacing w:after="0" w:line="240" w:lineRule="auto"/>
        <w:ind w:right="4"/>
        <w:rPr>
          <w:rFonts w:cs="Arial"/>
          <w:color w:val="003768"/>
          <w:lang w:val="nl-BE"/>
        </w:rPr>
      </w:pPr>
      <w:r w:rsidRPr="00840394">
        <w:rPr>
          <w:rFonts w:cs="Arial"/>
          <w:color w:val="003768"/>
          <w:lang w:val="nl-BE"/>
        </w:rPr>
        <w:t>Sterk commercieel nettoresultaat.</w:t>
      </w:r>
    </w:p>
    <w:p w:rsidR="00840394" w:rsidRPr="00840394" w:rsidRDefault="00840394" w:rsidP="00840394">
      <w:pPr>
        <w:pStyle w:val="ListParagraph"/>
        <w:numPr>
          <w:ilvl w:val="0"/>
          <w:numId w:val="2"/>
        </w:numPr>
        <w:autoSpaceDE w:val="0"/>
        <w:autoSpaceDN w:val="0"/>
        <w:adjustRightInd w:val="0"/>
        <w:spacing w:after="0" w:line="240" w:lineRule="auto"/>
        <w:ind w:right="4"/>
        <w:rPr>
          <w:rFonts w:cs="Arial"/>
          <w:color w:val="003768"/>
          <w:lang w:val="nl-BE"/>
        </w:rPr>
      </w:pPr>
      <w:proofErr w:type="spellStart"/>
      <w:r w:rsidRPr="00840394">
        <w:rPr>
          <w:rFonts w:cs="Arial"/>
          <w:color w:val="003768"/>
          <w:lang w:val="nl-BE"/>
        </w:rPr>
        <w:t>Nettorente</w:t>
      </w:r>
      <w:proofErr w:type="spellEnd"/>
      <w:r w:rsidRPr="00840394">
        <w:rPr>
          <w:rFonts w:cs="Arial"/>
          <w:color w:val="003768"/>
          <w:lang w:val="nl-BE"/>
        </w:rPr>
        <w:t>-inkomsten gestegen met 6%.</w:t>
      </w:r>
    </w:p>
    <w:p w:rsidR="00840394" w:rsidRPr="00840394" w:rsidRDefault="00840394" w:rsidP="00840394">
      <w:pPr>
        <w:pStyle w:val="ListParagraph"/>
        <w:numPr>
          <w:ilvl w:val="0"/>
          <w:numId w:val="2"/>
        </w:numPr>
        <w:autoSpaceDE w:val="0"/>
        <w:autoSpaceDN w:val="0"/>
        <w:adjustRightInd w:val="0"/>
        <w:spacing w:after="0" w:line="240" w:lineRule="auto"/>
        <w:ind w:right="4"/>
        <w:rPr>
          <w:rFonts w:cs="Arial"/>
          <w:color w:val="003768"/>
          <w:lang w:val="nl-BE"/>
        </w:rPr>
      </w:pPr>
      <w:proofErr w:type="spellStart"/>
      <w:r w:rsidRPr="00840394">
        <w:rPr>
          <w:rFonts w:cs="Arial"/>
          <w:color w:val="003768"/>
          <w:lang w:val="nl-BE"/>
        </w:rPr>
        <w:t>Nettorentemarge</w:t>
      </w:r>
      <w:proofErr w:type="spellEnd"/>
      <w:r w:rsidRPr="00840394">
        <w:rPr>
          <w:rFonts w:cs="Arial"/>
          <w:color w:val="003768"/>
          <w:lang w:val="nl-BE"/>
        </w:rPr>
        <w:t xml:space="preserve"> gestegen van 2,05% naar 2,15%.</w:t>
      </w:r>
    </w:p>
    <w:p w:rsidR="00840394" w:rsidRPr="00840394" w:rsidRDefault="00840394" w:rsidP="00840394">
      <w:pPr>
        <w:pStyle w:val="ListParagraph"/>
        <w:numPr>
          <w:ilvl w:val="0"/>
          <w:numId w:val="2"/>
        </w:numPr>
        <w:autoSpaceDE w:val="0"/>
        <w:autoSpaceDN w:val="0"/>
        <w:adjustRightInd w:val="0"/>
        <w:spacing w:after="0" w:line="240" w:lineRule="auto"/>
        <w:ind w:right="4"/>
        <w:rPr>
          <w:rFonts w:cs="Arial"/>
          <w:color w:val="003768"/>
          <w:lang w:val="nl-BE"/>
        </w:rPr>
      </w:pPr>
      <w:r w:rsidRPr="00840394">
        <w:rPr>
          <w:rFonts w:cs="Arial"/>
          <w:color w:val="003768"/>
          <w:lang w:val="nl-BE"/>
        </w:rPr>
        <w:t>Sterke krediet- en depositogroei in alle kernlanden.</w:t>
      </w:r>
    </w:p>
    <w:p w:rsidR="00840394" w:rsidRPr="00840394" w:rsidRDefault="00840394" w:rsidP="00840394">
      <w:pPr>
        <w:pStyle w:val="ListParagraph"/>
        <w:numPr>
          <w:ilvl w:val="0"/>
          <w:numId w:val="2"/>
        </w:numPr>
        <w:autoSpaceDE w:val="0"/>
        <w:autoSpaceDN w:val="0"/>
        <w:adjustRightInd w:val="0"/>
        <w:spacing w:after="0" w:line="240" w:lineRule="auto"/>
        <w:ind w:right="4"/>
        <w:rPr>
          <w:rFonts w:cs="Arial"/>
          <w:color w:val="003768"/>
          <w:lang w:val="nl-BE"/>
        </w:rPr>
      </w:pPr>
      <w:r w:rsidRPr="00840394">
        <w:rPr>
          <w:rFonts w:cs="Arial"/>
          <w:color w:val="003768"/>
          <w:lang w:val="nl-BE"/>
        </w:rPr>
        <w:t xml:space="preserve">Uitstekende gecombineerde ratio voor schadeverzekeringen van 93% </w:t>
      </w:r>
      <w:proofErr w:type="spellStart"/>
      <w:r w:rsidRPr="00840394">
        <w:rPr>
          <w:rFonts w:cs="Arial"/>
          <w:color w:val="003768"/>
          <w:lang w:val="nl-BE"/>
        </w:rPr>
        <w:t>year</w:t>
      </w:r>
      <w:proofErr w:type="spellEnd"/>
      <w:r w:rsidRPr="00840394">
        <w:rPr>
          <w:rFonts w:cs="Arial"/>
          <w:color w:val="003768"/>
          <w:lang w:val="nl-BE"/>
        </w:rPr>
        <w:t>-</w:t>
      </w:r>
      <w:proofErr w:type="spellStart"/>
      <w:r w:rsidRPr="00840394">
        <w:rPr>
          <w:rFonts w:cs="Arial"/>
          <w:color w:val="003768"/>
          <w:lang w:val="nl-BE"/>
        </w:rPr>
        <w:t>to</w:t>
      </w:r>
      <w:proofErr w:type="spellEnd"/>
      <w:r w:rsidRPr="00840394">
        <w:rPr>
          <w:rFonts w:cs="Arial"/>
          <w:color w:val="003768"/>
          <w:lang w:val="nl-BE"/>
        </w:rPr>
        <w:t xml:space="preserve">-date. </w:t>
      </w:r>
    </w:p>
    <w:p w:rsidR="00840394" w:rsidRPr="00840394" w:rsidRDefault="00840394" w:rsidP="00840394">
      <w:pPr>
        <w:pStyle w:val="ListParagraph"/>
        <w:numPr>
          <w:ilvl w:val="0"/>
          <w:numId w:val="2"/>
        </w:numPr>
        <w:autoSpaceDE w:val="0"/>
        <w:autoSpaceDN w:val="0"/>
        <w:adjustRightInd w:val="0"/>
        <w:spacing w:after="0" w:line="240" w:lineRule="auto"/>
        <w:ind w:right="4"/>
        <w:rPr>
          <w:rFonts w:cs="Arial"/>
          <w:color w:val="003768"/>
          <w:lang w:val="nl-BE"/>
        </w:rPr>
      </w:pPr>
      <w:r w:rsidRPr="00840394">
        <w:rPr>
          <w:rFonts w:cs="Arial"/>
          <w:color w:val="003768"/>
          <w:lang w:val="nl-BE"/>
        </w:rPr>
        <w:t>Hogere verkoop van levensverzekeringen.</w:t>
      </w:r>
    </w:p>
    <w:p w:rsidR="00840394" w:rsidRPr="00840394" w:rsidRDefault="00840394" w:rsidP="00840394">
      <w:pPr>
        <w:pStyle w:val="ListParagraph"/>
        <w:numPr>
          <w:ilvl w:val="0"/>
          <w:numId w:val="2"/>
        </w:numPr>
        <w:autoSpaceDE w:val="0"/>
        <w:autoSpaceDN w:val="0"/>
        <w:adjustRightInd w:val="0"/>
        <w:spacing w:after="0" w:line="240" w:lineRule="auto"/>
        <w:ind w:right="4"/>
        <w:rPr>
          <w:rFonts w:cs="Arial"/>
          <w:color w:val="003768"/>
          <w:lang w:val="nl-BE"/>
        </w:rPr>
      </w:pPr>
      <w:proofErr w:type="spellStart"/>
      <w:r w:rsidRPr="00840394">
        <w:rPr>
          <w:rFonts w:cs="Arial"/>
          <w:color w:val="003768"/>
          <w:lang w:val="nl-BE"/>
        </w:rPr>
        <w:t>Nettoprovisie</w:t>
      </w:r>
      <w:proofErr w:type="spellEnd"/>
      <w:r w:rsidRPr="00840394">
        <w:rPr>
          <w:rFonts w:cs="Arial"/>
          <w:color w:val="003768"/>
          <w:lang w:val="nl-BE"/>
        </w:rPr>
        <w:t>-inkomsten met 4% gestegen, ondanks de zomermaanden.</w:t>
      </w:r>
    </w:p>
    <w:p w:rsidR="00840394" w:rsidRPr="00840394" w:rsidRDefault="00840394" w:rsidP="00840394">
      <w:pPr>
        <w:pStyle w:val="ListParagraph"/>
        <w:numPr>
          <w:ilvl w:val="0"/>
          <w:numId w:val="2"/>
        </w:numPr>
        <w:autoSpaceDE w:val="0"/>
        <w:autoSpaceDN w:val="0"/>
        <w:adjustRightInd w:val="0"/>
        <w:spacing w:after="0" w:line="240" w:lineRule="auto"/>
        <w:ind w:right="4"/>
        <w:rPr>
          <w:rFonts w:cs="Arial"/>
          <w:color w:val="003768"/>
          <w:lang w:val="nl-BE"/>
        </w:rPr>
      </w:pPr>
      <w:r w:rsidRPr="00840394">
        <w:rPr>
          <w:rFonts w:cs="Arial"/>
          <w:color w:val="003768"/>
          <w:lang w:val="nl-BE"/>
        </w:rPr>
        <w:t xml:space="preserve">Kosten-inkomstenratio van 59% </w:t>
      </w:r>
      <w:proofErr w:type="spellStart"/>
      <w:r w:rsidRPr="00840394">
        <w:rPr>
          <w:rFonts w:cs="Arial"/>
          <w:color w:val="003768"/>
          <w:lang w:val="nl-BE"/>
        </w:rPr>
        <w:t>year</w:t>
      </w:r>
      <w:proofErr w:type="spellEnd"/>
      <w:r w:rsidRPr="00840394">
        <w:rPr>
          <w:rFonts w:cs="Arial"/>
          <w:color w:val="003768"/>
          <w:lang w:val="nl-BE"/>
        </w:rPr>
        <w:t>-</w:t>
      </w:r>
      <w:proofErr w:type="spellStart"/>
      <w:r w:rsidRPr="00840394">
        <w:rPr>
          <w:rFonts w:cs="Arial"/>
          <w:color w:val="003768"/>
          <w:lang w:val="nl-BE"/>
        </w:rPr>
        <w:t>to</w:t>
      </w:r>
      <w:proofErr w:type="spellEnd"/>
      <w:r w:rsidRPr="00840394">
        <w:rPr>
          <w:rFonts w:cs="Arial"/>
          <w:color w:val="003768"/>
          <w:lang w:val="nl-BE"/>
        </w:rPr>
        <w:t xml:space="preserve">-date, of 54% na aanpassing voor specifieke items (voornamelijk de </w:t>
      </w:r>
      <w:proofErr w:type="spellStart"/>
      <w:r w:rsidRPr="00840394">
        <w:rPr>
          <w:rFonts w:cs="Arial"/>
          <w:color w:val="003768"/>
          <w:lang w:val="nl-BE"/>
        </w:rPr>
        <w:t>marked</w:t>
      </w:r>
      <w:proofErr w:type="spellEnd"/>
      <w:r w:rsidRPr="00840394">
        <w:rPr>
          <w:rFonts w:cs="Arial"/>
          <w:color w:val="003768"/>
          <w:lang w:val="nl-BE"/>
        </w:rPr>
        <w:t>-</w:t>
      </w:r>
      <w:proofErr w:type="spellStart"/>
      <w:r w:rsidRPr="00840394">
        <w:rPr>
          <w:rFonts w:cs="Arial"/>
          <w:color w:val="003768"/>
          <w:lang w:val="nl-BE"/>
        </w:rPr>
        <w:t>to</w:t>
      </w:r>
      <w:proofErr w:type="spellEnd"/>
      <w:r w:rsidRPr="00840394">
        <w:rPr>
          <w:rFonts w:cs="Arial"/>
          <w:color w:val="003768"/>
          <w:lang w:val="nl-BE"/>
        </w:rPr>
        <w:t>-marketwaarderingen voor ALM-derivaten en de Hongaarse wet op particuliere kredieten in het vorige kwartaal).</w:t>
      </w:r>
    </w:p>
    <w:p w:rsidR="00840394" w:rsidRPr="00840394" w:rsidRDefault="00840394" w:rsidP="00840394">
      <w:pPr>
        <w:pStyle w:val="ListParagraph"/>
        <w:numPr>
          <w:ilvl w:val="0"/>
          <w:numId w:val="2"/>
        </w:numPr>
        <w:autoSpaceDE w:val="0"/>
        <w:autoSpaceDN w:val="0"/>
        <w:adjustRightInd w:val="0"/>
        <w:spacing w:after="0" w:line="240" w:lineRule="auto"/>
        <w:ind w:right="4"/>
        <w:rPr>
          <w:rFonts w:cs="Arial"/>
          <w:color w:val="003768"/>
        </w:rPr>
      </w:pPr>
      <w:proofErr w:type="spellStart"/>
      <w:r w:rsidRPr="00840394">
        <w:rPr>
          <w:rFonts w:cs="Arial"/>
          <w:color w:val="003768"/>
        </w:rPr>
        <w:t>Lage</w:t>
      </w:r>
      <w:proofErr w:type="spellEnd"/>
      <w:r w:rsidRPr="00840394">
        <w:rPr>
          <w:rFonts w:cs="Arial"/>
          <w:color w:val="003768"/>
        </w:rPr>
        <w:t xml:space="preserve"> </w:t>
      </w:r>
      <w:proofErr w:type="spellStart"/>
      <w:r w:rsidRPr="00840394">
        <w:rPr>
          <w:rFonts w:cs="Arial"/>
          <w:color w:val="003768"/>
        </w:rPr>
        <w:t>kredietkostenratio</w:t>
      </w:r>
      <w:proofErr w:type="spellEnd"/>
      <w:r w:rsidRPr="00840394">
        <w:rPr>
          <w:rFonts w:cs="Arial"/>
          <w:color w:val="003768"/>
        </w:rPr>
        <w:t xml:space="preserve"> van 0,41% year-to-date.</w:t>
      </w:r>
    </w:p>
    <w:p w:rsidR="00840394" w:rsidRPr="00840394" w:rsidRDefault="00840394" w:rsidP="00840394">
      <w:pPr>
        <w:pStyle w:val="ListParagraph"/>
        <w:numPr>
          <w:ilvl w:val="0"/>
          <w:numId w:val="2"/>
        </w:numPr>
        <w:autoSpaceDE w:val="0"/>
        <w:autoSpaceDN w:val="0"/>
        <w:adjustRightInd w:val="0"/>
        <w:spacing w:after="0" w:line="240" w:lineRule="auto"/>
        <w:ind w:right="4"/>
        <w:rPr>
          <w:rFonts w:cs="Arial"/>
          <w:color w:val="003768"/>
          <w:lang w:val="nl-BE"/>
        </w:rPr>
      </w:pPr>
      <w:r w:rsidRPr="00840394">
        <w:rPr>
          <w:rFonts w:cs="Arial"/>
          <w:color w:val="003768"/>
          <w:lang w:val="nl-BE"/>
        </w:rPr>
        <w:t>Blijvend stevige liquiditeitspositie met een LCR van 120% en een NSFR van 109%.</w:t>
      </w:r>
    </w:p>
    <w:p w:rsidR="00840394" w:rsidRPr="00840394" w:rsidRDefault="00840394" w:rsidP="00840394">
      <w:pPr>
        <w:pStyle w:val="ListParagraph"/>
        <w:numPr>
          <w:ilvl w:val="0"/>
          <w:numId w:val="2"/>
        </w:numPr>
        <w:autoSpaceDE w:val="0"/>
        <w:autoSpaceDN w:val="0"/>
        <w:adjustRightInd w:val="0"/>
        <w:spacing w:after="0" w:line="240" w:lineRule="auto"/>
        <w:ind w:right="4"/>
        <w:rPr>
          <w:rFonts w:cs="Arial"/>
          <w:color w:val="003768"/>
          <w:lang w:val="nl-BE"/>
        </w:rPr>
      </w:pPr>
      <w:r w:rsidRPr="00840394">
        <w:rPr>
          <w:rFonts w:cs="Arial"/>
          <w:color w:val="003768"/>
          <w:lang w:val="nl-BE"/>
        </w:rPr>
        <w:t xml:space="preserve">Solvabiliteit: sterke kapitaalbasis met een common </w:t>
      </w:r>
      <w:proofErr w:type="spellStart"/>
      <w:r w:rsidRPr="00840394">
        <w:rPr>
          <w:rFonts w:cs="Arial"/>
          <w:color w:val="003768"/>
          <w:lang w:val="nl-BE"/>
        </w:rPr>
        <w:t>equity</w:t>
      </w:r>
      <w:proofErr w:type="spellEnd"/>
      <w:r w:rsidRPr="00840394">
        <w:rPr>
          <w:rFonts w:cs="Arial"/>
          <w:color w:val="003768"/>
          <w:lang w:val="nl-BE"/>
        </w:rPr>
        <w:t xml:space="preserve"> ratio volgens </w:t>
      </w:r>
      <w:proofErr w:type="spellStart"/>
      <w:r w:rsidRPr="00840394">
        <w:rPr>
          <w:rFonts w:cs="Arial"/>
          <w:color w:val="003768"/>
          <w:lang w:val="nl-BE"/>
        </w:rPr>
        <w:t>Basel</w:t>
      </w:r>
      <w:proofErr w:type="spellEnd"/>
      <w:r w:rsidRPr="00840394">
        <w:rPr>
          <w:rFonts w:cs="Arial"/>
          <w:color w:val="003768"/>
          <w:lang w:val="nl-BE"/>
        </w:rPr>
        <w:t xml:space="preserve"> III (</w:t>
      </w:r>
      <w:proofErr w:type="spellStart"/>
      <w:r w:rsidRPr="00840394">
        <w:rPr>
          <w:rFonts w:cs="Arial"/>
          <w:color w:val="003768"/>
          <w:lang w:val="nl-BE"/>
        </w:rPr>
        <w:t>fully</w:t>
      </w:r>
      <w:proofErr w:type="spellEnd"/>
      <w:r w:rsidRPr="00840394">
        <w:rPr>
          <w:rFonts w:cs="Arial"/>
          <w:color w:val="003768"/>
          <w:lang w:val="nl-BE"/>
        </w:rPr>
        <w:t xml:space="preserve"> </w:t>
      </w:r>
      <w:proofErr w:type="spellStart"/>
      <w:r w:rsidRPr="00840394">
        <w:rPr>
          <w:rFonts w:cs="Arial"/>
          <w:color w:val="003768"/>
          <w:lang w:val="nl-BE"/>
        </w:rPr>
        <w:t>loaded</w:t>
      </w:r>
      <w:proofErr w:type="spellEnd"/>
      <w:r w:rsidRPr="00840394">
        <w:rPr>
          <w:rFonts w:cs="Arial"/>
          <w:color w:val="003768"/>
          <w:lang w:val="nl-BE"/>
        </w:rPr>
        <w:t>) van 13,7%, ruim boven de doelstelling van 10,5%.</w:t>
      </w:r>
    </w:p>
    <w:p w:rsidR="00840394" w:rsidRDefault="00840394" w:rsidP="00840394">
      <w:pPr>
        <w:autoSpaceDE w:val="0"/>
        <w:autoSpaceDN w:val="0"/>
        <w:adjustRightInd w:val="0"/>
        <w:spacing w:after="0" w:line="240" w:lineRule="auto"/>
        <w:ind w:left="993" w:right="4"/>
        <w:rPr>
          <w:rFonts w:cs="Arial"/>
          <w:color w:val="003768"/>
          <w:lang w:val="nl-BE"/>
        </w:rPr>
      </w:pPr>
    </w:p>
    <w:tbl>
      <w:tblPr>
        <w:tblpPr w:leftFromText="141" w:rightFromText="141" w:vertAnchor="text" w:horzAnchor="page" w:tblpX="1363" w:tblpY="15"/>
        <w:tblW w:w="10206" w:type="dxa"/>
        <w:tblLayout w:type="fixed"/>
        <w:tblLook w:val="01E0" w:firstRow="1" w:lastRow="1" w:firstColumn="1" w:lastColumn="1" w:noHBand="0" w:noVBand="0"/>
      </w:tblPr>
      <w:tblGrid>
        <w:gridCol w:w="5387"/>
        <w:gridCol w:w="850"/>
        <w:gridCol w:w="992"/>
        <w:gridCol w:w="992"/>
        <w:gridCol w:w="993"/>
        <w:gridCol w:w="992"/>
      </w:tblGrid>
      <w:tr w:rsidR="00B744CA" w:rsidRPr="00093739" w:rsidTr="00B744CA">
        <w:tc>
          <w:tcPr>
            <w:tcW w:w="5387" w:type="dxa"/>
            <w:shd w:val="clear" w:color="auto" w:fill="365F91" w:themeFill="accent1" w:themeFillShade="BF"/>
            <w:vAlign w:val="center"/>
          </w:tcPr>
          <w:p w:rsidR="00B744CA" w:rsidRPr="00EE6B70" w:rsidRDefault="00B744CA" w:rsidP="00B744CA">
            <w:pPr>
              <w:pStyle w:val="Intro"/>
              <w:jc w:val="left"/>
              <w:rPr>
                <w:b w:val="0"/>
                <w:bCs w:val="0"/>
                <w:color w:val="FFFFFF" w:themeColor="background1"/>
                <w:sz w:val="14"/>
                <w:szCs w:val="24"/>
                <w:lang w:val="nl-BE"/>
              </w:rPr>
            </w:pPr>
            <w:r w:rsidRPr="00EE6B70">
              <w:rPr>
                <w:b w:val="0"/>
                <w:bCs w:val="0"/>
                <w:color w:val="FFFFFF" w:themeColor="background1"/>
                <w:sz w:val="14"/>
                <w:szCs w:val="24"/>
                <w:lang w:val="nl-BE"/>
              </w:rPr>
              <w:t>Overzicht</w:t>
            </w:r>
          </w:p>
          <w:p w:rsidR="00B744CA" w:rsidRPr="00EE6B70" w:rsidRDefault="00B744CA" w:rsidP="00B744CA">
            <w:pPr>
              <w:pStyle w:val="Intro"/>
              <w:jc w:val="left"/>
              <w:rPr>
                <w:bCs w:val="0"/>
                <w:color w:val="FFFFFF" w:themeColor="background1"/>
                <w:szCs w:val="24"/>
                <w:lang w:val="nl-BE"/>
              </w:rPr>
            </w:pPr>
            <w:r w:rsidRPr="00EE6B70">
              <w:rPr>
                <w:b w:val="0"/>
                <w:bCs w:val="0"/>
                <w:color w:val="FFFFFF" w:themeColor="background1"/>
                <w:sz w:val="14"/>
                <w:szCs w:val="24"/>
                <w:lang w:val="nl-BE"/>
              </w:rPr>
              <w:t>KBC Groep (geconsolideerd)</w:t>
            </w:r>
          </w:p>
        </w:tc>
        <w:tc>
          <w:tcPr>
            <w:tcW w:w="850" w:type="dxa"/>
            <w:shd w:val="clear" w:color="auto" w:fill="365F91" w:themeFill="accent1" w:themeFillShade="BF"/>
            <w:vAlign w:val="center"/>
          </w:tcPr>
          <w:p w:rsidR="00B744CA" w:rsidRPr="00093739" w:rsidRDefault="00B744CA" w:rsidP="00B744CA">
            <w:pPr>
              <w:jc w:val="right"/>
              <w:rPr>
                <w:rFonts w:ascii="Arial" w:hAnsi="Arial"/>
                <w:bCs/>
                <w:snapToGrid w:val="0"/>
                <w:color w:val="FFFFFF" w:themeColor="background1"/>
                <w:sz w:val="14"/>
                <w:szCs w:val="14"/>
              </w:rPr>
            </w:pPr>
            <w:r>
              <w:rPr>
                <w:rFonts w:ascii="Arial" w:hAnsi="Arial"/>
                <w:bCs/>
                <w:snapToGrid w:val="0"/>
                <w:color w:val="FFFFFF" w:themeColor="background1"/>
                <w:sz w:val="14"/>
                <w:szCs w:val="14"/>
              </w:rPr>
              <w:t>3KW</w:t>
            </w:r>
            <w:r w:rsidRPr="00093739">
              <w:rPr>
                <w:rFonts w:ascii="Arial" w:hAnsi="Arial"/>
                <w:bCs/>
                <w:snapToGrid w:val="0"/>
                <w:color w:val="FFFFFF" w:themeColor="background1"/>
                <w:sz w:val="14"/>
                <w:szCs w:val="14"/>
              </w:rPr>
              <w:t>2013</w:t>
            </w:r>
          </w:p>
        </w:tc>
        <w:tc>
          <w:tcPr>
            <w:tcW w:w="992" w:type="dxa"/>
            <w:shd w:val="clear" w:color="auto" w:fill="365F91" w:themeFill="accent1" w:themeFillShade="BF"/>
            <w:vAlign w:val="center"/>
          </w:tcPr>
          <w:p w:rsidR="00B744CA" w:rsidRPr="00093739" w:rsidRDefault="00B744CA" w:rsidP="00B744CA">
            <w:pPr>
              <w:jc w:val="right"/>
              <w:rPr>
                <w:rFonts w:ascii="Arial" w:hAnsi="Arial"/>
                <w:bCs/>
                <w:snapToGrid w:val="0"/>
                <w:color w:val="FFFFFF" w:themeColor="background1"/>
                <w:sz w:val="14"/>
                <w:szCs w:val="14"/>
              </w:rPr>
            </w:pPr>
            <w:r>
              <w:rPr>
                <w:rFonts w:ascii="Arial" w:hAnsi="Arial"/>
                <w:bCs/>
                <w:snapToGrid w:val="0"/>
                <w:color w:val="FFFFFF" w:themeColor="background1"/>
                <w:sz w:val="14"/>
                <w:szCs w:val="14"/>
              </w:rPr>
              <w:t>2KW</w:t>
            </w:r>
            <w:r w:rsidRPr="00093739">
              <w:rPr>
                <w:rFonts w:ascii="Arial" w:hAnsi="Arial"/>
                <w:bCs/>
                <w:snapToGrid w:val="0"/>
                <w:color w:val="FFFFFF" w:themeColor="background1"/>
                <w:sz w:val="14"/>
                <w:szCs w:val="14"/>
              </w:rPr>
              <w:t>201</w:t>
            </w:r>
            <w:r>
              <w:rPr>
                <w:rFonts w:ascii="Arial" w:hAnsi="Arial"/>
                <w:bCs/>
                <w:snapToGrid w:val="0"/>
                <w:color w:val="FFFFFF" w:themeColor="background1"/>
                <w:sz w:val="14"/>
                <w:szCs w:val="14"/>
              </w:rPr>
              <w:t>4</w:t>
            </w:r>
          </w:p>
        </w:tc>
        <w:tc>
          <w:tcPr>
            <w:tcW w:w="992" w:type="dxa"/>
            <w:shd w:val="clear" w:color="auto" w:fill="365F91" w:themeFill="accent1" w:themeFillShade="BF"/>
            <w:vAlign w:val="center"/>
          </w:tcPr>
          <w:p w:rsidR="00B744CA" w:rsidRPr="00093739" w:rsidRDefault="00B744CA" w:rsidP="00B744CA">
            <w:pPr>
              <w:jc w:val="right"/>
              <w:rPr>
                <w:rFonts w:ascii="Arial" w:hAnsi="Arial"/>
                <w:bCs/>
                <w:snapToGrid w:val="0"/>
                <w:color w:val="FFFFFF" w:themeColor="background1"/>
                <w:sz w:val="14"/>
                <w:szCs w:val="14"/>
              </w:rPr>
            </w:pPr>
            <w:r>
              <w:rPr>
                <w:rFonts w:ascii="Arial" w:hAnsi="Arial"/>
                <w:bCs/>
                <w:snapToGrid w:val="0"/>
                <w:color w:val="FFFFFF" w:themeColor="background1"/>
                <w:sz w:val="14"/>
                <w:szCs w:val="14"/>
              </w:rPr>
              <w:t>3KW</w:t>
            </w:r>
            <w:r w:rsidRPr="00093739">
              <w:rPr>
                <w:rFonts w:ascii="Arial" w:hAnsi="Arial"/>
                <w:bCs/>
                <w:snapToGrid w:val="0"/>
                <w:color w:val="FFFFFF" w:themeColor="background1"/>
                <w:sz w:val="14"/>
                <w:szCs w:val="14"/>
              </w:rPr>
              <w:t>2014</w:t>
            </w:r>
          </w:p>
        </w:tc>
        <w:tc>
          <w:tcPr>
            <w:tcW w:w="993" w:type="dxa"/>
            <w:shd w:val="clear" w:color="auto" w:fill="365F91" w:themeFill="accent1" w:themeFillShade="BF"/>
            <w:vAlign w:val="center"/>
          </w:tcPr>
          <w:p w:rsidR="00B744CA" w:rsidRPr="00093739" w:rsidRDefault="00B744CA" w:rsidP="00B744CA">
            <w:pPr>
              <w:jc w:val="right"/>
              <w:rPr>
                <w:rFonts w:ascii="Arial" w:hAnsi="Arial"/>
                <w:bCs/>
                <w:snapToGrid w:val="0"/>
                <w:color w:val="FFFFFF" w:themeColor="background1"/>
                <w:sz w:val="14"/>
                <w:szCs w:val="14"/>
              </w:rPr>
            </w:pPr>
            <w:r>
              <w:rPr>
                <w:rFonts w:ascii="Arial" w:hAnsi="Arial"/>
                <w:bCs/>
                <w:snapToGrid w:val="0"/>
                <w:color w:val="FFFFFF" w:themeColor="background1"/>
                <w:sz w:val="14"/>
                <w:szCs w:val="14"/>
              </w:rPr>
              <w:t>9M2013</w:t>
            </w:r>
          </w:p>
        </w:tc>
        <w:tc>
          <w:tcPr>
            <w:tcW w:w="992" w:type="dxa"/>
            <w:shd w:val="clear" w:color="auto" w:fill="365F91" w:themeFill="accent1" w:themeFillShade="BF"/>
            <w:vAlign w:val="center"/>
          </w:tcPr>
          <w:p w:rsidR="00B744CA" w:rsidRPr="00093739" w:rsidRDefault="00B744CA" w:rsidP="00B744CA">
            <w:pPr>
              <w:ind w:left="-151" w:firstLine="43"/>
              <w:jc w:val="right"/>
              <w:rPr>
                <w:rFonts w:ascii="Arial" w:hAnsi="Arial"/>
                <w:bCs/>
                <w:snapToGrid w:val="0"/>
                <w:color w:val="FFFFFF" w:themeColor="background1"/>
                <w:sz w:val="14"/>
                <w:szCs w:val="14"/>
              </w:rPr>
            </w:pPr>
            <w:r>
              <w:rPr>
                <w:rFonts w:ascii="Arial" w:hAnsi="Arial"/>
                <w:bCs/>
                <w:snapToGrid w:val="0"/>
                <w:color w:val="FFFFFF" w:themeColor="background1"/>
                <w:sz w:val="14"/>
                <w:szCs w:val="14"/>
              </w:rPr>
              <w:t>9M2014</w:t>
            </w:r>
          </w:p>
        </w:tc>
      </w:tr>
      <w:tr w:rsidR="00B744CA" w:rsidRPr="00093739" w:rsidTr="00B744CA">
        <w:trPr>
          <w:trHeight w:val="284"/>
        </w:trPr>
        <w:tc>
          <w:tcPr>
            <w:tcW w:w="5387" w:type="dxa"/>
            <w:tcBorders>
              <w:right w:val="single" w:sz="4" w:space="0" w:color="365F91" w:themeColor="accent1" w:themeShade="BF"/>
            </w:tcBorders>
            <w:vAlign w:val="center"/>
          </w:tcPr>
          <w:p w:rsidR="00B744CA" w:rsidRPr="00A974DB" w:rsidRDefault="00B744CA" w:rsidP="00B744CA">
            <w:pPr>
              <w:pStyle w:val="Intro"/>
              <w:jc w:val="left"/>
              <w:rPr>
                <w:bCs w:val="0"/>
                <w:szCs w:val="24"/>
                <w:lang w:val="nl-BE"/>
              </w:rPr>
            </w:pPr>
            <w:r w:rsidRPr="00A974DB">
              <w:rPr>
                <w:b w:val="0"/>
                <w:bCs w:val="0"/>
                <w:sz w:val="14"/>
                <w:szCs w:val="24"/>
                <w:lang w:val="nl-BE"/>
              </w:rPr>
              <w:t>Nettoresultaat, volgens IFRS (in miljoenen euro)</w:t>
            </w:r>
          </w:p>
        </w:tc>
        <w:tc>
          <w:tcPr>
            <w:tcW w:w="850" w:type="dxa"/>
            <w:tcBorders>
              <w:left w:val="single" w:sz="4" w:space="0" w:color="365F91" w:themeColor="accent1" w:themeShade="BF"/>
            </w:tcBorders>
            <w:vAlign w:val="center"/>
          </w:tcPr>
          <w:p w:rsidR="00B744CA" w:rsidRPr="006D06A2" w:rsidRDefault="00B744CA" w:rsidP="00B744CA">
            <w:pPr>
              <w:pStyle w:val="Intro"/>
              <w:ind w:left="-108" w:hanging="142"/>
              <w:jc w:val="right"/>
              <w:rPr>
                <w:b w:val="0"/>
                <w:sz w:val="14"/>
                <w:szCs w:val="14"/>
                <w:lang w:val="en-GB"/>
              </w:rPr>
            </w:pPr>
            <w:r w:rsidRPr="006D06A2">
              <w:rPr>
                <w:b w:val="0"/>
                <w:sz w:val="14"/>
                <w:szCs w:val="14"/>
                <w:lang w:val="en-GB"/>
              </w:rPr>
              <w:t>272</w:t>
            </w:r>
          </w:p>
        </w:tc>
        <w:tc>
          <w:tcPr>
            <w:tcW w:w="992" w:type="dxa"/>
            <w:vAlign w:val="center"/>
          </w:tcPr>
          <w:p w:rsidR="00B744CA" w:rsidRPr="006D06A2" w:rsidRDefault="00B744CA" w:rsidP="00B744CA">
            <w:pPr>
              <w:pStyle w:val="Intro"/>
              <w:ind w:left="-108" w:hanging="142"/>
              <w:jc w:val="right"/>
              <w:rPr>
                <w:b w:val="0"/>
                <w:sz w:val="14"/>
                <w:szCs w:val="14"/>
                <w:lang w:val="en-GB"/>
              </w:rPr>
            </w:pPr>
            <w:r w:rsidRPr="006D06A2">
              <w:rPr>
                <w:b w:val="0"/>
                <w:sz w:val="14"/>
                <w:szCs w:val="14"/>
                <w:lang w:val="en-GB"/>
              </w:rPr>
              <w:t>317</w:t>
            </w:r>
          </w:p>
        </w:tc>
        <w:tc>
          <w:tcPr>
            <w:tcW w:w="992" w:type="dxa"/>
            <w:tcBorders>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ind w:left="-108" w:hanging="142"/>
              <w:jc w:val="right"/>
              <w:rPr>
                <w:b w:val="0"/>
                <w:sz w:val="14"/>
                <w:szCs w:val="14"/>
                <w:lang w:val="en-GB"/>
              </w:rPr>
            </w:pPr>
            <w:r w:rsidRPr="006D06A2">
              <w:rPr>
                <w:b w:val="0"/>
                <w:sz w:val="14"/>
                <w:szCs w:val="14"/>
                <w:lang w:val="en-GB"/>
              </w:rPr>
              <w:t>591</w:t>
            </w:r>
          </w:p>
        </w:tc>
        <w:tc>
          <w:tcPr>
            <w:tcW w:w="993" w:type="dxa"/>
            <w:shd w:val="clear" w:color="auto" w:fill="auto"/>
            <w:vAlign w:val="center"/>
          </w:tcPr>
          <w:p w:rsidR="00B744CA" w:rsidRPr="006D06A2" w:rsidRDefault="00B744CA" w:rsidP="00B744CA">
            <w:pPr>
              <w:pStyle w:val="Intro"/>
              <w:ind w:left="-108" w:hanging="142"/>
              <w:jc w:val="right"/>
              <w:rPr>
                <w:b w:val="0"/>
                <w:sz w:val="14"/>
                <w:szCs w:val="14"/>
                <w:lang w:val="en-GB"/>
              </w:rPr>
            </w:pPr>
            <w:r w:rsidRPr="006D06A2">
              <w:rPr>
                <w:b w:val="0"/>
                <w:sz w:val="14"/>
                <w:szCs w:val="14"/>
                <w:lang w:val="en-GB"/>
              </w:rPr>
              <w:t>1 309</w:t>
            </w:r>
          </w:p>
        </w:tc>
        <w:tc>
          <w:tcPr>
            <w:tcW w:w="992" w:type="dxa"/>
            <w:tcBorders>
              <w:left w:val="nil"/>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ind w:left="-108" w:hanging="142"/>
              <w:jc w:val="right"/>
              <w:rPr>
                <w:b w:val="0"/>
                <w:sz w:val="14"/>
                <w:szCs w:val="14"/>
                <w:lang w:val="en-GB"/>
              </w:rPr>
            </w:pPr>
            <w:r w:rsidRPr="006D06A2">
              <w:rPr>
                <w:b w:val="0"/>
                <w:sz w:val="14"/>
                <w:szCs w:val="14"/>
                <w:lang w:val="en-GB"/>
              </w:rPr>
              <w:t>1 305</w:t>
            </w:r>
          </w:p>
        </w:tc>
      </w:tr>
      <w:tr w:rsidR="00B744CA" w:rsidRPr="00093739" w:rsidTr="00B744CA">
        <w:trPr>
          <w:trHeight w:val="284"/>
        </w:trPr>
        <w:tc>
          <w:tcPr>
            <w:tcW w:w="5387" w:type="dxa"/>
            <w:tcBorders>
              <w:bottom w:val="single" w:sz="4" w:space="0" w:color="365F91" w:themeColor="accent1" w:themeShade="BF"/>
              <w:right w:val="single" w:sz="4" w:space="0" w:color="365F91" w:themeColor="accent1" w:themeShade="BF"/>
            </w:tcBorders>
            <w:vAlign w:val="center"/>
          </w:tcPr>
          <w:p w:rsidR="00B744CA" w:rsidRPr="00A974DB" w:rsidRDefault="00B744CA" w:rsidP="00B744CA">
            <w:pPr>
              <w:pStyle w:val="Intro"/>
              <w:jc w:val="left"/>
              <w:rPr>
                <w:bCs w:val="0"/>
                <w:szCs w:val="24"/>
                <w:lang w:val="nl-BE"/>
              </w:rPr>
            </w:pPr>
            <w:r w:rsidRPr="00A974DB">
              <w:rPr>
                <w:b w:val="0"/>
                <w:bCs w:val="0"/>
                <w:sz w:val="14"/>
                <w:szCs w:val="24"/>
                <w:lang w:val="nl-BE"/>
              </w:rPr>
              <w:t>Gewone winst per aandeel, IFRS (in euro)</w:t>
            </w:r>
            <w:r w:rsidRPr="00A974DB">
              <w:rPr>
                <w:b w:val="0"/>
                <w:bCs w:val="0"/>
                <w:sz w:val="14"/>
                <w:szCs w:val="24"/>
                <w:vertAlign w:val="superscript"/>
                <w:lang w:val="nl-BE"/>
              </w:rPr>
              <w:t>1</w:t>
            </w:r>
          </w:p>
        </w:tc>
        <w:tc>
          <w:tcPr>
            <w:tcW w:w="850" w:type="dxa"/>
            <w:tcBorders>
              <w:left w:val="single" w:sz="4" w:space="0" w:color="365F91" w:themeColor="accent1" w:themeShade="BF"/>
              <w:bottom w:val="single" w:sz="4" w:space="0" w:color="365F91" w:themeColor="accent1" w:themeShade="BF"/>
            </w:tcBorders>
            <w:vAlign w:val="center"/>
          </w:tcPr>
          <w:p w:rsidR="00B744CA" w:rsidRPr="006D06A2" w:rsidRDefault="00B744CA" w:rsidP="00B744CA">
            <w:pPr>
              <w:pStyle w:val="Intro"/>
              <w:jc w:val="right"/>
              <w:rPr>
                <w:b w:val="0"/>
                <w:sz w:val="14"/>
                <w:szCs w:val="14"/>
                <w:lang w:val="en-GB"/>
              </w:rPr>
            </w:pPr>
            <w:r w:rsidRPr="006D06A2">
              <w:rPr>
                <w:b w:val="0"/>
                <w:sz w:val="14"/>
                <w:szCs w:val="14"/>
                <w:lang w:val="en-GB"/>
              </w:rPr>
              <w:t>-0</w:t>
            </w:r>
            <w:r>
              <w:rPr>
                <w:b w:val="0"/>
                <w:sz w:val="14"/>
                <w:szCs w:val="14"/>
                <w:lang w:val="en-GB"/>
              </w:rPr>
              <w:t>,</w:t>
            </w:r>
            <w:r w:rsidRPr="006D06A2">
              <w:rPr>
                <w:b w:val="0"/>
                <w:sz w:val="14"/>
                <w:szCs w:val="14"/>
                <w:lang w:val="en-GB"/>
              </w:rPr>
              <w:t>75</w:t>
            </w:r>
          </w:p>
        </w:tc>
        <w:tc>
          <w:tcPr>
            <w:tcW w:w="992" w:type="dxa"/>
            <w:tcBorders>
              <w:bottom w:val="single" w:sz="4" w:space="0" w:color="365F91" w:themeColor="accent1" w:themeShade="BF"/>
            </w:tcBorders>
            <w:vAlign w:val="center"/>
          </w:tcPr>
          <w:p w:rsidR="00B744CA" w:rsidRPr="006D06A2" w:rsidRDefault="00B744CA" w:rsidP="00B744CA">
            <w:pPr>
              <w:pStyle w:val="Intro"/>
              <w:jc w:val="right"/>
              <w:rPr>
                <w:b w:val="0"/>
                <w:sz w:val="14"/>
                <w:szCs w:val="14"/>
                <w:lang w:val="en-GB"/>
              </w:rPr>
            </w:pPr>
            <w:r w:rsidRPr="006D06A2">
              <w:rPr>
                <w:b w:val="0"/>
                <w:sz w:val="14"/>
                <w:szCs w:val="14"/>
                <w:lang w:val="en-GB"/>
              </w:rPr>
              <w:t>0</w:t>
            </w:r>
            <w:r>
              <w:rPr>
                <w:b w:val="0"/>
                <w:sz w:val="14"/>
                <w:szCs w:val="14"/>
                <w:lang w:val="en-GB"/>
              </w:rPr>
              <w:t>,</w:t>
            </w:r>
            <w:r w:rsidRPr="006D06A2">
              <w:rPr>
                <w:b w:val="0"/>
                <w:sz w:val="14"/>
                <w:szCs w:val="14"/>
                <w:lang w:val="en-GB"/>
              </w:rPr>
              <w:t>63</w:t>
            </w:r>
          </w:p>
        </w:tc>
        <w:tc>
          <w:tcPr>
            <w:tcW w:w="992" w:type="dxa"/>
            <w:tcBorders>
              <w:bottom w:val="single" w:sz="4" w:space="0" w:color="365F91" w:themeColor="accent1" w:themeShade="BF"/>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1</w:t>
            </w:r>
            <w:r>
              <w:rPr>
                <w:b w:val="0"/>
                <w:sz w:val="14"/>
                <w:szCs w:val="14"/>
                <w:lang w:val="en-GB"/>
              </w:rPr>
              <w:t>,</w:t>
            </w:r>
            <w:r w:rsidRPr="006D06A2">
              <w:rPr>
                <w:b w:val="0"/>
                <w:sz w:val="14"/>
                <w:szCs w:val="14"/>
                <w:lang w:val="en-GB"/>
              </w:rPr>
              <w:t>28</w:t>
            </w:r>
          </w:p>
        </w:tc>
        <w:tc>
          <w:tcPr>
            <w:tcW w:w="993" w:type="dxa"/>
            <w:tcBorders>
              <w:bottom w:val="single" w:sz="4" w:space="0" w:color="365F91" w:themeColor="accent1" w:themeShade="BF"/>
            </w:tcBorders>
            <w:shd w:val="clear" w:color="auto" w:fill="auto"/>
            <w:vAlign w:val="center"/>
          </w:tcPr>
          <w:p w:rsidR="00B744CA" w:rsidRPr="006D06A2" w:rsidRDefault="00B744CA" w:rsidP="00B744CA">
            <w:pPr>
              <w:pStyle w:val="Intro"/>
              <w:jc w:val="right"/>
              <w:rPr>
                <w:b w:val="0"/>
                <w:sz w:val="14"/>
                <w:szCs w:val="14"/>
                <w:lang w:val="en-GB"/>
              </w:rPr>
            </w:pPr>
            <w:r w:rsidRPr="006D06A2">
              <w:rPr>
                <w:b w:val="0"/>
                <w:sz w:val="14"/>
                <w:szCs w:val="14"/>
                <w:lang w:val="en-GB"/>
              </w:rPr>
              <w:t>1</w:t>
            </w:r>
            <w:r>
              <w:rPr>
                <w:b w:val="0"/>
                <w:sz w:val="14"/>
                <w:szCs w:val="14"/>
                <w:lang w:val="en-GB"/>
              </w:rPr>
              <w:t>,</w:t>
            </w:r>
            <w:r w:rsidRPr="006D06A2">
              <w:rPr>
                <w:b w:val="0"/>
                <w:sz w:val="14"/>
                <w:szCs w:val="14"/>
                <w:lang w:val="en-GB"/>
              </w:rPr>
              <w:t>74</w:t>
            </w:r>
          </w:p>
        </w:tc>
        <w:tc>
          <w:tcPr>
            <w:tcW w:w="992" w:type="dxa"/>
            <w:tcBorders>
              <w:left w:val="nil"/>
              <w:bottom w:val="single" w:sz="4" w:space="0" w:color="365F91" w:themeColor="accent1" w:themeShade="BF"/>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2</w:t>
            </w:r>
            <w:r>
              <w:rPr>
                <w:b w:val="0"/>
                <w:sz w:val="14"/>
                <w:szCs w:val="14"/>
                <w:lang w:val="en-GB"/>
              </w:rPr>
              <w:t>,</w:t>
            </w:r>
            <w:r w:rsidRPr="006D06A2">
              <w:rPr>
                <w:b w:val="0"/>
                <w:sz w:val="14"/>
                <w:szCs w:val="14"/>
                <w:lang w:val="en-GB"/>
              </w:rPr>
              <w:t>35</w:t>
            </w:r>
          </w:p>
        </w:tc>
      </w:tr>
      <w:tr w:rsidR="00B744CA" w:rsidRPr="00093739" w:rsidTr="00B744CA">
        <w:trPr>
          <w:trHeight w:val="284"/>
        </w:trPr>
        <w:tc>
          <w:tcPr>
            <w:tcW w:w="5387" w:type="dxa"/>
            <w:tcBorders>
              <w:top w:val="single" w:sz="4" w:space="0" w:color="365F91" w:themeColor="accent1" w:themeShade="BF"/>
              <w:right w:val="single" w:sz="4" w:space="0" w:color="365F91" w:themeColor="accent1" w:themeShade="BF"/>
            </w:tcBorders>
            <w:vAlign w:val="center"/>
          </w:tcPr>
          <w:p w:rsidR="00B744CA" w:rsidRPr="00A974DB" w:rsidRDefault="00B744CA" w:rsidP="00B744CA">
            <w:pPr>
              <w:pStyle w:val="Intro"/>
              <w:jc w:val="left"/>
              <w:rPr>
                <w:bCs w:val="0"/>
                <w:szCs w:val="24"/>
                <w:lang w:val="nl-BE"/>
              </w:rPr>
            </w:pPr>
            <w:r>
              <w:rPr>
                <w:b w:val="0"/>
                <w:bCs w:val="0"/>
                <w:sz w:val="14"/>
                <w:szCs w:val="24"/>
                <w:lang w:val="nl-BE"/>
              </w:rPr>
              <w:t>Aangepast</w:t>
            </w:r>
            <w:r w:rsidRPr="00A974DB">
              <w:rPr>
                <w:b w:val="0"/>
                <w:bCs w:val="0"/>
                <w:sz w:val="14"/>
                <w:szCs w:val="24"/>
                <w:lang w:val="nl-BE"/>
              </w:rPr>
              <w:t xml:space="preserve"> nettoresultaat (in miljoenen euro)</w:t>
            </w:r>
          </w:p>
        </w:tc>
        <w:tc>
          <w:tcPr>
            <w:tcW w:w="850" w:type="dxa"/>
            <w:tcBorders>
              <w:top w:val="single" w:sz="4" w:space="0" w:color="365F91" w:themeColor="accent1" w:themeShade="BF"/>
              <w:left w:val="single" w:sz="4" w:space="0" w:color="365F91" w:themeColor="accent1" w:themeShade="BF"/>
            </w:tcBorders>
            <w:vAlign w:val="center"/>
          </w:tcPr>
          <w:p w:rsidR="00B744CA" w:rsidRPr="006D06A2" w:rsidRDefault="00B744CA" w:rsidP="00B744CA">
            <w:pPr>
              <w:pStyle w:val="Intro"/>
              <w:jc w:val="right"/>
              <w:rPr>
                <w:b w:val="0"/>
                <w:sz w:val="14"/>
                <w:szCs w:val="14"/>
                <w:lang w:val="en-GB"/>
              </w:rPr>
            </w:pPr>
            <w:r w:rsidRPr="006D06A2">
              <w:rPr>
                <w:b w:val="0"/>
                <w:sz w:val="14"/>
                <w:szCs w:val="14"/>
                <w:lang w:val="en-GB"/>
              </w:rPr>
              <w:t>457</w:t>
            </w:r>
          </w:p>
        </w:tc>
        <w:tc>
          <w:tcPr>
            <w:tcW w:w="992" w:type="dxa"/>
            <w:tcBorders>
              <w:top w:val="single" w:sz="4" w:space="0" w:color="365F91" w:themeColor="accent1" w:themeShade="BF"/>
            </w:tcBorders>
            <w:vAlign w:val="center"/>
          </w:tcPr>
          <w:p w:rsidR="00B744CA" w:rsidRPr="006D06A2" w:rsidRDefault="00B744CA" w:rsidP="00B744CA">
            <w:pPr>
              <w:pStyle w:val="Intro"/>
              <w:jc w:val="right"/>
              <w:rPr>
                <w:b w:val="0"/>
                <w:sz w:val="14"/>
                <w:szCs w:val="14"/>
                <w:lang w:val="en-GB"/>
              </w:rPr>
            </w:pPr>
            <w:r w:rsidRPr="006D06A2">
              <w:rPr>
                <w:b w:val="0"/>
                <w:sz w:val="14"/>
                <w:szCs w:val="14"/>
                <w:lang w:val="en-GB"/>
              </w:rPr>
              <w:t>287</w:t>
            </w:r>
          </w:p>
        </w:tc>
        <w:tc>
          <w:tcPr>
            <w:tcW w:w="992" w:type="dxa"/>
            <w:tcBorders>
              <w:top w:val="single" w:sz="4" w:space="0" w:color="365F91" w:themeColor="accent1" w:themeShade="BF"/>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477</w:t>
            </w:r>
          </w:p>
        </w:tc>
        <w:tc>
          <w:tcPr>
            <w:tcW w:w="993" w:type="dxa"/>
            <w:tcBorders>
              <w:top w:val="single" w:sz="4" w:space="0" w:color="365F91" w:themeColor="accent1" w:themeShade="BF"/>
            </w:tcBorders>
            <w:shd w:val="clear" w:color="auto" w:fill="auto"/>
            <w:vAlign w:val="center"/>
          </w:tcPr>
          <w:p w:rsidR="00B744CA" w:rsidRPr="006D06A2" w:rsidRDefault="00B744CA" w:rsidP="00B744CA">
            <w:pPr>
              <w:pStyle w:val="Intro"/>
              <w:jc w:val="right"/>
              <w:rPr>
                <w:b w:val="0"/>
                <w:sz w:val="14"/>
                <w:szCs w:val="14"/>
                <w:lang w:val="en-GB"/>
              </w:rPr>
            </w:pPr>
            <w:r w:rsidRPr="006D06A2">
              <w:rPr>
                <w:b w:val="0"/>
                <w:sz w:val="14"/>
                <w:szCs w:val="14"/>
                <w:lang w:val="en-GB"/>
              </w:rPr>
              <w:t>1 300</w:t>
            </w:r>
          </w:p>
        </w:tc>
        <w:tc>
          <w:tcPr>
            <w:tcW w:w="992" w:type="dxa"/>
            <w:tcBorders>
              <w:top w:val="single" w:sz="4" w:space="0" w:color="365F91" w:themeColor="accent1" w:themeShade="BF"/>
              <w:left w:val="nil"/>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1 151</w:t>
            </w:r>
          </w:p>
        </w:tc>
      </w:tr>
      <w:tr w:rsidR="00B744CA" w:rsidRPr="00093739" w:rsidTr="00B744CA">
        <w:trPr>
          <w:trHeight w:val="284"/>
        </w:trPr>
        <w:tc>
          <w:tcPr>
            <w:tcW w:w="5387" w:type="dxa"/>
            <w:tcBorders>
              <w:right w:val="single" w:sz="4" w:space="0" w:color="365F91" w:themeColor="accent1" w:themeShade="BF"/>
            </w:tcBorders>
            <w:vAlign w:val="center"/>
          </w:tcPr>
          <w:p w:rsidR="00B744CA" w:rsidRPr="00A974DB" w:rsidRDefault="00B744CA" w:rsidP="00B744CA">
            <w:pPr>
              <w:pStyle w:val="Intro"/>
              <w:jc w:val="left"/>
              <w:rPr>
                <w:bCs w:val="0"/>
                <w:szCs w:val="24"/>
                <w:lang w:val="nl-BE"/>
              </w:rPr>
            </w:pPr>
            <w:r w:rsidRPr="00A974DB">
              <w:rPr>
                <w:b w:val="0"/>
                <w:bCs w:val="0"/>
                <w:sz w:val="14"/>
                <w:szCs w:val="24"/>
                <w:lang w:val="nl-BE"/>
              </w:rPr>
              <w:t xml:space="preserve">Gewone winst per aandeel, op basis van het </w:t>
            </w:r>
            <w:r>
              <w:rPr>
                <w:b w:val="0"/>
                <w:bCs w:val="0"/>
                <w:sz w:val="14"/>
                <w:szCs w:val="24"/>
                <w:lang w:val="nl-BE"/>
              </w:rPr>
              <w:t>aangepast</w:t>
            </w:r>
            <w:r w:rsidRPr="00A974DB">
              <w:rPr>
                <w:b w:val="0"/>
                <w:bCs w:val="0"/>
                <w:sz w:val="14"/>
                <w:szCs w:val="24"/>
                <w:lang w:val="nl-BE"/>
              </w:rPr>
              <w:t>e nettoresultaat (in euro)</w:t>
            </w:r>
            <w:r w:rsidRPr="00A974DB">
              <w:rPr>
                <w:b w:val="0"/>
                <w:bCs w:val="0"/>
                <w:sz w:val="14"/>
                <w:szCs w:val="24"/>
                <w:vertAlign w:val="superscript"/>
                <w:lang w:val="nl-BE"/>
              </w:rPr>
              <w:t>1</w:t>
            </w:r>
            <w:r w:rsidRPr="00A974DB">
              <w:rPr>
                <w:b w:val="0"/>
                <w:bCs w:val="0"/>
                <w:sz w:val="14"/>
                <w:szCs w:val="24"/>
                <w:lang w:val="nl-BE"/>
              </w:rPr>
              <w:t xml:space="preserve"> </w:t>
            </w:r>
          </w:p>
        </w:tc>
        <w:tc>
          <w:tcPr>
            <w:tcW w:w="850" w:type="dxa"/>
            <w:tcBorders>
              <w:left w:val="single" w:sz="4" w:space="0" w:color="365F91" w:themeColor="accent1" w:themeShade="BF"/>
            </w:tcBorders>
            <w:vAlign w:val="center"/>
          </w:tcPr>
          <w:p w:rsidR="00B744CA" w:rsidRPr="006D06A2" w:rsidRDefault="00B744CA" w:rsidP="00B744CA">
            <w:pPr>
              <w:pStyle w:val="Intro"/>
              <w:jc w:val="right"/>
              <w:rPr>
                <w:b w:val="0"/>
                <w:sz w:val="14"/>
                <w:szCs w:val="14"/>
                <w:lang w:val="en-GB"/>
              </w:rPr>
            </w:pPr>
            <w:r w:rsidRPr="006D06A2">
              <w:rPr>
                <w:b w:val="0"/>
                <w:sz w:val="14"/>
                <w:szCs w:val="14"/>
                <w:lang w:val="en-GB"/>
              </w:rPr>
              <w:t>-0</w:t>
            </w:r>
            <w:r>
              <w:rPr>
                <w:b w:val="0"/>
                <w:sz w:val="14"/>
                <w:szCs w:val="14"/>
                <w:lang w:val="en-GB"/>
              </w:rPr>
              <w:t>,</w:t>
            </w:r>
            <w:r w:rsidRPr="006D06A2">
              <w:rPr>
                <w:b w:val="0"/>
                <w:sz w:val="14"/>
                <w:szCs w:val="14"/>
                <w:lang w:val="en-GB"/>
              </w:rPr>
              <w:t>30</w:t>
            </w:r>
          </w:p>
        </w:tc>
        <w:tc>
          <w:tcPr>
            <w:tcW w:w="992" w:type="dxa"/>
            <w:vAlign w:val="center"/>
          </w:tcPr>
          <w:p w:rsidR="00B744CA" w:rsidRPr="006D06A2" w:rsidRDefault="00B744CA" w:rsidP="00B744CA">
            <w:pPr>
              <w:pStyle w:val="Intro"/>
              <w:jc w:val="right"/>
              <w:rPr>
                <w:b w:val="0"/>
                <w:sz w:val="14"/>
                <w:szCs w:val="14"/>
                <w:lang w:val="en-GB"/>
              </w:rPr>
            </w:pPr>
            <w:r w:rsidRPr="006D06A2">
              <w:rPr>
                <w:b w:val="0"/>
                <w:sz w:val="14"/>
                <w:szCs w:val="14"/>
                <w:lang w:val="en-GB"/>
              </w:rPr>
              <w:t>0</w:t>
            </w:r>
            <w:r>
              <w:rPr>
                <w:b w:val="0"/>
                <w:sz w:val="14"/>
                <w:szCs w:val="14"/>
                <w:lang w:val="en-GB"/>
              </w:rPr>
              <w:t>,</w:t>
            </w:r>
            <w:r w:rsidRPr="006D06A2">
              <w:rPr>
                <w:b w:val="0"/>
                <w:sz w:val="14"/>
                <w:szCs w:val="14"/>
                <w:lang w:val="en-GB"/>
              </w:rPr>
              <w:t>56</w:t>
            </w:r>
          </w:p>
        </w:tc>
        <w:tc>
          <w:tcPr>
            <w:tcW w:w="992" w:type="dxa"/>
            <w:tcBorders>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1</w:t>
            </w:r>
            <w:r>
              <w:rPr>
                <w:b w:val="0"/>
                <w:sz w:val="14"/>
                <w:szCs w:val="14"/>
                <w:lang w:val="en-GB"/>
              </w:rPr>
              <w:t>,</w:t>
            </w:r>
            <w:r w:rsidRPr="006D06A2">
              <w:rPr>
                <w:b w:val="0"/>
                <w:sz w:val="14"/>
                <w:szCs w:val="14"/>
                <w:lang w:val="en-GB"/>
              </w:rPr>
              <w:t>00</w:t>
            </w:r>
          </w:p>
        </w:tc>
        <w:tc>
          <w:tcPr>
            <w:tcW w:w="993" w:type="dxa"/>
            <w:shd w:val="clear" w:color="auto" w:fill="auto"/>
            <w:vAlign w:val="center"/>
          </w:tcPr>
          <w:p w:rsidR="00B744CA" w:rsidRPr="006D06A2" w:rsidRDefault="00B744CA" w:rsidP="00B744CA">
            <w:pPr>
              <w:pStyle w:val="Intro"/>
              <w:jc w:val="right"/>
              <w:rPr>
                <w:b w:val="0"/>
                <w:sz w:val="14"/>
                <w:szCs w:val="14"/>
                <w:lang w:val="en-GB"/>
              </w:rPr>
            </w:pPr>
            <w:r w:rsidRPr="006D06A2">
              <w:rPr>
                <w:b w:val="0"/>
                <w:sz w:val="14"/>
                <w:szCs w:val="14"/>
                <w:lang w:val="en-GB"/>
              </w:rPr>
              <w:t>1</w:t>
            </w:r>
            <w:r>
              <w:rPr>
                <w:b w:val="0"/>
                <w:sz w:val="14"/>
                <w:szCs w:val="14"/>
                <w:lang w:val="en-GB"/>
              </w:rPr>
              <w:t>,</w:t>
            </w:r>
            <w:r w:rsidRPr="006D06A2">
              <w:rPr>
                <w:b w:val="0"/>
                <w:sz w:val="14"/>
                <w:szCs w:val="14"/>
                <w:lang w:val="en-GB"/>
              </w:rPr>
              <w:t>72</w:t>
            </w:r>
          </w:p>
        </w:tc>
        <w:tc>
          <w:tcPr>
            <w:tcW w:w="992" w:type="dxa"/>
            <w:tcBorders>
              <w:left w:val="nil"/>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1</w:t>
            </w:r>
            <w:r>
              <w:rPr>
                <w:b w:val="0"/>
                <w:sz w:val="14"/>
                <w:szCs w:val="14"/>
                <w:lang w:val="en-GB"/>
              </w:rPr>
              <w:t>,</w:t>
            </w:r>
            <w:r w:rsidRPr="006D06A2">
              <w:rPr>
                <w:b w:val="0"/>
                <w:sz w:val="14"/>
                <w:szCs w:val="14"/>
                <w:lang w:val="en-GB"/>
              </w:rPr>
              <w:t>99</w:t>
            </w:r>
          </w:p>
        </w:tc>
      </w:tr>
      <w:tr w:rsidR="00B744CA" w:rsidRPr="00715235" w:rsidTr="00B744CA">
        <w:trPr>
          <w:trHeight w:val="284"/>
        </w:trPr>
        <w:tc>
          <w:tcPr>
            <w:tcW w:w="5387" w:type="dxa"/>
            <w:tcBorders>
              <w:right w:val="single" w:sz="4" w:space="0" w:color="365F91" w:themeColor="accent1" w:themeShade="BF"/>
            </w:tcBorders>
            <w:vAlign w:val="center"/>
          </w:tcPr>
          <w:p w:rsidR="00B744CA" w:rsidRPr="00A974DB" w:rsidRDefault="00B744CA" w:rsidP="00B744CA">
            <w:pPr>
              <w:pStyle w:val="Intro"/>
              <w:jc w:val="left"/>
              <w:rPr>
                <w:bCs w:val="0"/>
                <w:szCs w:val="24"/>
                <w:lang w:val="nl-BE"/>
              </w:rPr>
            </w:pPr>
            <w:r w:rsidRPr="00A974DB">
              <w:rPr>
                <w:b w:val="0"/>
                <w:bCs w:val="0"/>
                <w:sz w:val="14"/>
                <w:szCs w:val="24"/>
                <w:lang w:val="nl-BE"/>
              </w:rPr>
              <w:t>Uitsplitsing per divisie (in miljoenen euro)</w:t>
            </w:r>
          </w:p>
        </w:tc>
        <w:tc>
          <w:tcPr>
            <w:tcW w:w="850" w:type="dxa"/>
            <w:tcBorders>
              <w:left w:val="single" w:sz="4" w:space="0" w:color="365F91" w:themeColor="accent1" w:themeShade="BF"/>
            </w:tcBorders>
            <w:vAlign w:val="center"/>
          </w:tcPr>
          <w:p w:rsidR="00B744CA" w:rsidRPr="00CB37D4" w:rsidRDefault="00B744CA" w:rsidP="00B744CA">
            <w:pPr>
              <w:pStyle w:val="Intro"/>
              <w:jc w:val="right"/>
              <w:rPr>
                <w:b w:val="0"/>
                <w:sz w:val="14"/>
                <w:szCs w:val="14"/>
                <w:lang w:val="nl-BE"/>
              </w:rPr>
            </w:pPr>
          </w:p>
        </w:tc>
        <w:tc>
          <w:tcPr>
            <w:tcW w:w="992" w:type="dxa"/>
            <w:vAlign w:val="center"/>
          </w:tcPr>
          <w:p w:rsidR="00B744CA" w:rsidRPr="00CB37D4" w:rsidRDefault="00B744CA" w:rsidP="00B744CA">
            <w:pPr>
              <w:pStyle w:val="Intro"/>
              <w:jc w:val="right"/>
              <w:rPr>
                <w:b w:val="0"/>
                <w:sz w:val="14"/>
                <w:szCs w:val="14"/>
                <w:lang w:val="nl-BE"/>
              </w:rPr>
            </w:pPr>
          </w:p>
        </w:tc>
        <w:tc>
          <w:tcPr>
            <w:tcW w:w="992" w:type="dxa"/>
            <w:tcBorders>
              <w:right w:val="single" w:sz="4" w:space="0" w:color="365F91" w:themeColor="accent1" w:themeShade="BF"/>
            </w:tcBorders>
            <w:shd w:val="clear" w:color="auto" w:fill="DBE5F1" w:themeFill="accent1" w:themeFillTint="33"/>
            <w:vAlign w:val="center"/>
          </w:tcPr>
          <w:p w:rsidR="00B744CA" w:rsidRPr="00CB37D4" w:rsidRDefault="00B744CA" w:rsidP="00B744CA">
            <w:pPr>
              <w:pStyle w:val="Intro"/>
              <w:jc w:val="right"/>
              <w:rPr>
                <w:b w:val="0"/>
                <w:sz w:val="14"/>
                <w:szCs w:val="14"/>
                <w:lang w:val="nl-BE"/>
              </w:rPr>
            </w:pPr>
          </w:p>
        </w:tc>
        <w:tc>
          <w:tcPr>
            <w:tcW w:w="993" w:type="dxa"/>
            <w:shd w:val="clear" w:color="auto" w:fill="auto"/>
            <w:vAlign w:val="center"/>
          </w:tcPr>
          <w:p w:rsidR="00B744CA" w:rsidRPr="00CB37D4" w:rsidRDefault="00B744CA" w:rsidP="00B744CA">
            <w:pPr>
              <w:pStyle w:val="Intro"/>
              <w:jc w:val="right"/>
              <w:rPr>
                <w:b w:val="0"/>
                <w:sz w:val="14"/>
                <w:szCs w:val="14"/>
                <w:lang w:val="nl-BE"/>
              </w:rPr>
            </w:pPr>
          </w:p>
        </w:tc>
        <w:tc>
          <w:tcPr>
            <w:tcW w:w="992" w:type="dxa"/>
            <w:tcBorders>
              <w:left w:val="nil"/>
              <w:right w:val="single" w:sz="4" w:space="0" w:color="365F91" w:themeColor="accent1" w:themeShade="BF"/>
            </w:tcBorders>
            <w:shd w:val="clear" w:color="auto" w:fill="DBE5F1" w:themeFill="accent1" w:themeFillTint="33"/>
            <w:vAlign w:val="center"/>
          </w:tcPr>
          <w:p w:rsidR="00B744CA" w:rsidRPr="00CB37D4" w:rsidRDefault="00B744CA" w:rsidP="00B744CA">
            <w:pPr>
              <w:pStyle w:val="Intro"/>
              <w:jc w:val="right"/>
              <w:rPr>
                <w:b w:val="0"/>
                <w:sz w:val="14"/>
                <w:szCs w:val="14"/>
                <w:lang w:val="nl-BE"/>
              </w:rPr>
            </w:pPr>
          </w:p>
        </w:tc>
      </w:tr>
      <w:tr w:rsidR="00B744CA" w:rsidRPr="00093739" w:rsidTr="00B744CA">
        <w:trPr>
          <w:trHeight w:val="170"/>
        </w:trPr>
        <w:tc>
          <w:tcPr>
            <w:tcW w:w="5387" w:type="dxa"/>
            <w:tcBorders>
              <w:right w:val="single" w:sz="4" w:space="0" w:color="365F91" w:themeColor="accent1" w:themeShade="BF"/>
            </w:tcBorders>
            <w:vAlign w:val="center"/>
          </w:tcPr>
          <w:p w:rsidR="00B744CA" w:rsidRPr="00A974DB" w:rsidRDefault="00B744CA" w:rsidP="00B744CA">
            <w:pPr>
              <w:pStyle w:val="Intro"/>
              <w:jc w:val="left"/>
              <w:rPr>
                <w:bCs w:val="0"/>
                <w:szCs w:val="24"/>
                <w:lang w:val="nl-BE"/>
              </w:rPr>
            </w:pPr>
            <w:r w:rsidRPr="00A974DB">
              <w:rPr>
                <w:b w:val="0"/>
                <w:bCs w:val="0"/>
                <w:sz w:val="14"/>
                <w:szCs w:val="24"/>
                <w:lang w:val="nl-BE"/>
              </w:rPr>
              <w:t xml:space="preserve">          België</w:t>
            </w:r>
          </w:p>
        </w:tc>
        <w:tc>
          <w:tcPr>
            <w:tcW w:w="850" w:type="dxa"/>
            <w:tcBorders>
              <w:left w:val="single" w:sz="4" w:space="0" w:color="365F91" w:themeColor="accent1" w:themeShade="BF"/>
            </w:tcBorders>
            <w:vAlign w:val="center"/>
          </w:tcPr>
          <w:p w:rsidR="00B744CA" w:rsidRPr="006D06A2" w:rsidRDefault="00B744CA" w:rsidP="00B744CA">
            <w:pPr>
              <w:jc w:val="right"/>
              <w:rPr>
                <w:rFonts w:ascii="Arial" w:hAnsi="Arial" w:cs="Arial"/>
                <w:bCs/>
                <w:sz w:val="14"/>
                <w:szCs w:val="14"/>
              </w:rPr>
            </w:pPr>
            <w:r w:rsidRPr="006D06A2">
              <w:rPr>
                <w:rFonts w:ascii="Arial" w:hAnsi="Arial" w:cs="Arial"/>
                <w:bCs/>
                <w:sz w:val="14"/>
                <w:szCs w:val="14"/>
              </w:rPr>
              <w:t>391</w:t>
            </w:r>
          </w:p>
        </w:tc>
        <w:tc>
          <w:tcPr>
            <w:tcW w:w="992" w:type="dxa"/>
            <w:vAlign w:val="center"/>
          </w:tcPr>
          <w:p w:rsidR="00B744CA" w:rsidRPr="006D06A2" w:rsidRDefault="00B744CA" w:rsidP="00B744CA">
            <w:pPr>
              <w:pStyle w:val="Intro"/>
              <w:jc w:val="right"/>
              <w:rPr>
                <w:b w:val="0"/>
                <w:sz w:val="14"/>
                <w:szCs w:val="14"/>
                <w:lang w:val="en-GB"/>
              </w:rPr>
            </w:pPr>
            <w:r w:rsidRPr="006D06A2">
              <w:rPr>
                <w:b w:val="0"/>
                <w:sz w:val="14"/>
                <w:szCs w:val="14"/>
                <w:lang w:val="en-GB"/>
              </w:rPr>
              <w:t>383</w:t>
            </w:r>
          </w:p>
        </w:tc>
        <w:tc>
          <w:tcPr>
            <w:tcW w:w="992" w:type="dxa"/>
            <w:tcBorders>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384</w:t>
            </w:r>
          </w:p>
        </w:tc>
        <w:tc>
          <w:tcPr>
            <w:tcW w:w="993" w:type="dxa"/>
            <w:shd w:val="clear" w:color="auto" w:fill="auto"/>
            <w:vAlign w:val="center"/>
          </w:tcPr>
          <w:p w:rsidR="00B744CA" w:rsidRPr="006D06A2" w:rsidRDefault="00B744CA" w:rsidP="00B744CA">
            <w:pPr>
              <w:pStyle w:val="Intro"/>
              <w:jc w:val="right"/>
              <w:rPr>
                <w:b w:val="0"/>
                <w:sz w:val="14"/>
                <w:szCs w:val="14"/>
                <w:lang w:val="en-GB"/>
              </w:rPr>
            </w:pPr>
            <w:r w:rsidRPr="006D06A2">
              <w:rPr>
                <w:b w:val="0"/>
                <w:sz w:val="14"/>
                <w:szCs w:val="14"/>
                <w:lang w:val="en-GB"/>
              </w:rPr>
              <w:t>1 193</w:t>
            </w:r>
          </w:p>
        </w:tc>
        <w:tc>
          <w:tcPr>
            <w:tcW w:w="992" w:type="dxa"/>
            <w:tcBorders>
              <w:left w:val="nil"/>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1 117</w:t>
            </w:r>
          </w:p>
        </w:tc>
      </w:tr>
      <w:tr w:rsidR="00B744CA" w:rsidRPr="00093739" w:rsidTr="00B744CA">
        <w:trPr>
          <w:trHeight w:val="170"/>
        </w:trPr>
        <w:tc>
          <w:tcPr>
            <w:tcW w:w="5387" w:type="dxa"/>
            <w:tcBorders>
              <w:right w:val="single" w:sz="4" w:space="0" w:color="365F91" w:themeColor="accent1" w:themeShade="BF"/>
            </w:tcBorders>
            <w:vAlign w:val="center"/>
          </w:tcPr>
          <w:p w:rsidR="00B744CA" w:rsidRPr="00A974DB" w:rsidRDefault="00B744CA" w:rsidP="00B744CA">
            <w:pPr>
              <w:pStyle w:val="Intro"/>
              <w:jc w:val="left"/>
              <w:rPr>
                <w:bCs w:val="0"/>
                <w:szCs w:val="24"/>
                <w:lang w:val="nl-BE"/>
              </w:rPr>
            </w:pPr>
            <w:r w:rsidRPr="00A974DB">
              <w:rPr>
                <w:b w:val="0"/>
                <w:bCs w:val="0"/>
                <w:sz w:val="14"/>
                <w:szCs w:val="24"/>
                <w:lang w:val="nl-BE"/>
              </w:rPr>
              <w:t xml:space="preserve">          Tsjechië</w:t>
            </w:r>
          </w:p>
        </w:tc>
        <w:tc>
          <w:tcPr>
            <w:tcW w:w="850" w:type="dxa"/>
            <w:tcBorders>
              <w:left w:val="single" w:sz="4" w:space="0" w:color="365F91" w:themeColor="accent1" w:themeShade="BF"/>
            </w:tcBorders>
            <w:vAlign w:val="center"/>
          </w:tcPr>
          <w:p w:rsidR="00B744CA" w:rsidRPr="006D06A2" w:rsidRDefault="00B744CA" w:rsidP="00B744CA">
            <w:pPr>
              <w:jc w:val="right"/>
              <w:rPr>
                <w:rFonts w:ascii="Arial" w:hAnsi="Arial" w:cs="Arial"/>
                <w:bCs/>
                <w:sz w:val="14"/>
                <w:szCs w:val="14"/>
              </w:rPr>
            </w:pPr>
            <w:r w:rsidRPr="006D06A2">
              <w:rPr>
                <w:rFonts w:ascii="Arial" w:hAnsi="Arial" w:cs="Arial"/>
                <w:bCs/>
                <w:sz w:val="14"/>
                <w:szCs w:val="14"/>
              </w:rPr>
              <w:t>157</w:t>
            </w:r>
          </w:p>
        </w:tc>
        <w:tc>
          <w:tcPr>
            <w:tcW w:w="992" w:type="dxa"/>
            <w:vAlign w:val="center"/>
          </w:tcPr>
          <w:p w:rsidR="00B744CA" w:rsidRPr="006D06A2" w:rsidRDefault="00B744CA" w:rsidP="00B744CA">
            <w:pPr>
              <w:pStyle w:val="Intro"/>
              <w:jc w:val="right"/>
              <w:rPr>
                <w:b w:val="0"/>
                <w:sz w:val="14"/>
                <w:szCs w:val="14"/>
                <w:lang w:val="en-GB"/>
              </w:rPr>
            </w:pPr>
            <w:r w:rsidRPr="006D06A2">
              <w:rPr>
                <w:b w:val="0"/>
                <w:sz w:val="14"/>
                <w:szCs w:val="14"/>
                <w:lang w:val="en-GB"/>
              </w:rPr>
              <w:t>140</w:t>
            </w:r>
          </w:p>
        </w:tc>
        <w:tc>
          <w:tcPr>
            <w:tcW w:w="992" w:type="dxa"/>
            <w:tcBorders>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130</w:t>
            </w:r>
          </w:p>
        </w:tc>
        <w:tc>
          <w:tcPr>
            <w:tcW w:w="993" w:type="dxa"/>
            <w:shd w:val="clear" w:color="auto" w:fill="auto"/>
            <w:vAlign w:val="center"/>
          </w:tcPr>
          <w:p w:rsidR="00B744CA" w:rsidRPr="006D06A2" w:rsidRDefault="00B744CA" w:rsidP="00B744CA">
            <w:pPr>
              <w:pStyle w:val="Intro"/>
              <w:jc w:val="right"/>
              <w:rPr>
                <w:b w:val="0"/>
                <w:sz w:val="14"/>
                <w:szCs w:val="14"/>
                <w:lang w:val="en-GB"/>
              </w:rPr>
            </w:pPr>
            <w:r w:rsidRPr="006D06A2">
              <w:rPr>
                <w:b w:val="0"/>
                <w:sz w:val="14"/>
                <w:szCs w:val="14"/>
                <w:lang w:val="en-GB"/>
              </w:rPr>
              <w:t>435</w:t>
            </w:r>
          </w:p>
        </w:tc>
        <w:tc>
          <w:tcPr>
            <w:tcW w:w="992" w:type="dxa"/>
            <w:tcBorders>
              <w:left w:val="nil"/>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408</w:t>
            </w:r>
          </w:p>
        </w:tc>
      </w:tr>
      <w:tr w:rsidR="00B744CA" w:rsidRPr="00093739" w:rsidTr="00B744CA">
        <w:trPr>
          <w:trHeight w:val="170"/>
        </w:trPr>
        <w:tc>
          <w:tcPr>
            <w:tcW w:w="5387" w:type="dxa"/>
            <w:tcBorders>
              <w:right w:val="single" w:sz="4" w:space="0" w:color="365F91" w:themeColor="accent1" w:themeShade="BF"/>
            </w:tcBorders>
            <w:vAlign w:val="center"/>
          </w:tcPr>
          <w:p w:rsidR="00B744CA" w:rsidRPr="00A974DB" w:rsidRDefault="00B744CA" w:rsidP="00B744CA">
            <w:pPr>
              <w:pStyle w:val="Intro"/>
              <w:jc w:val="left"/>
              <w:rPr>
                <w:bCs w:val="0"/>
                <w:szCs w:val="24"/>
                <w:lang w:val="nl-BE"/>
              </w:rPr>
            </w:pPr>
            <w:r w:rsidRPr="00A974DB">
              <w:rPr>
                <w:b w:val="0"/>
                <w:bCs w:val="0"/>
                <w:sz w:val="14"/>
                <w:szCs w:val="24"/>
                <w:lang w:val="nl-BE"/>
              </w:rPr>
              <w:t xml:space="preserve">          Internationale Markten</w:t>
            </w:r>
          </w:p>
        </w:tc>
        <w:tc>
          <w:tcPr>
            <w:tcW w:w="850" w:type="dxa"/>
            <w:tcBorders>
              <w:left w:val="single" w:sz="4" w:space="0" w:color="365F91" w:themeColor="accent1" w:themeShade="BF"/>
            </w:tcBorders>
            <w:vAlign w:val="center"/>
          </w:tcPr>
          <w:p w:rsidR="00B744CA" w:rsidRPr="006D06A2" w:rsidRDefault="00B744CA" w:rsidP="00B744CA">
            <w:pPr>
              <w:jc w:val="right"/>
              <w:rPr>
                <w:rFonts w:ascii="Arial" w:hAnsi="Arial" w:cs="Arial"/>
                <w:bCs/>
                <w:sz w:val="14"/>
                <w:szCs w:val="14"/>
              </w:rPr>
            </w:pPr>
            <w:r w:rsidRPr="006D06A2">
              <w:rPr>
                <w:rFonts w:ascii="Arial" w:hAnsi="Arial" w:cs="Arial"/>
                <w:bCs/>
                <w:sz w:val="14"/>
                <w:szCs w:val="14"/>
              </w:rPr>
              <w:t>-12</w:t>
            </w:r>
          </w:p>
        </w:tc>
        <w:tc>
          <w:tcPr>
            <w:tcW w:w="992" w:type="dxa"/>
            <w:vAlign w:val="center"/>
          </w:tcPr>
          <w:p w:rsidR="00B744CA" w:rsidRPr="006D06A2" w:rsidRDefault="00B744CA" w:rsidP="00B744CA">
            <w:pPr>
              <w:pStyle w:val="Intro"/>
              <w:jc w:val="right"/>
              <w:rPr>
                <w:b w:val="0"/>
                <w:sz w:val="14"/>
                <w:szCs w:val="14"/>
                <w:lang w:val="en-GB"/>
              </w:rPr>
            </w:pPr>
            <w:r w:rsidRPr="006D06A2">
              <w:rPr>
                <w:b w:val="0"/>
                <w:sz w:val="14"/>
                <w:szCs w:val="14"/>
                <w:lang w:val="en-GB"/>
              </w:rPr>
              <w:t>-176</w:t>
            </w:r>
          </w:p>
        </w:tc>
        <w:tc>
          <w:tcPr>
            <w:tcW w:w="992" w:type="dxa"/>
            <w:tcBorders>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27</w:t>
            </w:r>
          </w:p>
        </w:tc>
        <w:tc>
          <w:tcPr>
            <w:tcW w:w="993" w:type="dxa"/>
            <w:shd w:val="clear" w:color="auto" w:fill="auto"/>
            <w:vAlign w:val="center"/>
          </w:tcPr>
          <w:p w:rsidR="00B744CA" w:rsidRPr="006D06A2" w:rsidRDefault="00B744CA" w:rsidP="00B744CA">
            <w:pPr>
              <w:pStyle w:val="Intro"/>
              <w:jc w:val="right"/>
              <w:rPr>
                <w:b w:val="0"/>
                <w:sz w:val="14"/>
                <w:szCs w:val="14"/>
                <w:lang w:val="en-GB"/>
              </w:rPr>
            </w:pPr>
            <w:r w:rsidRPr="006D06A2">
              <w:rPr>
                <w:b w:val="0"/>
                <w:sz w:val="14"/>
                <w:szCs w:val="14"/>
                <w:lang w:val="en-GB"/>
              </w:rPr>
              <w:t>-122</w:t>
            </w:r>
          </w:p>
        </w:tc>
        <w:tc>
          <w:tcPr>
            <w:tcW w:w="992" w:type="dxa"/>
            <w:tcBorders>
              <w:left w:val="nil"/>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-175</w:t>
            </w:r>
          </w:p>
        </w:tc>
      </w:tr>
      <w:tr w:rsidR="00B744CA" w:rsidRPr="00093739" w:rsidTr="00B744CA">
        <w:trPr>
          <w:trHeight w:val="170"/>
        </w:trPr>
        <w:tc>
          <w:tcPr>
            <w:tcW w:w="5387" w:type="dxa"/>
            <w:tcBorders>
              <w:bottom w:val="single" w:sz="4" w:space="0" w:color="365F91" w:themeColor="accent1" w:themeShade="BF"/>
              <w:right w:val="single" w:sz="4" w:space="0" w:color="365F91" w:themeColor="accent1" w:themeShade="BF"/>
            </w:tcBorders>
            <w:vAlign w:val="center"/>
          </w:tcPr>
          <w:p w:rsidR="00B744CA" w:rsidRPr="00A974DB" w:rsidRDefault="00B744CA" w:rsidP="00B744CA">
            <w:pPr>
              <w:pStyle w:val="Intro"/>
              <w:jc w:val="left"/>
              <w:rPr>
                <w:bCs w:val="0"/>
                <w:szCs w:val="24"/>
                <w:lang w:val="nl-BE"/>
              </w:rPr>
            </w:pPr>
            <w:r w:rsidRPr="00A974DB">
              <w:rPr>
                <w:b w:val="0"/>
                <w:bCs w:val="0"/>
                <w:sz w:val="14"/>
                <w:szCs w:val="24"/>
                <w:lang w:val="nl-BE"/>
              </w:rPr>
              <w:t xml:space="preserve">          Groepscenter</w:t>
            </w:r>
          </w:p>
        </w:tc>
        <w:tc>
          <w:tcPr>
            <w:tcW w:w="850" w:type="dxa"/>
            <w:tcBorders>
              <w:left w:val="single" w:sz="4" w:space="0" w:color="365F91" w:themeColor="accent1" w:themeShade="BF"/>
              <w:bottom w:val="single" w:sz="4" w:space="0" w:color="365F91" w:themeColor="accent1" w:themeShade="BF"/>
            </w:tcBorders>
            <w:vAlign w:val="center"/>
          </w:tcPr>
          <w:p w:rsidR="00B744CA" w:rsidRPr="006D06A2" w:rsidRDefault="00B744CA" w:rsidP="00B744CA">
            <w:pPr>
              <w:jc w:val="right"/>
              <w:rPr>
                <w:rFonts w:ascii="Arial" w:hAnsi="Arial" w:cs="Arial"/>
                <w:bCs/>
                <w:sz w:val="14"/>
                <w:szCs w:val="14"/>
              </w:rPr>
            </w:pPr>
            <w:r w:rsidRPr="006D06A2">
              <w:rPr>
                <w:rFonts w:ascii="Arial" w:hAnsi="Arial" w:cs="Arial"/>
                <w:bCs/>
                <w:sz w:val="14"/>
                <w:szCs w:val="14"/>
              </w:rPr>
              <w:t>-79</w:t>
            </w:r>
          </w:p>
        </w:tc>
        <w:tc>
          <w:tcPr>
            <w:tcW w:w="992" w:type="dxa"/>
            <w:tcBorders>
              <w:bottom w:val="single" w:sz="4" w:space="0" w:color="365F91" w:themeColor="accent1" w:themeShade="BF"/>
            </w:tcBorders>
            <w:vAlign w:val="center"/>
          </w:tcPr>
          <w:p w:rsidR="00B744CA" w:rsidRPr="006D06A2" w:rsidRDefault="00B744CA" w:rsidP="00B744CA">
            <w:pPr>
              <w:pStyle w:val="Intro"/>
              <w:jc w:val="right"/>
              <w:rPr>
                <w:b w:val="0"/>
                <w:sz w:val="14"/>
                <w:szCs w:val="14"/>
                <w:lang w:val="en-GB"/>
              </w:rPr>
            </w:pPr>
            <w:r w:rsidRPr="006D06A2">
              <w:rPr>
                <w:b w:val="0"/>
                <w:sz w:val="14"/>
                <w:szCs w:val="14"/>
                <w:lang w:val="en-GB"/>
              </w:rPr>
              <w:t>-59</w:t>
            </w:r>
          </w:p>
        </w:tc>
        <w:tc>
          <w:tcPr>
            <w:tcW w:w="992" w:type="dxa"/>
            <w:tcBorders>
              <w:bottom w:val="single" w:sz="4" w:space="0" w:color="365F91" w:themeColor="accent1" w:themeShade="BF"/>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-64</w:t>
            </w:r>
          </w:p>
        </w:tc>
        <w:tc>
          <w:tcPr>
            <w:tcW w:w="993" w:type="dxa"/>
            <w:tcBorders>
              <w:bottom w:val="single" w:sz="4" w:space="0" w:color="365F91" w:themeColor="accent1" w:themeShade="BF"/>
            </w:tcBorders>
            <w:shd w:val="clear" w:color="auto" w:fill="auto"/>
            <w:vAlign w:val="center"/>
          </w:tcPr>
          <w:p w:rsidR="00B744CA" w:rsidRPr="006D06A2" w:rsidRDefault="00B744CA" w:rsidP="00B744CA">
            <w:pPr>
              <w:pStyle w:val="Intro"/>
              <w:jc w:val="right"/>
              <w:rPr>
                <w:b w:val="0"/>
                <w:sz w:val="14"/>
                <w:szCs w:val="14"/>
                <w:lang w:val="en-GB"/>
              </w:rPr>
            </w:pPr>
            <w:r w:rsidRPr="006D06A2">
              <w:rPr>
                <w:b w:val="0"/>
                <w:sz w:val="14"/>
                <w:szCs w:val="14"/>
                <w:lang w:val="en-GB"/>
              </w:rPr>
              <w:t>-207</w:t>
            </w:r>
          </w:p>
        </w:tc>
        <w:tc>
          <w:tcPr>
            <w:tcW w:w="992" w:type="dxa"/>
            <w:tcBorders>
              <w:left w:val="nil"/>
              <w:bottom w:val="single" w:sz="4" w:space="0" w:color="365F91" w:themeColor="accent1" w:themeShade="BF"/>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-199</w:t>
            </w:r>
          </w:p>
        </w:tc>
      </w:tr>
      <w:tr w:rsidR="00B744CA" w:rsidRPr="00093739" w:rsidTr="00B744CA">
        <w:trPr>
          <w:trHeight w:val="284"/>
        </w:trPr>
        <w:tc>
          <w:tcPr>
            <w:tcW w:w="5387"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rsidR="00B744CA" w:rsidRPr="00A974DB" w:rsidRDefault="00B744CA" w:rsidP="00B744CA">
            <w:pPr>
              <w:pStyle w:val="Intro"/>
              <w:jc w:val="left"/>
              <w:rPr>
                <w:bCs w:val="0"/>
                <w:szCs w:val="24"/>
                <w:lang w:val="nl-BE"/>
              </w:rPr>
            </w:pPr>
            <w:r w:rsidRPr="00A974DB">
              <w:rPr>
                <w:b w:val="0"/>
                <w:bCs w:val="0"/>
                <w:sz w:val="14"/>
                <w:szCs w:val="24"/>
                <w:lang w:val="nl-BE"/>
              </w:rPr>
              <w:t>Eigen vermogen van de aandeelhouders per aandeel (in euro, per einde periode)</w:t>
            </w:r>
          </w:p>
        </w:tc>
        <w:tc>
          <w:tcPr>
            <w:tcW w:w="850"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rsidR="00B744CA" w:rsidRPr="006D06A2" w:rsidRDefault="00B744CA" w:rsidP="00B744CA">
            <w:pPr>
              <w:pStyle w:val="Intro"/>
              <w:jc w:val="right"/>
              <w:rPr>
                <w:b w:val="0"/>
                <w:sz w:val="14"/>
                <w:szCs w:val="14"/>
                <w:lang w:val="en-GB"/>
              </w:rPr>
            </w:pPr>
            <w:r w:rsidRPr="006D06A2">
              <w:rPr>
                <w:b w:val="0"/>
                <w:sz w:val="14"/>
                <w:szCs w:val="14"/>
                <w:lang w:val="en-GB"/>
              </w:rPr>
              <w:t>28</w:t>
            </w:r>
            <w:r>
              <w:rPr>
                <w:b w:val="0"/>
                <w:sz w:val="14"/>
                <w:szCs w:val="14"/>
                <w:lang w:val="en-GB"/>
              </w:rPr>
              <w:t>,</w:t>
            </w:r>
            <w:r w:rsidRPr="006D06A2">
              <w:rPr>
                <w:b w:val="0"/>
                <w:sz w:val="14"/>
                <w:szCs w:val="14"/>
                <w:lang w:val="en-GB"/>
              </w:rPr>
              <w:t>5</w:t>
            </w:r>
          </w:p>
        </w:tc>
        <w:tc>
          <w:tcPr>
            <w:tcW w:w="992" w:type="dxa"/>
            <w:tcBorders>
              <w:top w:val="single" w:sz="4" w:space="0" w:color="365F91" w:themeColor="accent1" w:themeShade="BF"/>
              <w:bottom w:val="single" w:sz="4" w:space="0" w:color="365F91" w:themeColor="accent1" w:themeShade="BF"/>
            </w:tcBorders>
            <w:vAlign w:val="center"/>
          </w:tcPr>
          <w:p w:rsidR="00B744CA" w:rsidRPr="006D06A2" w:rsidRDefault="00B744CA" w:rsidP="00B744CA">
            <w:pPr>
              <w:pStyle w:val="Intro"/>
              <w:jc w:val="right"/>
              <w:rPr>
                <w:b w:val="0"/>
                <w:sz w:val="14"/>
                <w:szCs w:val="14"/>
                <w:lang w:val="en-GB"/>
              </w:rPr>
            </w:pPr>
            <w:r w:rsidRPr="006D06A2">
              <w:rPr>
                <w:b w:val="0"/>
                <w:sz w:val="14"/>
                <w:szCs w:val="14"/>
                <w:lang w:val="en-GB"/>
              </w:rPr>
              <w:t>29</w:t>
            </w:r>
            <w:r>
              <w:rPr>
                <w:b w:val="0"/>
                <w:sz w:val="14"/>
                <w:szCs w:val="14"/>
                <w:lang w:val="en-GB"/>
              </w:rPr>
              <w:t>,</w:t>
            </w:r>
            <w:r w:rsidRPr="006D06A2">
              <w:rPr>
                <w:b w:val="0"/>
                <w:sz w:val="14"/>
                <w:szCs w:val="14"/>
                <w:lang w:val="en-GB"/>
              </w:rPr>
              <w:t>5</w:t>
            </w:r>
          </w:p>
        </w:tc>
        <w:tc>
          <w:tcPr>
            <w:tcW w:w="992"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30</w:t>
            </w:r>
            <w:r>
              <w:rPr>
                <w:b w:val="0"/>
                <w:sz w:val="14"/>
                <w:szCs w:val="14"/>
                <w:lang w:val="en-GB"/>
              </w:rPr>
              <w:t>,</w:t>
            </w:r>
            <w:r w:rsidRPr="006D06A2">
              <w:rPr>
                <w:b w:val="0"/>
                <w:sz w:val="14"/>
                <w:szCs w:val="14"/>
                <w:lang w:val="en-GB"/>
              </w:rPr>
              <w:t>8</w:t>
            </w:r>
          </w:p>
        </w:tc>
        <w:tc>
          <w:tcPr>
            <w:tcW w:w="993" w:type="dxa"/>
            <w:tcBorders>
              <w:top w:val="single" w:sz="4" w:space="0" w:color="365F91" w:themeColor="accent1" w:themeShade="BF"/>
              <w:bottom w:val="single" w:sz="4" w:space="0" w:color="365F91" w:themeColor="accent1" w:themeShade="BF"/>
            </w:tcBorders>
            <w:shd w:val="clear" w:color="auto" w:fill="auto"/>
            <w:vAlign w:val="center"/>
          </w:tcPr>
          <w:p w:rsidR="00B744CA" w:rsidRPr="006D06A2" w:rsidRDefault="00B744CA" w:rsidP="00B744CA">
            <w:pPr>
              <w:pStyle w:val="Intro"/>
              <w:jc w:val="right"/>
              <w:rPr>
                <w:b w:val="0"/>
                <w:sz w:val="14"/>
                <w:szCs w:val="14"/>
                <w:lang w:val="en-GB"/>
              </w:rPr>
            </w:pPr>
            <w:r w:rsidRPr="006D06A2">
              <w:rPr>
                <w:b w:val="0"/>
                <w:sz w:val="14"/>
                <w:szCs w:val="14"/>
                <w:lang w:val="en-GB"/>
              </w:rPr>
              <w:t>28</w:t>
            </w:r>
            <w:r>
              <w:rPr>
                <w:b w:val="0"/>
                <w:sz w:val="14"/>
                <w:szCs w:val="14"/>
                <w:lang w:val="en-GB"/>
              </w:rPr>
              <w:t>,</w:t>
            </w:r>
            <w:r w:rsidRPr="006D06A2">
              <w:rPr>
                <w:b w:val="0"/>
                <w:sz w:val="14"/>
                <w:szCs w:val="14"/>
                <w:lang w:val="en-GB"/>
              </w:rPr>
              <w:t>5</w:t>
            </w:r>
          </w:p>
        </w:tc>
        <w:tc>
          <w:tcPr>
            <w:tcW w:w="992"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DBE5F1" w:themeFill="accent1" w:themeFillTint="33"/>
            <w:vAlign w:val="center"/>
          </w:tcPr>
          <w:p w:rsidR="00B744CA" w:rsidRPr="006D06A2" w:rsidRDefault="00B744CA" w:rsidP="00B744CA">
            <w:pPr>
              <w:pStyle w:val="Intro"/>
              <w:jc w:val="right"/>
              <w:rPr>
                <w:b w:val="0"/>
                <w:sz w:val="14"/>
                <w:szCs w:val="14"/>
                <w:lang w:val="en-GB"/>
              </w:rPr>
            </w:pPr>
            <w:r w:rsidRPr="006D06A2">
              <w:rPr>
                <w:b w:val="0"/>
                <w:sz w:val="14"/>
                <w:szCs w:val="14"/>
                <w:lang w:val="en-GB"/>
              </w:rPr>
              <w:t>30</w:t>
            </w:r>
            <w:r>
              <w:rPr>
                <w:b w:val="0"/>
                <w:sz w:val="14"/>
                <w:szCs w:val="14"/>
                <w:lang w:val="en-GB"/>
              </w:rPr>
              <w:t>,</w:t>
            </w:r>
            <w:r w:rsidRPr="006D06A2">
              <w:rPr>
                <w:b w:val="0"/>
                <w:sz w:val="14"/>
                <w:szCs w:val="14"/>
                <w:lang w:val="en-GB"/>
              </w:rPr>
              <w:t>8</w:t>
            </w:r>
          </w:p>
        </w:tc>
      </w:tr>
    </w:tbl>
    <w:p w:rsidR="00B744CA" w:rsidRPr="00AB2802" w:rsidRDefault="00B744CA" w:rsidP="00B744CA">
      <w:pPr>
        <w:spacing w:after="60"/>
        <w:jc w:val="both"/>
        <w:rPr>
          <w:rFonts w:ascii="Arial" w:hAnsi="Arial" w:cs="Arial"/>
          <w:sz w:val="18"/>
          <w:szCs w:val="18"/>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Default="00B744CA" w:rsidP="00B744CA">
      <w:pPr>
        <w:autoSpaceDE w:val="0"/>
        <w:autoSpaceDN w:val="0"/>
        <w:adjustRightInd w:val="0"/>
        <w:spacing w:after="60"/>
        <w:ind w:right="141"/>
        <w:jc w:val="both"/>
        <w:rPr>
          <w:rFonts w:ascii="Arial" w:hAnsi="Arial" w:cs="Arial"/>
          <w:sz w:val="12"/>
          <w:szCs w:val="12"/>
          <w:lang w:val="nl-BE"/>
        </w:rPr>
      </w:pPr>
    </w:p>
    <w:p w:rsidR="00B744CA" w:rsidRPr="00B744CA" w:rsidRDefault="00B744CA" w:rsidP="00B744CA">
      <w:pPr>
        <w:autoSpaceDE w:val="0"/>
        <w:autoSpaceDN w:val="0"/>
        <w:adjustRightInd w:val="0"/>
        <w:spacing w:after="0" w:line="240" w:lineRule="auto"/>
        <w:ind w:left="992" w:right="4"/>
        <w:rPr>
          <w:rFonts w:cs="Arial"/>
          <w:color w:val="003768"/>
          <w:sz w:val="16"/>
          <w:szCs w:val="16"/>
          <w:lang w:val="nl-BE"/>
        </w:rPr>
      </w:pPr>
      <w:r w:rsidRPr="00B744CA">
        <w:rPr>
          <w:rFonts w:cs="Arial"/>
          <w:color w:val="003768"/>
          <w:sz w:val="16"/>
          <w:szCs w:val="16"/>
          <w:lang w:val="nl-BE"/>
        </w:rPr>
        <w:t xml:space="preserve">1 Opmerking: Als er een coupon wordt betaald op de kernkapitaaleffecten verkocht aan de Belgische en de Vlaamse overheid en de </w:t>
      </w:r>
      <w:proofErr w:type="spellStart"/>
      <w:r w:rsidRPr="00B744CA">
        <w:rPr>
          <w:rFonts w:cs="Arial"/>
          <w:color w:val="003768"/>
          <w:sz w:val="16"/>
          <w:szCs w:val="16"/>
          <w:lang w:val="nl-BE"/>
        </w:rPr>
        <w:t>Additional</w:t>
      </w:r>
      <w:proofErr w:type="spellEnd"/>
      <w:r w:rsidRPr="00B744CA">
        <w:rPr>
          <w:rFonts w:cs="Arial"/>
          <w:color w:val="003768"/>
          <w:sz w:val="16"/>
          <w:szCs w:val="16"/>
          <w:lang w:val="nl-BE"/>
        </w:rPr>
        <w:t xml:space="preserve"> Tier 1-instrumenten opgenomen in het eigen vermogen, dan wordt die (pro rata) van de teller afgetrokken. Als er een penaltypremie moet worden betaald op de kernkapitaaleffecten, wordt die eveneens afgetrokken.</w:t>
      </w:r>
    </w:p>
    <w:p w:rsidR="00B744CA" w:rsidRDefault="00B744CA">
      <w:pPr>
        <w:spacing w:after="0" w:line="240" w:lineRule="auto"/>
        <w:rPr>
          <w:rFonts w:cs="Arial"/>
          <w:color w:val="003768"/>
          <w:lang w:val="nl-BE"/>
        </w:rPr>
      </w:pPr>
      <w:r>
        <w:rPr>
          <w:rFonts w:cs="Arial"/>
          <w:color w:val="003768"/>
          <w:lang w:val="nl-BE"/>
        </w:rPr>
        <w:br w:type="page"/>
      </w:r>
    </w:p>
    <w:p w:rsidR="00840394" w:rsidRDefault="00840394" w:rsidP="00840394">
      <w:pPr>
        <w:autoSpaceDE w:val="0"/>
        <w:autoSpaceDN w:val="0"/>
        <w:adjustRightInd w:val="0"/>
        <w:spacing w:after="0" w:line="240" w:lineRule="auto"/>
        <w:ind w:left="993" w:right="4"/>
        <w:rPr>
          <w:rFonts w:cs="Arial"/>
          <w:color w:val="003768"/>
          <w:lang w:val="nl-BE"/>
        </w:rPr>
      </w:pPr>
    </w:p>
    <w:p w:rsidR="00840394" w:rsidRDefault="00B744CA" w:rsidP="00840394">
      <w:pPr>
        <w:autoSpaceDE w:val="0"/>
        <w:autoSpaceDN w:val="0"/>
        <w:adjustRightInd w:val="0"/>
        <w:spacing w:after="0" w:line="240" w:lineRule="auto"/>
        <w:ind w:left="993" w:right="4"/>
        <w:rPr>
          <w:rFonts w:cs="Arial"/>
          <w:color w:val="003768"/>
          <w:lang w:val="nl-BE"/>
        </w:rPr>
      </w:pPr>
      <w:r>
        <w:rPr>
          <w:rFonts w:cs="Arial"/>
          <w:bCs/>
          <w:noProof/>
          <w:color w:val="003768"/>
          <w:lang w:val="nl-BE" w:eastAsia="nl-BE"/>
        </w:rPr>
        <w:drawing>
          <wp:inline distT="0" distB="0" distL="0" distR="0" wp14:anchorId="4CC01761" wp14:editId="004DC307">
            <wp:extent cx="6451200" cy="500400"/>
            <wp:effectExtent l="0" t="0" r="698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1200" cy="500400"/>
                    </a:xfrm>
                    <a:prstGeom prst="rect">
                      <a:avLst/>
                    </a:prstGeom>
                    <a:noFill/>
                  </pic:spPr>
                </pic:pic>
              </a:graphicData>
            </a:graphic>
          </wp:inline>
        </w:drawing>
      </w:r>
    </w:p>
    <w:p w:rsidR="00B744CA" w:rsidRPr="00B744CA" w:rsidRDefault="00B744CA" w:rsidP="00B744CA">
      <w:pPr>
        <w:autoSpaceDE w:val="0"/>
        <w:autoSpaceDN w:val="0"/>
        <w:adjustRightInd w:val="0"/>
        <w:spacing w:after="120" w:line="240" w:lineRule="auto"/>
        <w:ind w:left="992" w:right="6"/>
        <w:jc w:val="both"/>
        <w:rPr>
          <w:rFonts w:cs="Arial"/>
          <w:color w:val="003768"/>
          <w:lang w:val="nl-BE"/>
        </w:rPr>
      </w:pPr>
      <w:r w:rsidRPr="00B744CA">
        <w:rPr>
          <w:rFonts w:cs="Arial"/>
          <w:color w:val="003768"/>
          <w:lang w:val="nl-BE"/>
        </w:rPr>
        <w:t xml:space="preserve">In het deel Geconsolideerde financiële staten van het kwartaalverslag vindt u een volledig overzicht van de geconsolideerde winst-en-verliesrekening en balans volgens IFRS. In datzelfde deel vindt u ook een vereenvoudigd overzicht van de gerealiseerde en niet-gerealiseerde resultaten, van de eigenvermogensmutaties en de kasstromentabel, evenals verschillende toelichtingen bij de rekeningen. </w:t>
      </w:r>
    </w:p>
    <w:p w:rsidR="00B744CA" w:rsidRPr="00B744CA" w:rsidRDefault="00B744CA" w:rsidP="00B744CA">
      <w:pPr>
        <w:autoSpaceDE w:val="0"/>
        <w:autoSpaceDN w:val="0"/>
        <w:adjustRightInd w:val="0"/>
        <w:spacing w:after="120" w:line="240" w:lineRule="auto"/>
        <w:ind w:left="992" w:right="6"/>
        <w:jc w:val="both"/>
        <w:rPr>
          <w:rFonts w:cs="Arial"/>
          <w:color w:val="003768"/>
          <w:lang w:val="nl-BE"/>
        </w:rPr>
      </w:pPr>
      <w:r w:rsidRPr="00B744CA">
        <w:rPr>
          <w:rFonts w:cs="Arial"/>
          <w:color w:val="003768"/>
          <w:lang w:val="nl-BE"/>
        </w:rPr>
        <w:t xml:space="preserve">Om een duidelijk inzicht te verschaffen in de bedrijfsresultaten geeft KBC ook een overzicht van de aangepaste resultaten, waarbij de invloed van de </w:t>
      </w:r>
      <w:proofErr w:type="spellStart"/>
      <w:r w:rsidRPr="00B744CA">
        <w:rPr>
          <w:rFonts w:cs="Arial"/>
          <w:color w:val="003768"/>
          <w:lang w:val="nl-BE"/>
        </w:rPr>
        <w:t>legacy</w:t>
      </w:r>
      <w:proofErr w:type="spellEnd"/>
      <w:r w:rsidRPr="00B744CA">
        <w:rPr>
          <w:rFonts w:cs="Arial"/>
          <w:color w:val="003768"/>
          <w:lang w:val="nl-BE"/>
        </w:rPr>
        <w:t xml:space="preserve">-activiteiten (desinvesteringen, </w:t>
      </w:r>
      <w:proofErr w:type="spellStart"/>
      <w:r w:rsidRPr="00B744CA">
        <w:rPr>
          <w:rFonts w:cs="Arial"/>
          <w:color w:val="003768"/>
          <w:lang w:val="nl-BE"/>
        </w:rPr>
        <w:t>CDO’s</w:t>
      </w:r>
      <w:proofErr w:type="spellEnd"/>
      <w:r w:rsidRPr="00B744CA">
        <w:rPr>
          <w:rFonts w:cs="Arial"/>
          <w:color w:val="003768"/>
          <w:lang w:val="nl-BE"/>
        </w:rPr>
        <w:t>) en van de waardering van het eigen kredietrisico niet is opgenomen in de winst-en-verliesrekening maar wordt samengevat in drie lijnen onderaan het overzicht (zie het volgende deel).</w:t>
      </w:r>
    </w:p>
    <w:tbl>
      <w:tblPr>
        <w:tblW w:w="10207" w:type="dxa"/>
        <w:tblInd w:w="1043" w:type="dxa"/>
        <w:tblLayout w:type="fixed"/>
        <w:tblLook w:val="01E0" w:firstRow="1" w:lastRow="1" w:firstColumn="1" w:lastColumn="1" w:noHBand="0" w:noVBand="0"/>
      </w:tblPr>
      <w:tblGrid>
        <w:gridCol w:w="3544"/>
        <w:gridCol w:w="687"/>
        <w:gridCol w:w="723"/>
        <w:gridCol w:w="614"/>
        <w:gridCol w:w="662"/>
        <w:gridCol w:w="662"/>
        <w:gridCol w:w="649"/>
        <w:gridCol w:w="680"/>
        <w:gridCol w:w="654"/>
        <w:gridCol w:w="623"/>
        <w:gridCol w:w="709"/>
      </w:tblGrid>
      <w:tr w:rsidR="00B744CA" w:rsidRPr="00B744CA" w:rsidTr="00B744CA">
        <w:tc>
          <w:tcPr>
            <w:tcW w:w="3544" w:type="dxa"/>
            <w:shd w:val="clear" w:color="auto" w:fill="365F91" w:themeFill="accent1" w:themeFillShade="BF"/>
            <w:vAlign w:val="center"/>
          </w:tcPr>
          <w:p w:rsidR="00B744CA" w:rsidRPr="00B744CA" w:rsidRDefault="00B744CA" w:rsidP="00B744CA">
            <w:pPr>
              <w:spacing w:after="0" w:line="240" w:lineRule="auto"/>
              <w:rPr>
                <w:rFonts w:ascii="Arial" w:eastAsia="Times New Roman" w:hAnsi="Arial"/>
                <w:b/>
                <w:snapToGrid w:val="0"/>
                <w:color w:val="FFFFFF" w:themeColor="background1"/>
                <w:sz w:val="20"/>
                <w:szCs w:val="24"/>
                <w:lang w:val="nl-BE"/>
              </w:rPr>
            </w:pPr>
            <w:r w:rsidRPr="00B744CA">
              <w:rPr>
                <w:rFonts w:ascii="Arial" w:eastAsia="Times New Roman" w:hAnsi="Arial"/>
                <w:snapToGrid w:val="0"/>
                <w:color w:val="FFFFFF" w:themeColor="background1"/>
                <w:sz w:val="14"/>
                <w:szCs w:val="24"/>
                <w:lang w:val="nl-BE"/>
              </w:rPr>
              <w:t xml:space="preserve">Geconsolideerde winst-en-verliesrekening van de </w:t>
            </w:r>
            <w:r w:rsidRPr="00B744CA">
              <w:rPr>
                <w:rFonts w:ascii="Arial" w:eastAsia="Times New Roman" w:hAnsi="Arial"/>
                <w:snapToGrid w:val="0"/>
                <w:color w:val="FFFFFF" w:themeColor="background1"/>
                <w:sz w:val="14"/>
                <w:szCs w:val="24"/>
                <w:lang w:val="nl-BE"/>
              </w:rPr>
              <w:br/>
              <w:t xml:space="preserve">KBC-groep, volgens IFRS (in miljoenen euro) </w:t>
            </w:r>
          </w:p>
        </w:tc>
        <w:tc>
          <w:tcPr>
            <w:tcW w:w="687" w:type="dxa"/>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1KW 2013</w:t>
            </w:r>
          </w:p>
        </w:tc>
        <w:tc>
          <w:tcPr>
            <w:tcW w:w="723" w:type="dxa"/>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2KW 2013</w:t>
            </w:r>
          </w:p>
        </w:tc>
        <w:tc>
          <w:tcPr>
            <w:tcW w:w="614" w:type="dxa"/>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 xml:space="preserve">3KW </w:t>
            </w:r>
          </w:p>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2013</w:t>
            </w:r>
          </w:p>
        </w:tc>
        <w:tc>
          <w:tcPr>
            <w:tcW w:w="662" w:type="dxa"/>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4KW 2013</w:t>
            </w:r>
          </w:p>
        </w:tc>
        <w:tc>
          <w:tcPr>
            <w:tcW w:w="662" w:type="dxa"/>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1KW 2014</w:t>
            </w:r>
          </w:p>
        </w:tc>
        <w:tc>
          <w:tcPr>
            <w:tcW w:w="649" w:type="dxa"/>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2KW 2014</w:t>
            </w:r>
          </w:p>
        </w:tc>
        <w:tc>
          <w:tcPr>
            <w:tcW w:w="680" w:type="dxa"/>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 xml:space="preserve">3KW </w:t>
            </w:r>
          </w:p>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2014</w:t>
            </w:r>
          </w:p>
        </w:tc>
        <w:tc>
          <w:tcPr>
            <w:tcW w:w="654" w:type="dxa"/>
            <w:tcBorders>
              <w:right w:val="single" w:sz="8" w:space="0" w:color="1F497D" w:themeColor="text2"/>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4KW 2014</w:t>
            </w:r>
          </w:p>
        </w:tc>
        <w:tc>
          <w:tcPr>
            <w:tcW w:w="623" w:type="dxa"/>
            <w:tcBorders>
              <w:left w:val="single" w:sz="8" w:space="0" w:color="1F497D" w:themeColor="text2"/>
            </w:tcBorders>
            <w:shd w:val="clear" w:color="auto" w:fill="365F91" w:themeFill="accent1" w:themeFillShade="BF"/>
            <w:vAlign w:val="bottom"/>
          </w:tcPr>
          <w:p w:rsidR="00B744CA" w:rsidRPr="00B744CA" w:rsidRDefault="00B744CA" w:rsidP="00B744CA">
            <w:pPr>
              <w:spacing w:after="0" w:line="240" w:lineRule="auto"/>
              <w:ind w:left="-53" w:firstLine="53"/>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9M</w:t>
            </w:r>
          </w:p>
          <w:p w:rsidR="00B744CA" w:rsidRPr="00B744CA" w:rsidRDefault="00B744CA" w:rsidP="00B744CA">
            <w:pPr>
              <w:spacing w:after="0" w:line="240" w:lineRule="auto"/>
              <w:ind w:left="-53" w:firstLine="53"/>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2013</w:t>
            </w:r>
          </w:p>
        </w:tc>
        <w:tc>
          <w:tcPr>
            <w:tcW w:w="709" w:type="dxa"/>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9M 2014</w:t>
            </w:r>
          </w:p>
        </w:tc>
      </w:tr>
      <w:tr w:rsidR="00B744CA" w:rsidRPr="00B744CA" w:rsidTr="00B744CA">
        <w:trPr>
          <w:trHeight w:val="238"/>
        </w:trPr>
        <w:tc>
          <w:tcPr>
            <w:tcW w:w="3544"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proofErr w:type="spellStart"/>
            <w:r w:rsidRPr="00B744CA">
              <w:rPr>
                <w:rFonts w:ascii="Arial" w:eastAsia="Times New Roman" w:hAnsi="Arial"/>
                <w:snapToGrid w:val="0"/>
                <w:sz w:val="14"/>
                <w:szCs w:val="24"/>
                <w:lang w:val="nl-BE"/>
              </w:rPr>
              <w:t>Nettorente</w:t>
            </w:r>
            <w:proofErr w:type="spellEnd"/>
            <w:r w:rsidRPr="00B744CA">
              <w:rPr>
                <w:rFonts w:ascii="Arial" w:eastAsia="Times New Roman" w:hAnsi="Arial"/>
                <w:snapToGrid w:val="0"/>
                <w:sz w:val="14"/>
                <w:szCs w:val="24"/>
                <w:lang w:val="nl-BE"/>
              </w:rPr>
              <w:t>-inkomsten</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1 053</w:t>
            </w:r>
          </w:p>
        </w:tc>
        <w:tc>
          <w:tcPr>
            <w:tcW w:w="72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1 003</w:t>
            </w:r>
          </w:p>
        </w:tc>
        <w:tc>
          <w:tcPr>
            <w:tcW w:w="614"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1 014</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1 008</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1 010</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1 056</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1 120</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3 069</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3 185</w:t>
            </w:r>
          </w:p>
        </w:tc>
      </w:tr>
      <w:tr w:rsidR="00B744CA" w:rsidRPr="00B744CA" w:rsidTr="00B744CA">
        <w:trPr>
          <w:trHeight w:val="170"/>
        </w:trPr>
        <w:tc>
          <w:tcPr>
            <w:tcW w:w="3544"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2"/>
                <w:szCs w:val="24"/>
                <w:lang w:val="nl-BE"/>
              </w:rPr>
              <w:t xml:space="preserve">     Rente-inkomsten</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2 161</w:t>
            </w:r>
          </w:p>
        </w:tc>
        <w:tc>
          <w:tcPr>
            <w:tcW w:w="72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2 079</w:t>
            </w:r>
          </w:p>
        </w:tc>
        <w:tc>
          <w:tcPr>
            <w:tcW w:w="614"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2 037</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2 067</w:t>
            </w:r>
          </w:p>
        </w:tc>
        <w:tc>
          <w:tcPr>
            <w:tcW w:w="662" w:type="dxa"/>
            <w:shd w:val="clear" w:color="auto" w:fill="auto"/>
            <w:vAlign w:val="center"/>
          </w:tcPr>
          <w:p w:rsidR="00B744CA" w:rsidRPr="00B744CA" w:rsidRDefault="00B744CA" w:rsidP="00B744CA">
            <w:pPr>
              <w:keepNext/>
              <w:spacing w:after="0" w:line="240" w:lineRule="auto"/>
              <w:ind w:left="-242"/>
              <w:jc w:val="right"/>
              <w:outlineLvl w:val="3"/>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1 930</w:t>
            </w:r>
          </w:p>
        </w:tc>
        <w:tc>
          <w:tcPr>
            <w:tcW w:w="649" w:type="dxa"/>
            <w:shd w:val="clear" w:color="auto" w:fill="auto"/>
            <w:vAlign w:val="center"/>
          </w:tcPr>
          <w:p w:rsidR="00B744CA" w:rsidRPr="00B744CA" w:rsidRDefault="00B744CA" w:rsidP="00B744CA">
            <w:pPr>
              <w:spacing w:before="100" w:beforeAutospacing="1" w:after="0" w:line="240" w:lineRule="auto"/>
              <w:ind w:left="-242"/>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1 971</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ind w:left="-242"/>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2 010</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ind w:left="-242"/>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ind w:left="-242"/>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6 276</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ind w:left="-242"/>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5 911</w:t>
            </w:r>
          </w:p>
        </w:tc>
      </w:tr>
      <w:tr w:rsidR="00B744CA" w:rsidRPr="00B744CA" w:rsidTr="00B744CA">
        <w:trPr>
          <w:trHeight w:val="170"/>
        </w:trPr>
        <w:tc>
          <w:tcPr>
            <w:tcW w:w="3544"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2"/>
                <w:szCs w:val="24"/>
                <w:lang w:val="nl-BE"/>
              </w:rPr>
              <w:t xml:space="preserve">     Rentelasten</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-1 108</w:t>
            </w:r>
          </w:p>
        </w:tc>
        <w:tc>
          <w:tcPr>
            <w:tcW w:w="72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-1 076</w:t>
            </w:r>
          </w:p>
        </w:tc>
        <w:tc>
          <w:tcPr>
            <w:tcW w:w="614"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-1 023</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-1 060</w:t>
            </w:r>
          </w:p>
        </w:tc>
        <w:tc>
          <w:tcPr>
            <w:tcW w:w="662" w:type="dxa"/>
            <w:shd w:val="clear" w:color="auto" w:fill="auto"/>
            <w:vAlign w:val="center"/>
          </w:tcPr>
          <w:p w:rsidR="00B744CA" w:rsidRPr="00B744CA" w:rsidRDefault="00B744CA" w:rsidP="00B744CA">
            <w:pPr>
              <w:keepNext/>
              <w:spacing w:after="0" w:line="240" w:lineRule="auto"/>
              <w:jc w:val="right"/>
              <w:outlineLvl w:val="3"/>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-920</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-915</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-890</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-3 207</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-2 726</w:t>
            </w:r>
          </w:p>
        </w:tc>
      </w:tr>
      <w:tr w:rsidR="00B744CA" w:rsidRPr="00B744CA" w:rsidTr="00B744CA">
        <w:trPr>
          <w:trHeight w:val="284"/>
        </w:trPr>
        <w:tc>
          <w:tcPr>
            <w:tcW w:w="3544" w:type="dxa"/>
            <w:tcBorders>
              <w:right w:val="single" w:sz="8" w:space="0" w:color="1F497D" w:themeColor="text2"/>
            </w:tcBorders>
            <w:vAlign w:val="center"/>
          </w:tcPr>
          <w:p w:rsidR="00B744CA" w:rsidRPr="00B744CA" w:rsidRDefault="00B744CA" w:rsidP="00B744CA">
            <w:pPr>
              <w:spacing w:after="0" w:line="240" w:lineRule="auto"/>
              <w:rPr>
                <w:rFonts w:ascii="Times New Roman" w:eastAsia="Times New Roman" w:hAnsi="Times New Roman"/>
                <w:sz w:val="24"/>
                <w:szCs w:val="24"/>
                <w:lang w:val="nl-BE"/>
              </w:rPr>
            </w:pPr>
            <w:r w:rsidRPr="00B744CA">
              <w:rPr>
                <w:rFonts w:ascii="Arial" w:eastAsia="Times New Roman" w:hAnsi="Arial"/>
                <w:sz w:val="14"/>
                <w:szCs w:val="24"/>
                <w:lang w:val="nl-BE"/>
              </w:rPr>
              <w:t>Verzekeringen Niet-leven (vóór herverzekering)</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149</w:t>
            </w:r>
          </w:p>
        </w:tc>
        <w:tc>
          <w:tcPr>
            <w:tcW w:w="72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115</w:t>
            </w:r>
          </w:p>
        </w:tc>
        <w:tc>
          <w:tcPr>
            <w:tcW w:w="614"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145</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127</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149</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102</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139</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409</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389</w:t>
            </w:r>
          </w:p>
        </w:tc>
      </w:tr>
      <w:tr w:rsidR="00B744CA" w:rsidRPr="00B744CA" w:rsidTr="00B744CA">
        <w:trPr>
          <w:trHeight w:val="170"/>
        </w:trPr>
        <w:tc>
          <w:tcPr>
            <w:tcW w:w="3544" w:type="dxa"/>
            <w:tcBorders>
              <w:right w:val="single" w:sz="8" w:space="0" w:color="1F497D" w:themeColor="text2"/>
            </w:tcBorders>
            <w:vAlign w:val="center"/>
          </w:tcPr>
          <w:p w:rsidR="00B744CA" w:rsidRPr="00B744CA" w:rsidRDefault="00B744CA" w:rsidP="00B744CA">
            <w:pPr>
              <w:spacing w:after="0" w:line="240" w:lineRule="auto"/>
              <w:ind w:firstLineChars="400" w:firstLine="480"/>
              <w:rPr>
                <w:rFonts w:ascii="Times New Roman" w:eastAsia="Times New Roman" w:hAnsi="Times New Roman"/>
                <w:sz w:val="12"/>
                <w:szCs w:val="12"/>
                <w:lang w:val="nl-BE"/>
              </w:rPr>
            </w:pPr>
            <w:r w:rsidRPr="00B744CA">
              <w:rPr>
                <w:rFonts w:ascii="Arial" w:eastAsia="Times New Roman" w:hAnsi="Arial"/>
                <w:i/>
                <w:sz w:val="12"/>
                <w:szCs w:val="12"/>
                <w:lang w:val="nl-BE"/>
              </w:rPr>
              <w:t>Verdiende premies</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305</w:t>
            </w:r>
          </w:p>
        </w:tc>
        <w:tc>
          <w:tcPr>
            <w:tcW w:w="723"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316</w:t>
            </w:r>
          </w:p>
        </w:tc>
        <w:tc>
          <w:tcPr>
            <w:tcW w:w="614"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321</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317</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307</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315</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321</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942</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944</w:t>
            </w:r>
          </w:p>
        </w:tc>
      </w:tr>
      <w:tr w:rsidR="00B744CA" w:rsidRPr="00B744CA" w:rsidTr="00B744CA">
        <w:trPr>
          <w:trHeight w:val="170"/>
        </w:trPr>
        <w:tc>
          <w:tcPr>
            <w:tcW w:w="3544" w:type="dxa"/>
            <w:tcBorders>
              <w:right w:val="single" w:sz="8" w:space="0" w:color="1F497D" w:themeColor="text2"/>
            </w:tcBorders>
            <w:vAlign w:val="center"/>
          </w:tcPr>
          <w:p w:rsidR="00B744CA" w:rsidRPr="00B744CA" w:rsidRDefault="00B744CA" w:rsidP="00B744CA">
            <w:pPr>
              <w:spacing w:after="0" w:line="240" w:lineRule="auto"/>
              <w:ind w:firstLineChars="400" w:firstLine="480"/>
              <w:rPr>
                <w:rFonts w:ascii="Times New Roman" w:eastAsia="Times New Roman" w:hAnsi="Times New Roman"/>
                <w:sz w:val="12"/>
                <w:szCs w:val="12"/>
                <w:lang w:val="nl-BE"/>
              </w:rPr>
            </w:pPr>
            <w:r w:rsidRPr="00B744CA">
              <w:rPr>
                <w:rFonts w:ascii="Arial" w:eastAsia="Times New Roman" w:hAnsi="Arial"/>
                <w:i/>
                <w:sz w:val="12"/>
                <w:szCs w:val="12"/>
                <w:lang w:val="nl-BE"/>
              </w:rPr>
              <w:t>Technische lasten</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-156</w:t>
            </w:r>
          </w:p>
        </w:tc>
        <w:tc>
          <w:tcPr>
            <w:tcW w:w="723"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-201</w:t>
            </w:r>
          </w:p>
        </w:tc>
        <w:tc>
          <w:tcPr>
            <w:tcW w:w="614"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-176</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-190</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-158</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-214</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-183</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-533</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-555</w:t>
            </w:r>
          </w:p>
        </w:tc>
      </w:tr>
      <w:tr w:rsidR="00B744CA" w:rsidRPr="00B744CA" w:rsidTr="00B744CA">
        <w:trPr>
          <w:trHeight w:val="284"/>
        </w:trPr>
        <w:tc>
          <w:tcPr>
            <w:tcW w:w="3544" w:type="dxa"/>
            <w:tcBorders>
              <w:right w:val="single" w:sz="8" w:space="0" w:color="1F497D" w:themeColor="text2"/>
            </w:tcBorders>
            <w:vAlign w:val="center"/>
          </w:tcPr>
          <w:p w:rsidR="00B744CA" w:rsidRPr="00B744CA" w:rsidRDefault="00B744CA" w:rsidP="00B744CA">
            <w:pPr>
              <w:spacing w:after="0" w:line="240" w:lineRule="auto"/>
              <w:rPr>
                <w:rFonts w:ascii="Times New Roman" w:eastAsia="Times New Roman" w:hAnsi="Times New Roman"/>
                <w:sz w:val="24"/>
                <w:szCs w:val="24"/>
                <w:lang w:val="nl-BE"/>
              </w:rPr>
            </w:pPr>
            <w:r w:rsidRPr="00B744CA">
              <w:rPr>
                <w:rFonts w:ascii="Arial" w:eastAsia="Times New Roman" w:hAnsi="Arial"/>
                <w:sz w:val="14"/>
                <w:szCs w:val="24"/>
                <w:lang w:val="nl-BE"/>
              </w:rPr>
              <w:t>Verzekeringen Leven (vóór herverzekering)</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-59</w:t>
            </w:r>
          </w:p>
        </w:tc>
        <w:tc>
          <w:tcPr>
            <w:tcW w:w="72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-62</w:t>
            </w:r>
          </w:p>
        </w:tc>
        <w:tc>
          <w:tcPr>
            <w:tcW w:w="614"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-63</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-57</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-59</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-56</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-57</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-185</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-171</w:t>
            </w:r>
          </w:p>
        </w:tc>
      </w:tr>
      <w:tr w:rsidR="00B744CA" w:rsidRPr="00B744CA" w:rsidTr="00B744CA">
        <w:trPr>
          <w:trHeight w:val="170"/>
        </w:trPr>
        <w:tc>
          <w:tcPr>
            <w:tcW w:w="3544" w:type="dxa"/>
            <w:tcBorders>
              <w:right w:val="single" w:sz="8" w:space="0" w:color="1F497D" w:themeColor="text2"/>
            </w:tcBorders>
            <w:vAlign w:val="center"/>
          </w:tcPr>
          <w:p w:rsidR="00B744CA" w:rsidRPr="00B744CA" w:rsidRDefault="00B744CA" w:rsidP="00B744CA">
            <w:pPr>
              <w:spacing w:after="0" w:line="240" w:lineRule="auto"/>
              <w:ind w:firstLineChars="400" w:firstLine="480"/>
              <w:rPr>
                <w:rFonts w:ascii="Times New Roman" w:eastAsia="Times New Roman" w:hAnsi="Times New Roman"/>
                <w:sz w:val="12"/>
                <w:szCs w:val="12"/>
                <w:lang w:val="nl-BE"/>
              </w:rPr>
            </w:pPr>
            <w:r w:rsidRPr="00B744CA">
              <w:rPr>
                <w:rFonts w:ascii="Arial" w:eastAsia="Times New Roman" w:hAnsi="Arial"/>
                <w:i/>
                <w:sz w:val="12"/>
                <w:szCs w:val="12"/>
                <w:lang w:val="nl-BE"/>
              </w:rPr>
              <w:t>Verdiende premies</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271</w:t>
            </w:r>
          </w:p>
        </w:tc>
        <w:tc>
          <w:tcPr>
            <w:tcW w:w="723"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241</w:t>
            </w:r>
          </w:p>
        </w:tc>
        <w:tc>
          <w:tcPr>
            <w:tcW w:w="614"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238</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381</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308</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297</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299</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750</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904</w:t>
            </w:r>
          </w:p>
        </w:tc>
      </w:tr>
      <w:tr w:rsidR="00B744CA" w:rsidRPr="00B744CA" w:rsidTr="00B744CA">
        <w:trPr>
          <w:trHeight w:val="170"/>
        </w:trPr>
        <w:tc>
          <w:tcPr>
            <w:tcW w:w="3544" w:type="dxa"/>
            <w:tcBorders>
              <w:right w:val="single" w:sz="8" w:space="0" w:color="1F497D" w:themeColor="text2"/>
            </w:tcBorders>
            <w:vAlign w:val="center"/>
          </w:tcPr>
          <w:p w:rsidR="00B744CA" w:rsidRPr="00B744CA" w:rsidRDefault="00B744CA" w:rsidP="00B744CA">
            <w:pPr>
              <w:spacing w:after="0" w:line="240" w:lineRule="auto"/>
              <w:ind w:firstLineChars="400" w:firstLine="480"/>
              <w:rPr>
                <w:rFonts w:ascii="Times New Roman" w:eastAsia="Times New Roman" w:hAnsi="Times New Roman"/>
                <w:sz w:val="12"/>
                <w:szCs w:val="12"/>
                <w:lang w:val="nl-BE"/>
              </w:rPr>
            </w:pPr>
            <w:r w:rsidRPr="00B744CA">
              <w:rPr>
                <w:rFonts w:ascii="Arial" w:eastAsia="Times New Roman" w:hAnsi="Arial"/>
                <w:i/>
                <w:sz w:val="12"/>
                <w:szCs w:val="12"/>
                <w:lang w:val="nl-BE"/>
              </w:rPr>
              <w:t>Technische lasten</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-331</w:t>
            </w:r>
          </w:p>
        </w:tc>
        <w:tc>
          <w:tcPr>
            <w:tcW w:w="723"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-303</w:t>
            </w:r>
          </w:p>
        </w:tc>
        <w:tc>
          <w:tcPr>
            <w:tcW w:w="614"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-302</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-438</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-367</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-353</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-355</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-936</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-1 075</w:t>
            </w:r>
          </w:p>
        </w:tc>
      </w:tr>
      <w:tr w:rsidR="00B744CA" w:rsidRPr="00B744CA" w:rsidTr="00B744CA">
        <w:trPr>
          <w:trHeight w:val="284"/>
        </w:trPr>
        <w:tc>
          <w:tcPr>
            <w:tcW w:w="3544"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Nettoresultaat uit afgestane herverzekering</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-12</w:t>
            </w:r>
          </w:p>
        </w:tc>
        <w:tc>
          <w:tcPr>
            <w:tcW w:w="72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13</w:t>
            </w:r>
          </w:p>
        </w:tc>
        <w:tc>
          <w:tcPr>
            <w:tcW w:w="614"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-6</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-17</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19</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6</w:t>
            </w:r>
          </w:p>
        </w:tc>
      </w:tr>
      <w:tr w:rsidR="00B744CA" w:rsidRPr="00B744CA" w:rsidTr="00B744CA">
        <w:trPr>
          <w:trHeight w:val="284"/>
        </w:trPr>
        <w:tc>
          <w:tcPr>
            <w:tcW w:w="3544"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Dividendinkomsten</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5</w:t>
            </w:r>
          </w:p>
        </w:tc>
        <w:tc>
          <w:tcPr>
            <w:tcW w:w="72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20</w:t>
            </w:r>
          </w:p>
        </w:tc>
        <w:tc>
          <w:tcPr>
            <w:tcW w:w="614"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14</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8</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14</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24</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9</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39</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47</w:t>
            </w:r>
          </w:p>
        </w:tc>
      </w:tr>
      <w:tr w:rsidR="00B744CA" w:rsidRPr="00B744CA" w:rsidTr="00B744CA">
        <w:trPr>
          <w:trHeight w:val="284"/>
        </w:trPr>
        <w:tc>
          <w:tcPr>
            <w:tcW w:w="3544"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Nettoresultaat uit financiële instrumenten tegen reële waarde met verwerking van waardeveranderingen in de winst-en-verliesrekening</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314</w:t>
            </w:r>
          </w:p>
        </w:tc>
        <w:tc>
          <w:tcPr>
            <w:tcW w:w="72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425</w:t>
            </w:r>
          </w:p>
        </w:tc>
        <w:tc>
          <w:tcPr>
            <w:tcW w:w="614"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223</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229</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40</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44</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34</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962</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118</w:t>
            </w:r>
          </w:p>
        </w:tc>
      </w:tr>
      <w:tr w:rsidR="00B744CA" w:rsidRPr="00B744CA" w:rsidTr="00B744CA">
        <w:trPr>
          <w:trHeight w:val="284"/>
        </w:trPr>
        <w:tc>
          <w:tcPr>
            <w:tcW w:w="3544" w:type="dxa"/>
            <w:tcBorders>
              <w:right w:val="single" w:sz="8" w:space="0" w:color="1F497D" w:themeColor="text2"/>
            </w:tcBorders>
            <w:vAlign w:val="center"/>
          </w:tcPr>
          <w:p w:rsidR="00B744CA" w:rsidRPr="00B744CA" w:rsidRDefault="00B744CA" w:rsidP="00B744CA">
            <w:pPr>
              <w:spacing w:before="6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Netto gerealiseerd resultaat uit voor verkoop beschikbare financiële activa</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142</w:t>
            </w:r>
          </w:p>
        </w:tc>
        <w:tc>
          <w:tcPr>
            <w:tcW w:w="72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47</w:t>
            </w:r>
          </w:p>
        </w:tc>
        <w:tc>
          <w:tcPr>
            <w:tcW w:w="614"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34</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29</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51</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49</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28</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223</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128</w:t>
            </w:r>
          </w:p>
        </w:tc>
      </w:tr>
      <w:tr w:rsidR="00B744CA" w:rsidRPr="00B744CA" w:rsidTr="00B744CA">
        <w:trPr>
          <w:trHeight w:val="284"/>
        </w:trPr>
        <w:tc>
          <w:tcPr>
            <w:tcW w:w="3544"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proofErr w:type="spellStart"/>
            <w:r w:rsidRPr="00B744CA">
              <w:rPr>
                <w:rFonts w:ascii="Arial" w:eastAsia="Times New Roman" w:hAnsi="Arial"/>
                <w:snapToGrid w:val="0"/>
                <w:sz w:val="14"/>
                <w:szCs w:val="24"/>
                <w:lang w:val="nl-BE"/>
              </w:rPr>
              <w:t>Nettoprovisie</w:t>
            </w:r>
            <w:proofErr w:type="spellEnd"/>
            <w:r w:rsidRPr="00B744CA">
              <w:rPr>
                <w:rFonts w:ascii="Arial" w:eastAsia="Times New Roman" w:hAnsi="Arial"/>
                <w:snapToGrid w:val="0"/>
                <w:sz w:val="14"/>
                <w:szCs w:val="24"/>
                <w:lang w:val="nl-BE"/>
              </w:rPr>
              <w:t>-inkomsten</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389</w:t>
            </w:r>
          </w:p>
        </w:tc>
        <w:tc>
          <w:tcPr>
            <w:tcW w:w="72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381</w:t>
            </w:r>
          </w:p>
        </w:tc>
        <w:tc>
          <w:tcPr>
            <w:tcW w:w="614"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337</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362</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374</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387</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402</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1 107</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1 163</w:t>
            </w:r>
          </w:p>
        </w:tc>
      </w:tr>
      <w:tr w:rsidR="00B744CA" w:rsidRPr="00B744CA" w:rsidTr="00B744CA">
        <w:trPr>
          <w:trHeight w:val="170"/>
        </w:trPr>
        <w:tc>
          <w:tcPr>
            <w:tcW w:w="3544"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2"/>
                <w:szCs w:val="24"/>
                <w:lang w:val="nl-BE"/>
              </w:rPr>
              <w:t xml:space="preserve">     Ontvangen provisies</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636</w:t>
            </w:r>
          </w:p>
        </w:tc>
        <w:tc>
          <w:tcPr>
            <w:tcW w:w="72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560</w:t>
            </w:r>
          </w:p>
        </w:tc>
        <w:tc>
          <w:tcPr>
            <w:tcW w:w="614"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507</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564</w:t>
            </w:r>
          </w:p>
        </w:tc>
        <w:tc>
          <w:tcPr>
            <w:tcW w:w="662" w:type="dxa"/>
            <w:shd w:val="clear" w:color="auto" w:fill="auto"/>
            <w:vAlign w:val="center"/>
          </w:tcPr>
          <w:p w:rsidR="00B744CA" w:rsidRPr="00B744CA" w:rsidRDefault="00B744CA" w:rsidP="00B744CA">
            <w:pPr>
              <w:keepNext/>
              <w:spacing w:after="0" w:line="240" w:lineRule="auto"/>
              <w:jc w:val="right"/>
              <w:outlineLvl w:val="3"/>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557</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533</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579</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1 704</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1 668</w:t>
            </w:r>
          </w:p>
        </w:tc>
      </w:tr>
      <w:tr w:rsidR="00B744CA" w:rsidRPr="00B744CA" w:rsidTr="00B744CA">
        <w:trPr>
          <w:trHeight w:val="170"/>
        </w:trPr>
        <w:tc>
          <w:tcPr>
            <w:tcW w:w="3544"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2"/>
                <w:szCs w:val="24"/>
                <w:lang w:val="nl-BE"/>
              </w:rPr>
              <w:t xml:space="preserve">     Betaalde provisies</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-247</w:t>
            </w:r>
          </w:p>
        </w:tc>
        <w:tc>
          <w:tcPr>
            <w:tcW w:w="72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-179</w:t>
            </w:r>
          </w:p>
        </w:tc>
        <w:tc>
          <w:tcPr>
            <w:tcW w:w="614"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-170</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-202</w:t>
            </w:r>
          </w:p>
        </w:tc>
        <w:tc>
          <w:tcPr>
            <w:tcW w:w="662" w:type="dxa"/>
            <w:shd w:val="clear" w:color="auto" w:fill="auto"/>
            <w:vAlign w:val="center"/>
          </w:tcPr>
          <w:p w:rsidR="00B744CA" w:rsidRPr="00B744CA" w:rsidRDefault="00B744CA" w:rsidP="00B744CA">
            <w:pPr>
              <w:keepNext/>
              <w:spacing w:after="0" w:line="240" w:lineRule="auto"/>
              <w:jc w:val="right"/>
              <w:outlineLvl w:val="3"/>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-182</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-147</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-177</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-596</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2"/>
                <w:szCs w:val="12"/>
                <w:lang w:val="en-GB"/>
              </w:rPr>
            </w:pPr>
            <w:r w:rsidRPr="00B744CA">
              <w:rPr>
                <w:rFonts w:ascii="Arial" w:eastAsia="Times New Roman" w:hAnsi="Arial"/>
                <w:bCs/>
                <w:snapToGrid w:val="0"/>
                <w:sz w:val="12"/>
                <w:szCs w:val="12"/>
                <w:lang w:val="en-GB"/>
              </w:rPr>
              <w:t>-505</w:t>
            </w:r>
          </w:p>
        </w:tc>
      </w:tr>
      <w:tr w:rsidR="00B744CA" w:rsidRPr="00B744CA" w:rsidTr="00B744CA">
        <w:trPr>
          <w:trHeight w:val="284"/>
        </w:trPr>
        <w:tc>
          <w:tcPr>
            <w:tcW w:w="3544" w:type="dxa"/>
            <w:tcBorders>
              <w:bottom w:val="single" w:sz="8" w:space="0" w:color="1F497D" w:themeColor="text2"/>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Overige netto-inkomsten</w:t>
            </w:r>
          </w:p>
        </w:tc>
        <w:tc>
          <w:tcPr>
            <w:tcW w:w="687" w:type="dxa"/>
            <w:tcBorders>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76</w:t>
            </w:r>
          </w:p>
        </w:tc>
        <w:tc>
          <w:tcPr>
            <w:tcW w:w="723"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-20</w:t>
            </w:r>
          </w:p>
        </w:tc>
        <w:tc>
          <w:tcPr>
            <w:tcW w:w="614"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51</w:t>
            </w:r>
          </w:p>
        </w:tc>
        <w:tc>
          <w:tcPr>
            <w:tcW w:w="662" w:type="dxa"/>
            <w:tcBorders>
              <w:bottom w:val="single" w:sz="8" w:space="0" w:color="1F497D" w:themeColor="text2"/>
            </w:tcBorders>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15</w:t>
            </w:r>
          </w:p>
        </w:tc>
        <w:tc>
          <w:tcPr>
            <w:tcW w:w="662"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52</w:t>
            </w:r>
          </w:p>
        </w:tc>
        <w:tc>
          <w:tcPr>
            <w:tcW w:w="649" w:type="dxa"/>
            <w:tcBorders>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-99</w:t>
            </w:r>
          </w:p>
        </w:tc>
        <w:tc>
          <w:tcPr>
            <w:tcW w:w="680" w:type="dxa"/>
            <w:tcBorders>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73</w:t>
            </w:r>
          </w:p>
        </w:tc>
        <w:tc>
          <w:tcPr>
            <w:tcW w:w="654" w:type="dxa"/>
            <w:tcBorders>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107</w:t>
            </w:r>
          </w:p>
        </w:tc>
        <w:tc>
          <w:tcPr>
            <w:tcW w:w="709" w:type="dxa"/>
            <w:tcBorders>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26</w:t>
            </w:r>
          </w:p>
        </w:tc>
      </w:tr>
      <w:tr w:rsidR="00B744CA" w:rsidRPr="00B744CA" w:rsidTr="00B744CA">
        <w:trPr>
          <w:trHeight w:val="284"/>
        </w:trPr>
        <w:tc>
          <w:tcPr>
            <w:tcW w:w="3544" w:type="dxa"/>
            <w:tcBorders>
              <w:top w:val="single" w:sz="8" w:space="0" w:color="1F497D" w:themeColor="text2"/>
              <w:bottom w:val="single" w:sz="8" w:space="0" w:color="1F497D" w:themeColor="text2"/>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Totale opbrengsten</w:t>
            </w:r>
          </w:p>
        </w:tc>
        <w:tc>
          <w:tcPr>
            <w:tcW w:w="687" w:type="dxa"/>
            <w:tcBorders>
              <w:top w:val="single" w:sz="8" w:space="0" w:color="1F497D" w:themeColor="text2"/>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2 058</w:t>
            </w:r>
          </w:p>
        </w:tc>
        <w:tc>
          <w:tcPr>
            <w:tcW w:w="723" w:type="dxa"/>
            <w:tcBorders>
              <w:top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1 921</w:t>
            </w:r>
          </w:p>
        </w:tc>
        <w:tc>
          <w:tcPr>
            <w:tcW w:w="614" w:type="dxa"/>
            <w:tcBorders>
              <w:top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1 754</w:t>
            </w:r>
          </w:p>
        </w:tc>
        <w:tc>
          <w:tcPr>
            <w:tcW w:w="662" w:type="dxa"/>
            <w:tcBorders>
              <w:top w:val="single" w:sz="8" w:space="0" w:color="1F497D" w:themeColor="text2"/>
              <w:bottom w:val="single" w:sz="8" w:space="0" w:color="1F497D" w:themeColor="text2"/>
            </w:tcBorders>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1 715</w:t>
            </w:r>
          </w:p>
        </w:tc>
        <w:tc>
          <w:tcPr>
            <w:tcW w:w="662"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1 615</w:t>
            </w:r>
          </w:p>
        </w:tc>
        <w:tc>
          <w:tcPr>
            <w:tcW w:w="649"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1 526</w:t>
            </w:r>
          </w:p>
        </w:tc>
        <w:tc>
          <w:tcPr>
            <w:tcW w:w="680" w:type="dxa"/>
            <w:tcBorders>
              <w:top w:val="single" w:sz="8" w:space="0" w:color="1F497D" w:themeColor="text2"/>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1 752</w:t>
            </w:r>
          </w:p>
        </w:tc>
        <w:tc>
          <w:tcPr>
            <w:tcW w:w="654" w:type="dxa"/>
            <w:tcBorders>
              <w:top w:val="single" w:sz="8" w:space="0" w:color="1F497D" w:themeColor="text2"/>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5 733</w:t>
            </w:r>
          </w:p>
        </w:tc>
        <w:tc>
          <w:tcPr>
            <w:tcW w:w="709" w:type="dxa"/>
            <w:tcBorders>
              <w:top w:val="single" w:sz="8" w:space="0" w:color="1F497D" w:themeColor="text2"/>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4 892</w:t>
            </w:r>
          </w:p>
        </w:tc>
      </w:tr>
      <w:tr w:rsidR="00B744CA" w:rsidRPr="00B744CA" w:rsidTr="00B744CA">
        <w:trPr>
          <w:trHeight w:val="284"/>
        </w:trPr>
        <w:tc>
          <w:tcPr>
            <w:tcW w:w="3544" w:type="dxa"/>
            <w:tcBorders>
              <w:top w:val="single" w:sz="8" w:space="0" w:color="1F497D" w:themeColor="text2"/>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Exploitatiekosten</w:t>
            </w:r>
          </w:p>
        </w:tc>
        <w:tc>
          <w:tcPr>
            <w:tcW w:w="687" w:type="dxa"/>
            <w:tcBorders>
              <w:top w:val="single" w:sz="8" w:space="0" w:color="1F497D" w:themeColor="text2"/>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-1 033</w:t>
            </w:r>
          </w:p>
        </w:tc>
        <w:tc>
          <w:tcPr>
            <w:tcW w:w="723"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-924</w:t>
            </w:r>
          </w:p>
        </w:tc>
        <w:tc>
          <w:tcPr>
            <w:tcW w:w="614"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-918</w:t>
            </w:r>
          </w:p>
        </w:tc>
        <w:tc>
          <w:tcPr>
            <w:tcW w:w="662" w:type="dxa"/>
            <w:tcBorders>
              <w:top w:val="single" w:sz="8" w:space="0" w:color="1F497D" w:themeColor="text2"/>
            </w:tcBorders>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-968</w:t>
            </w:r>
          </w:p>
        </w:tc>
        <w:tc>
          <w:tcPr>
            <w:tcW w:w="662"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-973</w:t>
            </w:r>
          </w:p>
        </w:tc>
        <w:tc>
          <w:tcPr>
            <w:tcW w:w="649" w:type="dxa"/>
            <w:tcBorders>
              <w:top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-933</w:t>
            </w:r>
          </w:p>
        </w:tc>
        <w:tc>
          <w:tcPr>
            <w:tcW w:w="680" w:type="dxa"/>
            <w:tcBorders>
              <w:top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-923</w:t>
            </w:r>
          </w:p>
        </w:tc>
        <w:tc>
          <w:tcPr>
            <w:tcW w:w="654" w:type="dxa"/>
            <w:tcBorders>
              <w:top w:val="single" w:sz="8" w:space="0" w:color="1F497D" w:themeColor="text2"/>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top w:val="single" w:sz="8" w:space="0" w:color="1F497D" w:themeColor="text2"/>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-2 875</w:t>
            </w:r>
          </w:p>
        </w:tc>
        <w:tc>
          <w:tcPr>
            <w:tcW w:w="709" w:type="dxa"/>
            <w:tcBorders>
              <w:top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-2 829</w:t>
            </w:r>
          </w:p>
        </w:tc>
      </w:tr>
      <w:tr w:rsidR="00B744CA" w:rsidRPr="00B744CA" w:rsidTr="00B744CA">
        <w:trPr>
          <w:trHeight w:val="284"/>
        </w:trPr>
        <w:tc>
          <w:tcPr>
            <w:tcW w:w="3544" w:type="dxa"/>
            <w:tcBorders>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Bijzondere waardeverminderingen</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-350</w:t>
            </w:r>
          </w:p>
        </w:tc>
        <w:tc>
          <w:tcPr>
            <w:tcW w:w="72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-275</w:t>
            </w:r>
          </w:p>
        </w:tc>
        <w:tc>
          <w:tcPr>
            <w:tcW w:w="614"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-362</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-940</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-114</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-142</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-58</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-987</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-313</w:t>
            </w:r>
          </w:p>
        </w:tc>
      </w:tr>
      <w:tr w:rsidR="00B744CA" w:rsidRPr="00B744CA" w:rsidTr="00B744CA">
        <w:trPr>
          <w:trHeight w:val="227"/>
        </w:trPr>
        <w:tc>
          <w:tcPr>
            <w:tcW w:w="3544" w:type="dxa"/>
            <w:tcBorders>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 xml:space="preserve">     op leningen en vorderingen</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-293</w:t>
            </w:r>
          </w:p>
        </w:tc>
        <w:tc>
          <w:tcPr>
            <w:tcW w:w="723" w:type="dxa"/>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-254</w:t>
            </w:r>
          </w:p>
        </w:tc>
        <w:tc>
          <w:tcPr>
            <w:tcW w:w="614" w:type="dxa"/>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-230</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-937</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-102</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-136</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-190</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-777</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-429</w:t>
            </w:r>
          </w:p>
        </w:tc>
      </w:tr>
      <w:tr w:rsidR="00B744CA" w:rsidRPr="00B744CA" w:rsidTr="00B744CA">
        <w:trPr>
          <w:trHeight w:val="227"/>
        </w:trPr>
        <w:tc>
          <w:tcPr>
            <w:tcW w:w="3544" w:type="dxa"/>
            <w:tcBorders>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 xml:space="preserve">     op voor verkoop beschikbare activa</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-13</w:t>
            </w:r>
          </w:p>
        </w:tc>
        <w:tc>
          <w:tcPr>
            <w:tcW w:w="723" w:type="dxa"/>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-3</w:t>
            </w:r>
          </w:p>
        </w:tc>
        <w:tc>
          <w:tcPr>
            <w:tcW w:w="614" w:type="dxa"/>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-8</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-10</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-6</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-24</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-14</w:t>
            </w:r>
          </w:p>
        </w:tc>
      </w:tr>
      <w:tr w:rsidR="00B744CA" w:rsidRPr="00B744CA" w:rsidTr="00B744CA">
        <w:trPr>
          <w:trHeight w:val="227"/>
        </w:trPr>
        <w:tc>
          <w:tcPr>
            <w:tcW w:w="3544" w:type="dxa"/>
            <w:tcBorders>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 xml:space="preserve">     op goodwill</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-7</w:t>
            </w:r>
          </w:p>
        </w:tc>
        <w:tc>
          <w:tcPr>
            <w:tcW w:w="723" w:type="dxa"/>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0</w:t>
            </w:r>
          </w:p>
        </w:tc>
        <w:tc>
          <w:tcPr>
            <w:tcW w:w="614" w:type="dxa"/>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0</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0</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-7</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r>
      <w:tr w:rsidR="00B744CA" w:rsidRPr="00B744CA" w:rsidTr="00B744CA">
        <w:trPr>
          <w:trHeight w:val="227"/>
        </w:trPr>
        <w:tc>
          <w:tcPr>
            <w:tcW w:w="3544" w:type="dxa"/>
            <w:tcBorders>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 xml:space="preserve">     op overige</w:t>
            </w:r>
          </w:p>
        </w:tc>
        <w:tc>
          <w:tcPr>
            <w:tcW w:w="687"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-37</w:t>
            </w:r>
          </w:p>
        </w:tc>
        <w:tc>
          <w:tcPr>
            <w:tcW w:w="723" w:type="dxa"/>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-18</w:t>
            </w:r>
          </w:p>
        </w:tc>
        <w:tc>
          <w:tcPr>
            <w:tcW w:w="614" w:type="dxa"/>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-125</w:t>
            </w:r>
          </w:p>
        </w:tc>
        <w:tc>
          <w:tcPr>
            <w:tcW w:w="662" w:type="dxa"/>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iCs/>
                <w:sz w:val="14"/>
                <w:szCs w:val="14"/>
                <w:lang w:val="en-GB"/>
              </w:rPr>
            </w:pPr>
            <w:r w:rsidRPr="00B744CA">
              <w:rPr>
                <w:rFonts w:ascii="Arial" w:eastAsia="Times New Roman" w:hAnsi="Arial" w:cs="Arial"/>
                <w:iCs/>
                <w:sz w:val="14"/>
                <w:szCs w:val="14"/>
                <w:lang w:val="en-GB"/>
              </w:rPr>
              <w:t>7</w:t>
            </w:r>
          </w:p>
        </w:tc>
        <w:tc>
          <w:tcPr>
            <w:tcW w:w="662"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-6</w:t>
            </w:r>
          </w:p>
        </w:tc>
        <w:tc>
          <w:tcPr>
            <w:tcW w:w="649" w:type="dxa"/>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w:t>
            </w:r>
          </w:p>
        </w:tc>
        <w:tc>
          <w:tcPr>
            <w:tcW w:w="680"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139</w:t>
            </w:r>
          </w:p>
        </w:tc>
        <w:tc>
          <w:tcPr>
            <w:tcW w:w="654" w:type="dxa"/>
            <w:tcBorders>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-179</w:t>
            </w:r>
          </w:p>
        </w:tc>
        <w:tc>
          <w:tcPr>
            <w:tcW w:w="709" w:type="dxa"/>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130</w:t>
            </w:r>
          </w:p>
        </w:tc>
      </w:tr>
      <w:tr w:rsidR="00B744CA" w:rsidRPr="00B744CA" w:rsidTr="00B744CA">
        <w:trPr>
          <w:trHeight w:val="284"/>
        </w:trPr>
        <w:tc>
          <w:tcPr>
            <w:tcW w:w="3544" w:type="dxa"/>
            <w:tcBorders>
              <w:bottom w:val="single" w:sz="8" w:space="0" w:color="1F497D" w:themeColor="text2"/>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Aandeel in het resultaat van geassocieerde ondernemingen en joint-ventures</w:t>
            </w:r>
          </w:p>
        </w:tc>
        <w:tc>
          <w:tcPr>
            <w:tcW w:w="687" w:type="dxa"/>
            <w:tcBorders>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8</w:t>
            </w:r>
          </w:p>
        </w:tc>
        <w:tc>
          <w:tcPr>
            <w:tcW w:w="723"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8</w:t>
            </w:r>
          </w:p>
        </w:tc>
        <w:tc>
          <w:tcPr>
            <w:tcW w:w="614"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w:t>
            </w:r>
          </w:p>
        </w:tc>
        <w:tc>
          <w:tcPr>
            <w:tcW w:w="662" w:type="dxa"/>
            <w:tcBorders>
              <w:bottom w:val="single" w:sz="8" w:space="0" w:color="1F497D" w:themeColor="text2"/>
            </w:tcBorders>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6</w:t>
            </w:r>
          </w:p>
        </w:tc>
        <w:tc>
          <w:tcPr>
            <w:tcW w:w="662"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7</w:t>
            </w:r>
          </w:p>
        </w:tc>
        <w:tc>
          <w:tcPr>
            <w:tcW w:w="649" w:type="dxa"/>
            <w:tcBorders>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7</w:t>
            </w:r>
          </w:p>
        </w:tc>
        <w:tc>
          <w:tcPr>
            <w:tcW w:w="680" w:type="dxa"/>
            <w:tcBorders>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6</w:t>
            </w:r>
          </w:p>
        </w:tc>
        <w:tc>
          <w:tcPr>
            <w:tcW w:w="654" w:type="dxa"/>
            <w:tcBorders>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24</w:t>
            </w:r>
          </w:p>
        </w:tc>
        <w:tc>
          <w:tcPr>
            <w:tcW w:w="709" w:type="dxa"/>
            <w:tcBorders>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19</w:t>
            </w:r>
          </w:p>
        </w:tc>
      </w:tr>
      <w:tr w:rsidR="00B744CA" w:rsidRPr="00B744CA" w:rsidTr="00B744CA">
        <w:trPr>
          <w:trHeight w:val="284"/>
        </w:trPr>
        <w:tc>
          <w:tcPr>
            <w:tcW w:w="3544" w:type="dxa"/>
            <w:tcBorders>
              <w:top w:val="single" w:sz="8" w:space="0" w:color="1F497D" w:themeColor="text2"/>
              <w:bottom w:val="single" w:sz="8" w:space="0" w:color="1F497D" w:themeColor="text2"/>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Resultaat vóór belastingen</w:t>
            </w:r>
          </w:p>
        </w:tc>
        <w:tc>
          <w:tcPr>
            <w:tcW w:w="687" w:type="dxa"/>
            <w:tcBorders>
              <w:top w:val="single" w:sz="8" w:space="0" w:color="1F497D" w:themeColor="text2"/>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683</w:t>
            </w:r>
          </w:p>
        </w:tc>
        <w:tc>
          <w:tcPr>
            <w:tcW w:w="723" w:type="dxa"/>
            <w:tcBorders>
              <w:top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729</w:t>
            </w:r>
          </w:p>
        </w:tc>
        <w:tc>
          <w:tcPr>
            <w:tcW w:w="614" w:type="dxa"/>
            <w:tcBorders>
              <w:top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483</w:t>
            </w:r>
          </w:p>
        </w:tc>
        <w:tc>
          <w:tcPr>
            <w:tcW w:w="662" w:type="dxa"/>
            <w:tcBorders>
              <w:top w:val="single" w:sz="8" w:space="0" w:color="1F497D" w:themeColor="text2"/>
              <w:bottom w:val="single" w:sz="8" w:space="0" w:color="1F497D" w:themeColor="text2"/>
            </w:tcBorders>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-187</w:t>
            </w:r>
          </w:p>
        </w:tc>
        <w:tc>
          <w:tcPr>
            <w:tcW w:w="662"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535</w:t>
            </w:r>
          </w:p>
        </w:tc>
        <w:tc>
          <w:tcPr>
            <w:tcW w:w="649"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457</w:t>
            </w:r>
          </w:p>
        </w:tc>
        <w:tc>
          <w:tcPr>
            <w:tcW w:w="680" w:type="dxa"/>
            <w:tcBorders>
              <w:top w:val="single" w:sz="8" w:space="0" w:color="1F497D" w:themeColor="text2"/>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777</w:t>
            </w:r>
          </w:p>
        </w:tc>
        <w:tc>
          <w:tcPr>
            <w:tcW w:w="654" w:type="dxa"/>
            <w:tcBorders>
              <w:top w:val="single" w:sz="8" w:space="0" w:color="1F497D" w:themeColor="text2"/>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1 895</w:t>
            </w:r>
          </w:p>
        </w:tc>
        <w:tc>
          <w:tcPr>
            <w:tcW w:w="709" w:type="dxa"/>
            <w:tcBorders>
              <w:top w:val="single" w:sz="8" w:space="0" w:color="1F497D" w:themeColor="text2"/>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1 769</w:t>
            </w:r>
          </w:p>
        </w:tc>
      </w:tr>
      <w:tr w:rsidR="00B744CA" w:rsidRPr="00B744CA" w:rsidTr="00B744CA">
        <w:trPr>
          <w:trHeight w:val="284"/>
        </w:trPr>
        <w:tc>
          <w:tcPr>
            <w:tcW w:w="3544" w:type="dxa"/>
            <w:tcBorders>
              <w:top w:val="single" w:sz="8" w:space="0" w:color="1F497D" w:themeColor="text2"/>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Belastingen</w:t>
            </w:r>
          </w:p>
        </w:tc>
        <w:tc>
          <w:tcPr>
            <w:tcW w:w="687" w:type="dxa"/>
            <w:tcBorders>
              <w:top w:val="single" w:sz="8" w:space="0" w:color="1F497D" w:themeColor="text2"/>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-159</w:t>
            </w:r>
          </w:p>
        </w:tc>
        <w:tc>
          <w:tcPr>
            <w:tcW w:w="723"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-210</w:t>
            </w:r>
          </w:p>
        </w:tc>
        <w:tc>
          <w:tcPr>
            <w:tcW w:w="614"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-207</w:t>
            </w:r>
          </w:p>
        </w:tc>
        <w:tc>
          <w:tcPr>
            <w:tcW w:w="662" w:type="dxa"/>
            <w:tcBorders>
              <w:top w:val="single" w:sz="8" w:space="0" w:color="1F497D" w:themeColor="text2"/>
            </w:tcBorders>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-103</w:t>
            </w:r>
          </w:p>
        </w:tc>
        <w:tc>
          <w:tcPr>
            <w:tcW w:w="662"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-138</w:t>
            </w:r>
          </w:p>
        </w:tc>
        <w:tc>
          <w:tcPr>
            <w:tcW w:w="649" w:type="dxa"/>
            <w:tcBorders>
              <w:top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-140</w:t>
            </w:r>
          </w:p>
        </w:tc>
        <w:tc>
          <w:tcPr>
            <w:tcW w:w="680" w:type="dxa"/>
            <w:tcBorders>
              <w:top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-186</w:t>
            </w:r>
          </w:p>
        </w:tc>
        <w:tc>
          <w:tcPr>
            <w:tcW w:w="654" w:type="dxa"/>
            <w:tcBorders>
              <w:top w:val="single" w:sz="8" w:space="0" w:color="1F497D" w:themeColor="text2"/>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top w:val="single" w:sz="8" w:space="0" w:color="1F497D" w:themeColor="text2"/>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-575</w:t>
            </w:r>
          </w:p>
        </w:tc>
        <w:tc>
          <w:tcPr>
            <w:tcW w:w="709" w:type="dxa"/>
            <w:tcBorders>
              <w:top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-464</w:t>
            </w:r>
          </w:p>
        </w:tc>
      </w:tr>
      <w:tr w:rsidR="00B744CA" w:rsidRPr="00B744CA" w:rsidTr="00B744CA">
        <w:trPr>
          <w:trHeight w:val="284"/>
        </w:trPr>
        <w:tc>
          <w:tcPr>
            <w:tcW w:w="3544" w:type="dxa"/>
            <w:tcBorders>
              <w:bottom w:val="single" w:sz="8" w:space="0" w:color="1F497D" w:themeColor="text2"/>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Nettoresultaat na belastingen uit beëindigde bedrijfsactiviteiten</w:t>
            </w:r>
          </w:p>
        </w:tc>
        <w:tc>
          <w:tcPr>
            <w:tcW w:w="687" w:type="dxa"/>
            <w:tcBorders>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0</w:t>
            </w:r>
          </w:p>
        </w:tc>
        <w:tc>
          <w:tcPr>
            <w:tcW w:w="723"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0</w:t>
            </w:r>
          </w:p>
        </w:tc>
        <w:tc>
          <w:tcPr>
            <w:tcW w:w="614"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0</w:t>
            </w:r>
          </w:p>
        </w:tc>
        <w:tc>
          <w:tcPr>
            <w:tcW w:w="662" w:type="dxa"/>
            <w:tcBorders>
              <w:bottom w:val="single" w:sz="8" w:space="0" w:color="1F497D" w:themeColor="text2"/>
            </w:tcBorders>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0</w:t>
            </w:r>
          </w:p>
        </w:tc>
        <w:tc>
          <w:tcPr>
            <w:tcW w:w="662"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c>
          <w:tcPr>
            <w:tcW w:w="649" w:type="dxa"/>
            <w:tcBorders>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c>
          <w:tcPr>
            <w:tcW w:w="680" w:type="dxa"/>
            <w:tcBorders>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c>
          <w:tcPr>
            <w:tcW w:w="654" w:type="dxa"/>
            <w:tcBorders>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c>
          <w:tcPr>
            <w:tcW w:w="709" w:type="dxa"/>
            <w:tcBorders>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r>
      <w:tr w:rsidR="00B744CA" w:rsidRPr="00B744CA" w:rsidTr="00B744CA">
        <w:trPr>
          <w:trHeight w:val="284"/>
        </w:trPr>
        <w:tc>
          <w:tcPr>
            <w:tcW w:w="3544" w:type="dxa"/>
            <w:tcBorders>
              <w:top w:val="single" w:sz="8" w:space="0" w:color="1F497D" w:themeColor="text2"/>
              <w:bottom w:val="single" w:sz="8" w:space="0" w:color="1F497D" w:themeColor="text2"/>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Resultaat na belastingen</w:t>
            </w:r>
          </w:p>
        </w:tc>
        <w:tc>
          <w:tcPr>
            <w:tcW w:w="687" w:type="dxa"/>
            <w:tcBorders>
              <w:top w:val="single" w:sz="8" w:space="0" w:color="1F497D" w:themeColor="text2"/>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524</w:t>
            </w:r>
          </w:p>
        </w:tc>
        <w:tc>
          <w:tcPr>
            <w:tcW w:w="723" w:type="dxa"/>
            <w:tcBorders>
              <w:top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520</w:t>
            </w:r>
          </w:p>
        </w:tc>
        <w:tc>
          <w:tcPr>
            <w:tcW w:w="614" w:type="dxa"/>
            <w:tcBorders>
              <w:top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276</w:t>
            </w:r>
          </w:p>
        </w:tc>
        <w:tc>
          <w:tcPr>
            <w:tcW w:w="662" w:type="dxa"/>
            <w:tcBorders>
              <w:top w:val="single" w:sz="8" w:space="0" w:color="1F497D" w:themeColor="text2"/>
              <w:bottom w:val="single" w:sz="8" w:space="0" w:color="1F497D" w:themeColor="text2"/>
            </w:tcBorders>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-290</w:t>
            </w:r>
          </w:p>
        </w:tc>
        <w:tc>
          <w:tcPr>
            <w:tcW w:w="662"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397</w:t>
            </w:r>
          </w:p>
        </w:tc>
        <w:tc>
          <w:tcPr>
            <w:tcW w:w="649"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317</w:t>
            </w:r>
          </w:p>
        </w:tc>
        <w:tc>
          <w:tcPr>
            <w:tcW w:w="680" w:type="dxa"/>
            <w:tcBorders>
              <w:top w:val="single" w:sz="8" w:space="0" w:color="1F497D" w:themeColor="text2"/>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591</w:t>
            </w:r>
          </w:p>
        </w:tc>
        <w:tc>
          <w:tcPr>
            <w:tcW w:w="654" w:type="dxa"/>
            <w:tcBorders>
              <w:top w:val="single" w:sz="8" w:space="0" w:color="1F497D" w:themeColor="text2"/>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1 319</w:t>
            </w:r>
          </w:p>
        </w:tc>
        <w:tc>
          <w:tcPr>
            <w:tcW w:w="709" w:type="dxa"/>
            <w:tcBorders>
              <w:top w:val="single" w:sz="8" w:space="0" w:color="1F497D" w:themeColor="text2"/>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1 305</w:t>
            </w:r>
          </w:p>
        </w:tc>
      </w:tr>
      <w:tr w:rsidR="00B744CA" w:rsidRPr="00B744CA" w:rsidTr="00B744CA">
        <w:trPr>
          <w:trHeight w:val="284"/>
        </w:trPr>
        <w:tc>
          <w:tcPr>
            <w:tcW w:w="3544" w:type="dxa"/>
            <w:tcBorders>
              <w:top w:val="single" w:sz="8" w:space="0" w:color="1F497D" w:themeColor="text2"/>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 xml:space="preserve">      toerekenbaar aan belangen van derden</w:t>
            </w:r>
          </w:p>
        </w:tc>
        <w:tc>
          <w:tcPr>
            <w:tcW w:w="687" w:type="dxa"/>
            <w:tcBorders>
              <w:top w:val="single" w:sz="8" w:space="0" w:color="1F497D" w:themeColor="text2"/>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4</w:t>
            </w:r>
          </w:p>
        </w:tc>
        <w:tc>
          <w:tcPr>
            <w:tcW w:w="723"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w:t>
            </w:r>
          </w:p>
        </w:tc>
        <w:tc>
          <w:tcPr>
            <w:tcW w:w="614"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4</w:t>
            </w:r>
          </w:p>
        </w:tc>
        <w:tc>
          <w:tcPr>
            <w:tcW w:w="662" w:type="dxa"/>
            <w:tcBorders>
              <w:top w:val="single" w:sz="8" w:space="0" w:color="1F497D" w:themeColor="text2"/>
            </w:tcBorders>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4</w:t>
            </w:r>
          </w:p>
        </w:tc>
        <w:tc>
          <w:tcPr>
            <w:tcW w:w="662"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c>
          <w:tcPr>
            <w:tcW w:w="649" w:type="dxa"/>
            <w:tcBorders>
              <w:top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c>
          <w:tcPr>
            <w:tcW w:w="680" w:type="dxa"/>
            <w:tcBorders>
              <w:top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c>
          <w:tcPr>
            <w:tcW w:w="654" w:type="dxa"/>
            <w:tcBorders>
              <w:top w:val="single" w:sz="8" w:space="0" w:color="1F497D" w:themeColor="text2"/>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top w:val="single" w:sz="8" w:space="0" w:color="1F497D" w:themeColor="text2"/>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10</w:t>
            </w:r>
          </w:p>
        </w:tc>
        <w:tc>
          <w:tcPr>
            <w:tcW w:w="709" w:type="dxa"/>
            <w:tcBorders>
              <w:top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r>
      <w:tr w:rsidR="00B744CA" w:rsidRPr="00B744CA" w:rsidTr="00B744CA">
        <w:trPr>
          <w:trHeight w:val="284"/>
        </w:trPr>
        <w:tc>
          <w:tcPr>
            <w:tcW w:w="3544" w:type="dxa"/>
            <w:tcBorders>
              <w:bottom w:val="single" w:sz="8" w:space="0" w:color="1F497D" w:themeColor="text2"/>
              <w:right w:val="single" w:sz="8" w:space="0" w:color="1F497D" w:themeColor="text2"/>
            </w:tcBorders>
            <w:vAlign w:val="center"/>
          </w:tcPr>
          <w:p w:rsidR="00B744CA" w:rsidRPr="00B744CA" w:rsidRDefault="00B744CA" w:rsidP="00B744CA">
            <w:pPr>
              <w:spacing w:before="120" w:after="0" w:line="240" w:lineRule="auto"/>
              <w:ind w:left="176" w:hanging="176"/>
              <w:rPr>
                <w:rFonts w:ascii="Arial" w:eastAsia="Times New Roman" w:hAnsi="Arial"/>
                <w:b/>
                <w:snapToGrid w:val="0"/>
                <w:sz w:val="20"/>
                <w:szCs w:val="24"/>
                <w:lang w:val="nl-BE"/>
              </w:rPr>
            </w:pPr>
            <w:r w:rsidRPr="00B744CA">
              <w:rPr>
                <w:rFonts w:ascii="Arial" w:eastAsia="Times New Roman" w:hAnsi="Arial"/>
                <w:b/>
                <w:snapToGrid w:val="0"/>
                <w:sz w:val="14"/>
                <w:szCs w:val="24"/>
                <w:lang w:val="nl-BE"/>
              </w:rPr>
              <w:t xml:space="preserve">     toerekenbaar aan de aandeelhouders van de moedermaatschappij</w:t>
            </w:r>
          </w:p>
        </w:tc>
        <w:tc>
          <w:tcPr>
            <w:tcW w:w="687" w:type="dxa"/>
            <w:tcBorders>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
                <w:bCs/>
                <w:sz w:val="14"/>
                <w:szCs w:val="14"/>
                <w:lang w:val="en-GB"/>
              </w:rPr>
            </w:pPr>
            <w:r w:rsidRPr="00B744CA">
              <w:rPr>
                <w:rFonts w:ascii="Arial" w:eastAsia="Times New Roman" w:hAnsi="Arial" w:cs="Arial"/>
                <w:b/>
                <w:bCs/>
                <w:sz w:val="14"/>
                <w:szCs w:val="14"/>
                <w:lang w:val="en-GB"/>
              </w:rPr>
              <w:t>520</w:t>
            </w:r>
          </w:p>
        </w:tc>
        <w:tc>
          <w:tcPr>
            <w:tcW w:w="723"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
                <w:bCs/>
                <w:sz w:val="14"/>
                <w:szCs w:val="14"/>
                <w:lang w:val="en-GB"/>
              </w:rPr>
            </w:pPr>
            <w:r w:rsidRPr="00B744CA">
              <w:rPr>
                <w:rFonts w:ascii="Arial" w:eastAsia="Times New Roman" w:hAnsi="Arial" w:cs="Arial"/>
                <w:b/>
                <w:bCs/>
                <w:sz w:val="14"/>
                <w:szCs w:val="14"/>
                <w:lang w:val="en-GB"/>
              </w:rPr>
              <w:t>517</w:t>
            </w:r>
          </w:p>
        </w:tc>
        <w:tc>
          <w:tcPr>
            <w:tcW w:w="614"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
                <w:bCs/>
                <w:sz w:val="14"/>
                <w:szCs w:val="14"/>
                <w:lang w:val="en-GB"/>
              </w:rPr>
            </w:pPr>
            <w:r w:rsidRPr="00B744CA">
              <w:rPr>
                <w:rFonts w:ascii="Arial" w:eastAsia="Times New Roman" w:hAnsi="Arial" w:cs="Arial"/>
                <w:b/>
                <w:bCs/>
                <w:sz w:val="14"/>
                <w:szCs w:val="14"/>
                <w:lang w:val="en-GB"/>
              </w:rPr>
              <w:t>272</w:t>
            </w:r>
          </w:p>
        </w:tc>
        <w:tc>
          <w:tcPr>
            <w:tcW w:w="662" w:type="dxa"/>
            <w:tcBorders>
              <w:bottom w:val="single" w:sz="8" w:space="0" w:color="1F497D" w:themeColor="text2"/>
            </w:tcBorders>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b/>
                <w:bCs/>
                <w:sz w:val="14"/>
                <w:szCs w:val="14"/>
                <w:lang w:val="en-GB"/>
              </w:rPr>
            </w:pPr>
            <w:r w:rsidRPr="00B744CA">
              <w:rPr>
                <w:rFonts w:ascii="Arial" w:eastAsia="Times New Roman" w:hAnsi="Arial" w:cs="Arial"/>
                <w:b/>
                <w:bCs/>
                <w:sz w:val="14"/>
                <w:szCs w:val="14"/>
                <w:lang w:val="en-GB"/>
              </w:rPr>
              <w:t>-294</w:t>
            </w:r>
          </w:p>
        </w:tc>
        <w:tc>
          <w:tcPr>
            <w:tcW w:w="662"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397</w:t>
            </w:r>
          </w:p>
        </w:tc>
        <w:tc>
          <w:tcPr>
            <w:tcW w:w="649" w:type="dxa"/>
            <w:tcBorders>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317</w:t>
            </w:r>
          </w:p>
        </w:tc>
        <w:tc>
          <w:tcPr>
            <w:tcW w:w="680" w:type="dxa"/>
            <w:tcBorders>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591</w:t>
            </w:r>
          </w:p>
        </w:tc>
        <w:tc>
          <w:tcPr>
            <w:tcW w:w="654" w:type="dxa"/>
            <w:tcBorders>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w:t>
            </w:r>
          </w:p>
        </w:tc>
        <w:tc>
          <w:tcPr>
            <w:tcW w:w="623" w:type="dxa"/>
            <w:tcBorders>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1 309</w:t>
            </w:r>
          </w:p>
        </w:tc>
        <w:tc>
          <w:tcPr>
            <w:tcW w:w="709" w:type="dxa"/>
            <w:tcBorders>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1 305</w:t>
            </w:r>
          </w:p>
        </w:tc>
      </w:tr>
      <w:tr w:rsidR="00B744CA" w:rsidRPr="00B744CA" w:rsidTr="00B744CA">
        <w:trPr>
          <w:trHeight w:val="57"/>
        </w:trPr>
        <w:tc>
          <w:tcPr>
            <w:tcW w:w="3544" w:type="dxa"/>
            <w:tcBorders>
              <w:top w:val="single" w:sz="8" w:space="0" w:color="1F497D" w:themeColor="text2"/>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Gewone winst per aandeel (in euro)</w:t>
            </w:r>
          </w:p>
        </w:tc>
        <w:tc>
          <w:tcPr>
            <w:tcW w:w="687" w:type="dxa"/>
            <w:tcBorders>
              <w:top w:val="single" w:sz="8" w:space="0" w:color="1F497D" w:themeColor="text2"/>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1,25</w:t>
            </w:r>
          </w:p>
        </w:tc>
        <w:tc>
          <w:tcPr>
            <w:tcW w:w="723"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1,24</w:t>
            </w:r>
          </w:p>
        </w:tc>
        <w:tc>
          <w:tcPr>
            <w:tcW w:w="614"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-0,75</w:t>
            </w:r>
          </w:p>
        </w:tc>
        <w:tc>
          <w:tcPr>
            <w:tcW w:w="662" w:type="dxa"/>
            <w:tcBorders>
              <w:top w:val="single" w:sz="8" w:space="0" w:color="1F497D" w:themeColor="text2"/>
            </w:tcBorders>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-0,71</w:t>
            </w:r>
          </w:p>
        </w:tc>
        <w:tc>
          <w:tcPr>
            <w:tcW w:w="662"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0,45</w:t>
            </w:r>
          </w:p>
        </w:tc>
        <w:tc>
          <w:tcPr>
            <w:tcW w:w="649" w:type="dxa"/>
            <w:tcBorders>
              <w:top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0,63</w:t>
            </w:r>
          </w:p>
        </w:tc>
        <w:tc>
          <w:tcPr>
            <w:tcW w:w="680" w:type="dxa"/>
            <w:tcBorders>
              <w:top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1,28</w:t>
            </w:r>
          </w:p>
        </w:tc>
        <w:tc>
          <w:tcPr>
            <w:tcW w:w="654" w:type="dxa"/>
            <w:tcBorders>
              <w:top w:val="single" w:sz="8" w:space="0" w:color="1F497D" w:themeColor="text2"/>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top w:val="single" w:sz="8" w:space="0" w:color="1F497D" w:themeColor="text2"/>
              <w:lef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1,74</w:t>
            </w:r>
          </w:p>
        </w:tc>
        <w:tc>
          <w:tcPr>
            <w:tcW w:w="709" w:type="dxa"/>
            <w:tcBorders>
              <w:top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2,35</w:t>
            </w:r>
          </w:p>
        </w:tc>
      </w:tr>
      <w:tr w:rsidR="00B744CA" w:rsidRPr="00B744CA" w:rsidTr="00B744CA">
        <w:trPr>
          <w:trHeight w:val="57"/>
        </w:trPr>
        <w:tc>
          <w:tcPr>
            <w:tcW w:w="3544" w:type="dxa"/>
            <w:tcBorders>
              <w:bottom w:val="single" w:sz="8" w:space="0" w:color="1F497D" w:themeColor="text2"/>
              <w:right w:val="single" w:sz="8" w:space="0" w:color="1F497D" w:themeColor="text2"/>
            </w:tcBorders>
            <w:vAlign w:val="center"/>
          </w:tcPr>
          <w:p w:rsidR="00B744CA" w:rsidRPr="00B744CA" w:rsidRDefault="00B744CA" w:rsidP="00B744CA">
            <w:pPr>
              <w:spacing w:before="12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Verwaterde winst per aandeel (in euro)</w:t>
            </w:r>
          </w:p>
        </w:tc>
        <w:tc>
          <w:tcPr>
            <w:tcW w:w="687" w:type="dxa"/>
            <w:tcBorders>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1,25</w:t>
            </w:r>
          </w:p>
        </w:tc>
        <w:tc>
          <w:tcPr>
            <w:tcW w:w="723"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1,24</w:t>
            </w:r>
          </w:p>
        </w:tc>
        <w:tc>
          <w:tcPr>
            <w:tcW w:w="614"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-0,75</w:t>
            </w:r>
          </w:p>
        </w:tc>
        <w:tc>
          <w:tcPr>
            <w:tcW w:w="662" w:type="dxa"/>
            <w:tcBorders>
              <w:bottom w:val="single" w:sz="8" w:space="0" w:color="1F497D" w:themeColor="text2"/>
            </w:tcBorders>
            <w:shd w:val="clear" w:color="auto" w:fill="FFFFFF" w:themeFill="background1"/>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-0,71</w:t>
            </w:r>
          </w:p>
        </w:tc>
        <w:tc>
          <w:tcPr>
            <w:tcW w:w="662"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0,45</w:t>
            </w:r>
          </w:p>
        </w:tc>
        <w:tc>
          <w:tcPr>
            <w:tcW w:w="649" w:type="dxa"/>
            <w:tcBorders>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0,63</w:t>
            </w:r>
          </w:p>
        </w:tc>
        <w:tc>
          <w:tcPr>
            <w:tcW w:w="680" w:type="dxa"/>
            <w:tcBorders>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1,28</w:t>
            </w:r>
          </w:p>
        </w:tc>
        <w:tc>
          <w:tcPr>
            <w:tcW w:w="654" w:type="dxa"/>
            <w:tcBorders>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3" w:type="dxa"/>
            <w:tcBorders>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1,74</w:t>
            </w:r>
          </w:p>
        </w:tc>
        <w:tc>
          <w:tcPr>
            <w:tcW w:w="709" w:type="dxa"/>
            <w:tcBorders>
              <w:bottom w:val="single" w:sz="8" w:space="0" w:color="1F497D" w:themeColor="text2"/>
            </w:tcBorders>
            <w:shd w:val="clear" w:color="auto" w:fill="DBE5F1" w:themeFill="accent1" w:themeFillTint="33"/>
            <w:vAlign w:val="center"/>
          </w:tcPr>
          <w:p w:rsidR="00B744CA" w:rsidRPr="00B744CA" w:rsidRDefault="00B744CA" w:rsidP="00B744CA">
            <w:pPr>
              <w:spacing w:before="100" w:beforeAutospacing="1"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2,35</w:t>
            </w:r>
          </w:p>
        </w:tc>
      </w:tr>
    </w:tbl>
    <w:p w:rsidR="00B744CA" w:rsidRPr="00B744CA" w:rsidRDefault="00B744CA" w:rsidP="00840394">
      <w:pPr>
        <w:autoSpaceDE w:val="0"/>
        <w:autoSpaceDN w:val="0"/>
        <w:adjustRightInd w:val="0"/>
        <w:spacing w:after="0" w:line="240" w:lineRule="auto"/>
        <w:ind w:left="993" w:right="4"/>
        <w:rPr>
          <w:rFonts w:cs="Arial"/>
          <w:color w:val="003768"/>
          <w:sz w:val="16"/>
          <w:szCs w:val="16"/>
          <w:lang w:val="nl-BE"/>
        </w:rPr>
      </w:pPr>
      <w:r w:rsidRPr="00B744CA">
        <w:rPr>
          <w:rFonts w:cs="Arial"/>
          <w:color w:val="003768"/>
          <w:sz w:val="16"/>
          <w:szCs w:val="16"/>
          <w:lang w:val="nl-BE"/>
        </w:rPr>
        <w:t>De referentiecijfers voor 2013 zijn licht aangepast ingevolge de toepassing van de nieuwe IFRS 11-norm. Die norm bepaalt dat gemeenschappelijke ondernemingen worden geconsolideerd volgens de vermogensmutatiemethode en niet meer volgens de proportionele methode. Voor KBC geldt dat voor ČMSS, een gemeenschappelijke onderneming van ČSOB in Tsjechië. Die wijziging heeft geen gevolgen voor het nettoresultaat, maar beïnvloedt wel verschillende posten van de geconsolideerde winst-en-verliesrekening.</w:t>
      </w:r>
    </w:p>
    <w:p w:rsidR="00B744CA" w:rsidRPr="00B744CA" w:rsidRDefault="00B744CA" w:rsidP="00840394">
      <w:pPr>
        <w:autoSpaceDE w:val="0"/>
        <w:autoSpaceDN w:val="0"/>
        <w:adjustRightInd w:val="0"/>
        <w:spacing w:after="0" w:line="240" w:lineRule="auto"/>
        <w:ind w:left="993" w:right="4"/>
        <w:rPr>
          <w:rFonts w:cs="Arial"/>
          <w:color w:val="003768"/>
          <w:lang w:val="nl-BE"/>
        </w:rPr>
      </w:pPr>
    </w:p>
    <w:p w:rsidR="00B744CA" w:rsidRDefault="00B744CA">
      <w:pPr>
        <w:spacing w:after="0" w:line="240" w:lineRule="auto"/>
        <w:rPr>
          <w:rFonts w:cs="Arial"/>
          <w:color w:val="003768"/>
          <w:lang w:val="nl-BE"/>
        </w:rPr>
      </w:pPr>
      <w:r>
        <w:rPr>
          <w:rFonts w:cs="Arial"/>
          <w:color w:val="003768"/>
          <w:lang w:val="nl-BE"/>
        </w:rPr>
        <w:br w:type="page"/>
      </w:r>
    </w:p>
    <w:p w:rsidR="00B744CA" w:rsidRPr="00B744CA" w:rsidRDefault="00B744CA" w:rsidP="00840394">
      <w:pPr>
        <w:autoSpaceDE w:val="0"/>
        <w:autoSpaceDN w:val="0"/>
        <w:adjustRightInd w:val="0"/>
        <w:spacing w:after="0" w:line="240" w:lineRule="auto"/>
        <w:ind w:left="993" w:right="4"/>
        <w:rPr>
          <w:rFonts w:cs="Arial"/>
          <w:color w:val="003768"/>
          <w:lang w:val="nl-BE"/>
        </w:rPr>
      </w:pPr>
      <w:r>
        <w:rPr>
          <w:rFonts w:cs="Arial"/>
          <w:bCs/>
          <w:noProof/>
          <w:color w:val="003768"/>
          <w:lang w:val="nl-BE" w:eastAsia="nl-BE"/>
        </w:rPr>
        <w:lastRenderedPageBreak/>
        <w:drawing>
          <wp:inline distT="0" distB="0" distL="0" distR="0" wp14:anchorId="6A2584B9" wp14:editId="3C61A9BD">
            <wp:extent cx="6451200" cy="500400"/>
            <wp:effectExtent l="0" t="0" r="6985"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1200" cy="500400"/>
                    </a:xfrm>
                    <a:prstGeom prst="rect">
                      <a:avLst/>
                    </a:prstGeom>
                    <a:noFill/>
                  </pic:spPr>
                </pic:pic>
              </a:graphicData>
            </a:graphic>
          </wp:inline>
        </w:drawing>
      </w:r>
    </w:p>
    <w:p w:rsidR="00B744CA" w:rsidRDefault="00B744CA" w:rsidP="00B744CA">
      <w:pPr>
        <w:autoSpaceDE w:val="0"/>
        <w:autoSpaceDN w:val="0"/>
        <w:adjustRightInd w:val="0"/>
        <w:spacing w:after="0" w:line="240" w:lineRule="auto"/>
        <w:ind w:left="993" w:right="4"/>
        <w:jc w:val="both"/>
        <w:rPr>
          <w:rFonts w:cs="Arial"/>
          <w:color w:val="003768"/>
          <w:lang w:val="nl-BE"/>
        </w:rPr>
      </w:pPr>
      <w:r w:rsidRPr="00B744CA">
        <w:rPr>
          <w:rFonts w:cs="Arial"/>
          <w:color w:val="003768"/>
          <w:lang w:val="nl-BE"/>
        </w:rPr>
        <w:t xml:space="preserve">Naast de cijfers volgens IFRS (vorige deel) geeft KBC ook cijfers die meer inzicht verschaffen in de bedrijfsresultaten. Daarom is in het onderstaande overzicht de invloed van de </w:t>
      </w:r>
      <w:proofErr w:type="spellStart"/>
      <w:r w:rsidRPr="00B744CA">
        <w:rPr>
          <w:rFonts w:cs="Arial"/>
          <w:color w:val="003768"/>
          <w:lang w:val="nl-BE"/>
        </w:rPr>
        <w:t>legacy</w:t>
      </w:r>
      <w:proofErr w:type="spellEnd"/>
      <w:r w:rsidRPr="00B744CA">
        <w:rPr>
          <w:rFonts w:cs="Arial"/>
          <w:color w:val="003768"/>
          <w:lang w:val="nl-BE"/>
        </w:rPr>
        <w:t xml:space="preserve">-activiteiten (overblijvende desinvesteringen, </w:t>
      </w:r>
      <w:proofErr w:type="spellStart"/>
      <w:r w:rsidRPr="00B744CA">
        <w:rPr>
          <w:rFonts w:cs="Arial"/>
          <w:color w:val="003768"/>
          <w:lang w:val="nl-BE"/>
        </w:rPr>
        <w:t>CDO’s</w:t>
      </w:r>
      <w:proofErr w:type="spellEnd"/>
      <w:r w:rsidRPr="00B744CA">
        <w:rPr>
          <w:rFonts w:cs="Arial"/>
          <w:color w:val="003768"/>
          <w:lang w:val="nl-BE"/>
        </w:rPr>
        <w:t xml:space="preserve">) en van de waardering van het eigen kredietrisico niet opgenomen in de winst-en-verliesrekening maar samengevat in drie lijnen onderaan het overzicht (in de gesegmenteerde informatie zijn die elementen allemaal opgenomen onder Groepscenter). Bovendien is voor de divisie België een andere boekhoudkundige verwerking van kapitaalmarktinkomsten toegepast (alle </w:t>
      </w:r>
      <w:proofErr w:type="spellStart"/>
      <w:r w:rsidRPr="00B744CA">
        <w:rPr>
          <w:rFonts w:cs="Arial"/>
          <w:color w:val="003768"/>
          <w:lang w:val="nl-BE"/>
        </w:rPr>
        <w:t>tradingresultaten</w:t>
      </w:r>
      <w:proofErr w:type="spellEnd"/>
      <w:r w:rsidRPr="00B744CA">
        <w:rPr>
          <w:rFonts w:cs="Arial"/>
          <w:color w:val="003768"/>
          <w:lang w:val="nl-BE"/>
        </w:rPr>
        <w:t xml:space="preserve"> zijn verplaatst naar de post Nettoresultaat uit financiële instrumenten tegen reële waarde). In het deel Geconsolideerde financiële staten van het kwartaalverslag, onder Toelichtingen bij de segmentinformatie, vindt u een volledige verklaring van de verschillen tussen de resultaten volgens IFRS en de aangepaste cijfers.</w:t>
      </w:r>
    </w:p>
    <w:tbl>
      <w:tblPr>
        <w:tblW w:w="10490" w:type="dxa"/>
        <w:tblInd w:w="1103" w:type="dxa"/>
        <w:tblLook w:val="01E0" w:firstRow="1" w:lastRow="1" w:firstColumn="1" w:lastColumn="1" w:noHBand="0" w:noVBand="0"/>
      </w:tblPr>
      <w:tblGrid>
        <w:gridCol w:w="3828"/>
        <w:gridCol w:w="653"/>
        <w:gridCol w:w="763"/>
        <w:gridCol w:w="621"/>
        <w:gridCol w:w="638"/>
        <w:gridCol w:w="723"/>
        <w:gridCol w:w="696"/>
        <w:gridCol w:w="621"/>
        <w:gridCol w:w="15"/>
        <w:gridCol w:w="564"/>
        <w:gridCol w:w="31"/>
        <w:gridCol w:w="629"/>
        <w:gridCol w:w="708"/>
      </w:tblGrid>
      <w:tr w:rsidR="00B744CA" w:rsidRPr="00B744CA" w:rsidTr="00B744CA">
        <w:tc>
          <w:tcPr>
            <w:tcW w:w="3828" w:type="dxa"/>
            <w:tcBorders>
              <w:bottom w:val="single" w:sz="24" w:space="0" w:color="FFFFFF" w:themeColor="background1"/>
              <w:right w:val="single" w:sz="8" w:space="0" w:color="FFFFFF" w:themeColor="background1"/>
            </w:tcBorders>
            <w:shd w:val="clear" w:color="auto" w:fill="365F91" w:themeFill="accent1" w:themeFillShade="BF"/>
            <w:vAlign w:val="center"/>
          </w:tcPr>
          <w:p w:rsidR="00B744CA" w:rsidRPr="00B744CA" w:rsidRDefault="00B744CA" w:rsidP="00B744CA">
            <w:pPr>
              <w:spacing w:after="0" w:line="240" w:lineRule="auto"/>
              <w:rPr>
                <w:rFonts w:ascii="Arial" w:eastAsia="Times New Roman" w:hAnsi="Arial"/>
                <w:b/>
                <w:snapToGrid w:val="0"/>
                <w:color w:val="FFFFFF" w:themeColor="background1"/>
                <w:sz w:val="20"/>
                <w:szCs w:val="24"/>
                <w:lang w:val="nl-BE"/>
              </w:rPr>
            </w:pPr>
            <w:r w:rsidRPr="00B744CA">
              <w:rPr>
                <w:rFonts w:ascii="Arial" w:eastAsia="Times New Roman" w:hAnsi="Arial"/>
                <w:snapToGrid w:val="0"/>
                <w:color w:val="FFFFFF" w:themeColor="background1"/>
                <w:sz w:val="14"/>
                <w:szCs w:val="24"/>
                <w:lang w:val="nl-BE"/>
              </w:rPr>
              <w:t>Geconsolideerde winst-en-verliesrekening van de KBC-groep, (in miljoenen euro)</w:t>
            </w:r>
          </w:p>
        </w:tc>
        <w:tc>
          <w:tcPr>
            <w:tcW w:w="653" w:type="dxa"/>
            <w:tcBorders>
              <w:left w:val="single" w:sz="8" w:space="0" w:color="FFFFFF" w:themeColor="background1"/>
              <w:bottom w:val="single" w:sz="24"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1KW 2013</w:t>
            </w:r>
          </w:p>
        </w:tc>
        <w:tc>
          <w:tcPr>
            <w:tcW w:w="763" w:type="dxa"/>
            <w:tcBorders>
              <w:bottom w:val="single" w:sz="24"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 xml:space="preserve">2KW </w:t>
            </w:r>
            <w:r w:rsidRPr="00B744CA">
              <w:rPr>
                <w:rFonts w:ascii="Arial" w:eastAsia="Times New Roman" w:hAnsi="Arial"/>
                <w:bCs/>
                <w:snapToGrid w:val="0"/>
                <w:color w:val="FFFFFF" w:themeColor="background1"/>
                <w:sz w:val="14"/>
                <w:szCs w:val="14"/>
                <w:lang w:val="en-GB"/>
              </w:rPr>
              <w:br/>
              <w:t>2013</w:t>
            </w:r>
          </w:p>
        </w:tc>
        <w:tc>
          <w:tcPr>
            <w:tcW w:w="621" w:type="dxa"/>
            <w:tcBorders>
              <w:bottom w:val="single" w:sz="24"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3KW 2013</w:t>
            </w:r>
          </w:p>
        </w:tc>
        <w:tc>
          <w:tcPr>
            <w:tcW w:w="638" w:type="dxa"/>
            <w:tcBorders>
              <w:bottom w:val="single" w:sz="24"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4KW</w:t>
            </w:r>
          </w:p>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2013</w:t>
            </w:r>
          </w:p>
        </w:tc>
        <w:tc>
          <w:tcPr>
            <w:tcW w:w="723" w:type="dxa"/>
            <w:tcBorders>
              <w:bottom w:val="single" w:sz="24"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1KW 2014</w:t>
            </w:r>
          </w:p>
        </w:tc>
        <w:tc>
          <w:tcPr>
            <w:tcW w:w="696" w:type="dxa"/>
            <w:tcBorders>
              <w:bottom w:val="single" w:sz="24"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2KW 2014</w:t>
            </w:r>
          </w:p>
        </w:tc>
        <w:tc>
          <w:tcPr>
            <w:tcW w:w="621" w:type="dxa"/>
            <w:tcBorders>
              <w:bottom w:val="single" w:sz="24"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3KW 2014</w:t>
            </w:r>
          </w:p>
        </w:tc>
        <w:tc>
          <w:tcPr>
            <w:tcW w:w="610" w:type="dxa"/>
            <w:gridSpan w:val="3"/>
            <w:tcBorders>
              <w:bottom w:val="single" w:sz="24" w:space="0" w:color="FFFFFF" w:themeColor="background1"/>
              <w:right w:val="single" w:sz="8" w:space="0" w:color="1F497D" w:themeColor="text2"/>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4KW</w:t>
            </w:r>
          </w:p>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2014</w:t>
            </w:r>
          </w:p>
        </w:tc>
        <w:tc>
          <w:tcPr>
            <w:tcW w:w="629" w:type="dxa"/>
            <w:tcBorders>
              <w:left w:val="single" w:sz="8" w:space="0" w:color="1F497D" w:themeColor="text2"/>
              <w:bottom w:val="single" w:sz="24" w:space="0" w:color="FFFFFF" w:themeColor="background1"/>
            </w:tcBorders>
            <w:shd w:val="clear" w:color="auto" w:fill="365F91" w:themeFill="accent1" w:themeFillShade="BF"/>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9M</w:t>
            </w:r>
          </w:p>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2013</w:t>
            </w:r>
          </w:p>
        </w:tc>
        <w:tc>
          <w:tcPr>
            <w:tcW w:w="708" w:type="dxa"/>
            <w:tcBorders>
              <w:bottom w:val="single" w:sz="24" w:space="0" w:color="FFFFFF" w:themeColor="background1"/>
            </w:tcBorders>
            <w:shd w:val="clear" w:color="auto" w:fill="365F91" w:themeFill="accent1" w:themeFillShade="BF"/>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r w:rsidRPr="00B744CA">
              <w:rPr>
                <w:rFonts w:ascii="Arial" w:eastAsia="Times New Roman" w:hAnsi="Arial"/>
                <w:bCs/>
                <w:snapToGrid w:val="0"/>
                <w:color w:val="FFFFFF" w:themeColor="background1"/>
                <w:sz w:val="14"/>
                <w:szCs w:val="14"/>
                <w:lang w:val="en-GB"/>
              </w:rPr>
              <w:t>9M 2014</w:t>
            </w:r>
          </w:p>
        </w:tc>
      </w:tr>
      <w:tr w:rsidR="00B744CA" w:rsidRPr="00715235" w:rsidTr="00B744CA">
        <w:trPr>
          <w:trHeight w:val="284"/>
        </w:trPr>
        <w:tc>
          <w:tcPr>
            <w:tcW w:w="3828" w:type="dxa"/>
            <w:tcBorders>
              <w:top w:val="single" w:sz="24" w:space="0" w:color="FFFFFF" w:themeColor="background1"/>
              <w:right w:val="single" w:sz="8" w:space="0" w:color="FFFFFF" w:themeColor="background1"/>
            </w:tcBorders>
            <w:shd w:val="clear" w:color="auto" w:fill="365F91" w:themeFill="accent1" w:themeFillShade="BF"/>
            <w:vAlign w:val="center"/>
          </w:tcPr>
          <w:p w:rsidR="00B744CA" w:rsidRPr="00B744CA" w:rsidRDefault="00B744CA" w:rsidP="00B744CA">
            <w:pPr>
              <w:spacing w:after="0" w:line="240" w:lineRule="auto"/>
              <w:rPr>
                <w:rFonts w:ascii="Arial" w:eastAsia="Times New Roman" w:hAnsi="Arial"/>
                <w:b/>
                <w:snapToGrid w:val="0"/>
                <w:color w:val="FFFFFF" w:themeColor="background1"/>
                <w:sz w:val="20"/>
                <w:szCs w:val="24"/>
                <w:lang w:val="nl-BE"/>
              </w:rPr>
            </w:pPr>
            <w:r w:rsidRPr="00B744CA">
              <w:rPr>
                <w:rFonts w:ascii="Arial" w:eastAsia="Times New Roman" w:hAnsi="Arial"/>
                <w:snapToGrid w:val="0"/>
                <w:color w:val="FFFFFF" w:themeColor="background1"/>
                <w:sz w:val="14"/>
                <w:szCs w:val="24"/>
                <w:lang w:val="nl-BE"/>
              </w:rPr>
              <w:t xml:space="preserve">Aangepast nettoresultaat (d.w.z. exclusief </w:t>
            </w:r>
            <w:proofErr w:type="spellStart"/>
            <w:r w:rsidRPr="00B744CA">
              <w:rPr>
                <w:rFonts w:ascii="Arial" w:eastAsia="Times New Roman" w:hAnsi="Arial"/>
                <w:i/>
                <w:snapToGrid w:val="0"/>
                <w:color w:val="FFFFFF" w:themeColor="background1"/>
                <w:sz w:val="14"/>
                <w:szCs w:val="24"/>
                <w:lang w:val="nl-BE"/>
              </w:rPr>
              <w:t>legacy</w:t>
            </w:r>
            <w:proofErr w:type="spellEnd"/>
            <w:r w:rsidRPr="00B744CA">
              <w:rPr>
                <w:rFonts w:ascii="Arial" w:eastAsia="Times New Roman" w:hAnsi="Arial"/>
                <w:snapToGrid w:val="0"/>
                <w:color w:val="FFFFFF" w:themeColor="background1"/>
                <w:sz w:val="14"/>
                <w:szCs w:val="24"/>
                <w:lang w:val="nl-BE"/>
              </w:rPr>
              <w:t xml:space="preserve">-activiteiten en eigen kredietrisico) </w:t>
            </w:r>
          </w:p>
        </w:tc>
        <w:tc>
          <w:tcPr>
            <w:tcW w:w="653" w:type="dxa"/>
            <w:tcBorders>
              <w:top w:val="single" w:sz="24" w:space="0" w:color="FFFFFF" w:themeColor="background1"/>
              <w:left w:val="single" w:sz="8"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nl-BE"/>
              </w:rPr>
            </w:pPr>
          </w:p>
        </w:tc>
        <w:tc>
          <w:tcPr>
            <w:tcW w:w="763" w:type="dxa"/>
            <w:tcBorders>
              <w:top w:val="single" w:sz="24"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nl-BE"/>
              </w:rPr>
            </w:pPr>
          </w:p>
        </w:tc>
        <w:tc>
          <w:tcPr>
            <w:tcW w:w="621" w:type="dxa"/>
            <w:tcBorders>
              <w:top w:val="single" w:sz="24"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nl-BE"/>
              </w:rPr>
            </w:pPr>
          </w:p>
        </w:tc>
        <w:tc>
          <w:tcPr>
            <w:tcW w:w="638" w:type="dxa"/>
            <w:tcBorders>
              <w:top w:val="single" w:sz="24"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nl-BE"/>
              </w:rPr>
            </w:pPr>
          </w:p>
        </w:tc>
        <w:tc>
          <w:tcPr>
            <w:tcW w:w="723" w:type="dxa"/>
            <w:tcBorders>
              <w:top w:val="single" w:sz="24"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nl-BE"/>
              </w:rPr>
            </w:pPr>
          </w:p>
        </w:tc>
        <w:tc>
          <w:tcPr>
            <w:tcW w:w="696" w:type="dxa"/>
            <w:tcBorders>
              <w:top w:val="single" w:sz="24"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nl-BE"/>
              </w:rPr>
            </w:pPr>
          </w:p>
        </w:tc>
        <w:tc>
          <w:tcPr>
            <w:tcW w:w="621" w:type="dxa"/>
            <w:tcBorders>
              <w:top w:val="single" w:sz="24"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nl-BE"/>
              </w:rPr>
            </w:pPr>
          </w:p>
        </w:tc>
        <w:tc>
          <w:tcPr>
            <w:tcW w:w="610" w:type="dxa"/>
            <w:gridSpan w:val="3"/>
            <w:tcBorders>
              <w:top w:val="single" w:sz="24" w:space="0" w:color="FFFFFF" w:themeColor="background1"/>
              <w:right w:val="single" w:sz="8" w:space="0" w:color="1F497D" w:themeColor="text2"/>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nl-BE"/>
              </w:rPr>
            </w:pPr>
          </w:p>
        </w:tc>
        <w:tc>
          <w:tcPr>
            <w:tcW w:w="629" w:type="dxa"/>
            <w:tcBorders>
              <w:top w:val="single" w:sz="24" w:space="0" w:color="FFFFFF" w:themeColor="background1"/>
              <w:left w:val="single" w:sz="8" w:space="0" w:color="1F497D" w:themeColor="text2"/>
            </w:tcBorders>
            <w:shd w:val="clear" w:color="auto" w:fill="365F91" w:themeFill="accent1" w:themeFillShade="BF"/>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nl-BE"/>
              </w:rPr>
            </w:pPr>
          </w:p>
        </w:tc>
        <w:tc>
          <w:tcPr>
            <w:tcW w:w="708" w:type="dxa"/>
            <w:tcBorders>
              <w:top w:val="single" w:sz="24" w:space="0" w:color="FFFFFF" w:themeColor="background1"/>
            </w:tcBorders>
            <w:shd w:val="clear" w:color="auto" w:fill="365F91" w:themeFill="accent1" w:themeFillShade="BF"/>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nl-BE"/>
              </w:rPr>
            </w:pPr>
          </w:p>
        </w:tc>
      </w:tr>
      <w:tr w:rsidR="00B744CA" w:rsidRPr="00B744CA" w:rsidTr="00B744CA">
        <w:trPr>
          <w:trHeight w:val="284"/>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proofErr w:type="spellStart"/>
            <w:r w:rsidRPr="00B744CA">
              <w:rPr>
                <w:rFonts w:ascii="Arial" w:eastAsia="Times New Roman" w:hAnsi="Arial"/>
                <w:snapToGrid w:val="0"/>
                <w:sz w:val="14"/>
                <w:szCs w:val="24"/>
                <w:lang w:val="nl-BE"/>
              </w:rPr>
              <w:t>Nettorente</w:t>
            </w:r>
            <w:proofErr w:type="spellEnd"/>
            <w:r w:rsidRPr="00B744CA">
              <w:rPr>
                <w:rFonts w:ascii="Arial" w:eastAsia="Times New Roman" w:hAnsi="Arial"/>
                <w:snapToGrid w:val="0"/>
                <w:sz w:val="14"/>
                <w:szCs w:val="24"/>
                <w:lang w:val="nl-BE"/>
              </w:rPr>
              <w:t>-inkomsten</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1 018</w:t>
            </w:r>
          </w:p>
        </w:tc>
        <w:tc>
          <w:tcPr>
            <w:tcW w:w="76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976</w:t>
            </w:r>
          </w:p>
        </w:tc>
        <w:tc>
          <w:tcPr>
            <w:tcW w:w="621"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999</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996</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1 002</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1 047</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1 109</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2 993</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3 158</w:t>
            </w:r>
          </w:p>
        </w:tc>
      </w:tr>
      <w:tr w:rsidR="00B744CA" w:rsidRPr="00B744CA" w:rsidTr="00B744CA">
        <w:trPr>
          <w:trHeight w:val="227"/>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Times New Roman" w:eastAsia="Times New Roman" w:hAnsi="Times New Roman"/>
                <w:sz w:val="24"/>
                <w:szCs w:val="24"/>
                <w:lang w:val="nl-BE"/>
              </w:rPr>
            </w:pPr>
            <w:r w:rsidRPr="00B744CA">
              <w:rPr>
                <w:rFonts w:ascii="Arial" w:eastAsia="Times New Roman" w:hAnsi="Arial"/>
                <w:sz w:val="14"/>
                <w:szCs w:val="24"/>
                <w:lang w:val="nl-BE"/>
              </w:rPr>
              <w:t>Verzekeringen Niet-leven (vóór herverzekering)</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149</w:t>
            </w:r>
          </w:p>
        </w:tc>
        <w:tc>
          <w:tcPr>
            <w:tcW w:w="76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115</w:t>
            </w:r>
          </w:p>
        </w:tc>
        <w:tc>
          <w:tcPr>
            <w:tcW w:w="621"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145</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127</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149</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102</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139</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409</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389</w:t>
            </w:r>
          </w:p>
        </w:tc>
      </w:tr>
      <w:tr w:rsidR="00B744CA" w:rsidRPr="00B744CA" w:rsidTr="00B744CA">
        <w:trPr>
          <w:trHeight w:val="198"/>
        </w:trPr>
        <w:tc>
          <w:tcPr>
            <w:tcW w:w="3828" w:type="dxa"/>
            <w:tcBorders>
              <w:right w:val="single" w:sz="8" w:space="0" w:color="1F497D" w:themeColor="text2"/>
            </w:tcBorders>
            <w:vAlign w:val="center"/>
          </w:tcPr>
          <w:p w:rsidR="00B744CA" w:rsidRPr="00B744CA" w:rsidRDefault="00B744CA" w:rsidP="00B744CA">
            <w:pPr>
              <w:spacing w:after="0" w:line="240" w:lineRule="auto"/>
              <w:ind w:firstLineChars="400" w:firstLine="560"/>
              <w:rPr>
                <w:rFonts w:ascii="Times New Roman" w:eastAsia="Times New Roman" w:hAnsi="Times New Roman"/>
                <w:sz w:val="24"/>
                <w:szCs w:val="24"/>
                <w:lang w:val="nl-BE"/>
              </w:rPr>
            </w:pPr>
            <w:r w:rsidRPr="00B744CA">
              <w:rPr>
                <w:rFonts w:ascii="Arial" w:eastAsia="Times New Roman" w:hAnsi="Arial"/>
                <w:i/>
                <w:sz w:val="14"/>
                <w:szCs w:val="24"/>
                <w:lang w:val="nl-BE"/>
              </w:rPr>
              <w:t>Verdiende premies</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305</w:t>
            </w:r>
          </w:p>
        </w:tc>
        <w:tc>
          <w:tcPr>
            <w:tcW w:w="763"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316</w:t>
            </w:r>
          </w:p>
        </w:tc>
        <w:tc>
          <w:tcPr>
            <w:tcW w:w="621"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321</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317</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307</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315</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321</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942</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944</w:t>
            </w:r>
          </w:p>
        </w:tc>
      </w:tr>
      <w:tr w:rsidR="00B744CA" w:rsidRPr="00B744CA" w:rsidTr="00B744CA">
        <w:trPr>
          <w:trHeight w:val="198"/>
        </w:trPr>
        <w:tc>
          <w:tcPr>
            <w:tcW w:w="3828" w:type="dxa"/>
            <w:tcBorders>
              <w:right w:val="single" w:sz="8" w:space="0" w:color="1F497D" w:themeColor="text2"/>
            </w:tcBorders>
            <w:vAlign w:val="center"/>
          </w:tcPr>
          <w:p w:rsidR="00B744CA" w:rsidRPr="00B744CA" w:rsidRDefault="00B744CA" w:rsidP="00B744CA">
            <w:pPr>
              <w:spacing w:after="0" w:line="240" w:lineRule="auto"/>
              <w:ind w:firstLineChars="400" w:firstLine="560"/>
              <w:rPr>
                <w:rFonts w:ascii="Times New Roman" w:eastAsia="Times New Roman" w:hAnsi="Times New Roman"/>
                <w:sz w:val="24"/>
                <w:szCs w:val="24"/>
                <w:lang w:val="nl-BE"/>
              </w:rPr>
            </w:pPr>
            <w:r w:rsidRPr="00B744CA">
              <w:rPr>
                <w:rFonts w:ascii="Arial" w:eastAsia="Times New Roman" w:hAnsi="Arial"/>
                <w:i/>
                <w:sz w:val="14"/>
                <w:szCs w:val="24"/>
                <w:lang w:val="nl-BE"/>
              </w:rPr>
              <w:t>Technische lasten</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-156</w:t>
            </w:r>
          </w:p>
        </w:tc>
        <w:tc>
          <w:tcPr>
            <w:tcW w:w="763"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-201</w:t>
            </w:r>
          </w:p>
        </w:tc>
        <w:tc>
          <w:tcPr>
            <w:tcW w:w="621"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-176</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-190</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-158</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-214</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-183</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-533</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-555</w:t>
            </w:r>
          </w:p>
        </w:tc>
      </w:tr>
      <w:tr w:rsidR="00B744CA" w:rsidRPr="00B744CA" w:rsidTr="00B744CA">
        <w:trPr>
          <w:trHeight w:val="227"/>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Times New Roman" w:eastAsia="Times New Roman" w:hAnsi="Times New Roman"/>
                <w:sz w:val="24"/>
                <w:szCs w:val="24"/>
                <w:lang w:val="nl-BE"/>
              </w:rPr>
            </w:pPr>
            <w:r w:rsidRPr="00B744CA">
              <w:rPr>
                <w:rFonts w:ascii="Arial" w:eastAsia="Times New Roman" w:hAnsi="Arial"/>
                <w:sz w:val="14"/>
                <w:szCs w:val="24"/>
                <w:lang w:val="nl-BE"/>
              </w:rPr>
              <w:t>Verzekeringen Leven (vóór herverzekering)</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-59</w:t>
            </w:r>
          </w:p>
        </w:tc>
        <w:tc>
          <w:tcPr>
            <w:tcW w:w="76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-62</w:t>
            </w:r>
          </w:p>
        </w:tc>
        <w:tc>
          <w:tcPr>
            <w:tcW w:w="621"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-63</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-57</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-59</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-56</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-57</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-185</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-171</w:t>
            </w:r>
          </w:p>
        </w:tc>
      </w:tr>
      <w:tr w:rsidR="00B744CA" w:rsidRPr="00B744CA" w:rsidTr="00B744CA">
        <w:trPr>
          <w:trHeight w:val="198"/>
        </w:trPr>
        <w:tc>
          <w:tcPr>
            <w:tcW w:w="3828" w:type="dxa"/>
            <w:tcBorders>
              <w:right w:val="single" w:sz="8" w:space="0" w:color="1F497D" w:themeColor="text2"/>
            </w:tcBorders>
            <w:vAlign w:val="center"/>
          </w:tcPr>
          <w:p w:rsidR="00B744CA" w:rsidRPr="00B744CA" w:rsidRDefault="00B744CA" w:rsidP="00B744CA">
            <w:pPr>
              <w:spacing w:after="0" w:line="240" w:lineRule="auto"/>
              <w:ind w:firstLineChars="400" w:firstLine="560"/>
              <w:rPr>
                <w:rFonts w:ascii="Times New Roman" w:eastAsia="Times New Roman" w:hAnsi="Times New Roman"/>
                <w:sz w:val="24"/>
                <w:szCs w:val="24"/>
                <w:lang w:val="nl-BE"/>
              </w:rPr>
            </w:pPr>
            <w:r w:rsidRPr="00B744CA">
              <w:rPr>
                <w:rFonts w:ascii="Arial" w:eastAsia="Times New Roman" w:hAnsi="Arial"/>
                <w:i/>
                <w:sz w:val="14"/>
                <w:szCs w:val="24"/>
                <w:lang w:val="nl-BE"/>
              </w:rPr>
              <w:t>Verdiende premies</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271</w:t>
            </w:r>
          </w:p>
        </w:tc>
        <w:tc>
          <w:tcPr>
            <w:tcW w:w="763"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241</w:t>
            </w:r>
          </w:p>
        </w:tc>
        <w:tc>
          <w:tcPr>
            <w:tcW w:w="621"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238</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381</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308</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297</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299</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750</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904</w:t>
            </w:r>
          </w:p>
        </w:tc>
      </w:tr>
      <w:tr w:rsidR="00B744CA" w:rsidRPr="00B744CA" w:rsidTr="00B744CA">
        <w:trPr>
          <w:trHeight w:val="198"/>
        </w:trPr>
        <w:tc>
          <w:tcPr>
            <w:tcW w:w="3828" w:type="dxa"/>
            <w:tcBorders>
              <w:right w:val="single" w:sz="8" w:space="0" w:color="1F497D" w:themeColor="text2"/>
            </w:tcBorders>
            <w:vAlign w:val="center"/>
          </w:tcPr>
          <w:p w:rsidR="00B744CA" w:rsidRPr="00B744CA" w:rsidRDefault="00B744CA" w:rsidP="00B744CA">
            <w:pPr>
              <w:spacing w:after="0" w:line="240" w:lineRule="auto"/>
              <w:ind w:firstLineChars="400" w:firstLine="560"/>
              <w:rPr>
                <w:rFonts w:ascii="Times New Roman" w:eastAsia="Times New Roman" w:hAnsi="Times New Roman"/>
                <w:sz w:val="24"/>
                <w:szCs w:val="24"/>
                <w:lang w:val="nl-BE"/>
              </w:rPr>
            </w:pPr>
            <w:r w:rsidRPr="00B744CA">
              <w:rPr>
                <w:rFonts w:ascii="Arial" w:eastAsia="Times New Roman" w:hAnsi="Arial"/>
                <w:i/>
                <w:sz w:val="14"/>
                <w:szCs w:val="24"/>
                <w:lang w:val="nl-BE"/>
              </w:rPr>
              <w:t>Technische lasten</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-331</w:t>
            </w:r>
          </w:p>
        </w:tc>
        <w:tc>
          <w:tcPr>
            <w:tcW w:w="763"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-303</w:t>
            </w:r>
          </w:p>
        </w:tc>
        <w:tc>
          <w:tcPr>
            <w:tcW w:w="621"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-302</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-438</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-367</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-353</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-355</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-936</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-1 075</w:t>
            </w:r>
          </w:p>
        </w:tc>
      </w:tr>
      <w:tr w:rsidR="00B744CA" w:rsidRPr="00B744CA" w:rsidTr="00B744CA">
        <w:trPr>
          <w:trHeight w:val="284"/>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Nettoresultaat uit afgestane herverzekering</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-12</w:t>
            </w:r>
          </w:p>
        </w:tc>
        <w:tc>
          <w:tcPr>
            <w:tcW w:w="76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13</w:t>
            </w:r>
          </w:p>
        </w:tc>
        <w:tc>
          <w:tcPr>
            <w:tcW w:w="621"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-6</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-17</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19</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6</w:t>
            </w:r>
          </w:p>
        </w:tc>
      </w:tr>
      <w:tr w:rsidR="00B744CA" w:rsidRPr="00B744CA" w:rsidTr="00B744CA">
        <w:trPr>
          <w:trHeight w:val="284"/>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Dividendinkomsten</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4</w:t>
            </w:r>
          </w:p>
        </w:tc>
        <w:tc>
          <w:tcPr>
            <w:tcW w:w="76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19</w:t>
            </w:r>
          </w:p>
        </w:tc>
        <w:tc>
          <w:tcPr>
            <w:tcW w:w="621"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11</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7</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11</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22</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6</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34</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39</w:t>
            </w:r>
          </w:p>
        </w:tc>
      </w:tr>
      <w:tr w:rsidR="00B744CA" w:rsidRPr="00B744CA" w:rsidTr="00B744CA">
        <w:trPr>
          <w:trHeight w:val="284"/>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Nettoresultaat uit financiële instrumenten tegen reële waarde met verwerking van waardeveranderingen in de winst-en-verliesrekening</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218</w:t>
            </w:r>
          </w:p>
        </w:tc>
        <w:tc>
          <w:tcPr>
            <w:tcW w:w="76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256</w:t>
            </w:r>
          </w:p>
        </w:tc>
        <w:tc>
          <w:tcPr>
            <w:tcW w:w="621"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146</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159</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17</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37</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49</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620</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103</w:t>
            </w:r>
          </w:p>
        </w:tc>
      </w:tr>
      <w:tr w:rsidR="00B744CA" w:rsidRPr="00B744CA" w:rsidTr="00B744CA">
        <w:trPr>
          <w:trHeight w:val="284"/>
        </w:trPr>
        <w:tc>
          <w:tcPr>
            <w:tcW w:w="3828" w:type="dxa"/>
            <w:tcBorders>
              <w:right w:val="single" w:sz="8" w:space="0" w:color="1F497D" w:themeColor="text2"/>
            </w:tcBorders>
            <w:vAlign w:val="center"/>
          </w:tcPr>
          <w:p w:rsidR="00B744CA" w:rsidRPr="00B744CA" w:rsidRDefault="00B744CA" w:rsidP="00B744CA">
            <w:pPr>
              <w:spacing w:before="60"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Netto gerealiseerd resultaat uit voor verkoop beschikbare financiële activa</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96</w:t>
            </w:r>
          </w:p>
        </w:tc>
        <w:tc>
          <w:tcPr>
            <w:tcW w:w="76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46</w:t>
            </w:r>
          </w:p>
        </w:tc>
        <w:tc>
          <w:tcPr>
            <w:tcW w:w="621"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42</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29</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50</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49</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27</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183</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127</w:t>
            </w:r>
          </w:p>
        </w:tc>
      </w:tr>
      <w:tr w:rsidR="00B744CA" w:rsidRPr="00B744CA" w:rsidTr="00B744CA">
        <w:trPr>
          <w:trHeight w:val="284"/>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proofErr w:type="spellStart"/>
            <w:r w:rsidRPr="00B744CA">
              <w:rPr>
                <w:rFonts w:ascii="Arial" w:eastAsia="Times New Roman" w:hAnsi="Arial"/>
                <w:snapToGrid w:val="0"/>
                <w:sz w:val="14"/>
                <w:szCs w:val="24"/>
                <w:lang w:val="nl-BE"/>
              </w:rPr>
              <w:t>Nettoprovisie</w:t>
            </w:r>
            <w:proofErr w:type="spellEnd"/>
            <w:r w:rsidRPr="00B744CA">
              <w:rPr>
                <w:rFonts w:ascii="Arial" w:eastAsia="Times New Roman" w:hAnsi="Arial"/>
                <w:snapToGrid w:val="0"/>
                <w:sz w:val="14"/>
                <w:szCs w:val="24"/>
                <w:lang w:val="nl-BE"/>
              </w:rPr>
              <w:t>-inkomsten</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382</w:t>
            </w:r>
          </w:p>
        </w:tc>
        <w:tc>
          <w:tcPr>
            <w:tcW w:w="76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385</w:t>
            </w:r>
          </w:p>
        </w:tc>
        <w:tc>
          <w:tcPr>
            <w:tcW w:w="621"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341</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365</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378</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389</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404</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1 108</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1 171</w:t>
            </w:r>
          </w:p>
        </w:tc>
      </w:tr>
      <w:tr w:rsidR="00B744CA" w:rsidRPr="00B744CA" w:rsidTr="00B744CA">
        <w:trPr>
          <w:trHeight w:val="284"/>
        </w:trPr>
        <w:tc>
          <w:tcPr>
            <w:tcW w:w="3828" w:type="dxa"/>
            <w:tcBorders>
              <w:bottom w:val="single" w:sz="8" w:space="0" w:color="1F497D" w:themeColor="text2"/>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Overige netto-inkomsten</w:t>
            </w:r>
          </w:p>
        </w:tc>
        <w:tc>
          <w:tcPr>
            <w:tcW w:w="653" w:type="dxa"/>
            <w:tcBorders>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76</w:t>
            </w:r>
          </w:p>
        </w:tc>
        <w:tc>
          <w:tcPr>
            <w:tcW w:w="763"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68</w:t>
            </w:r>
          </w:p>
        </w:tc>
        <w:tc>
          <w:tcPr>
            <w:tcW w:w="621"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151</w:t>
            </w:r>
          </w:p>
        </w:tc>
        <w:tc>
          <w:tcPr>
            <w:tcW w:w="638"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47</w:t>
            </w:r>
          </w:p>
        </w:tc>
        <w:tc>
          <w:tcPr>
            <w:tcW w:w="723"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52</w:t>
            </w:r>
          </w:p>
        </w:tc>
        <w:tc>
          <w:tcPr>
            <w:tcW w:w="696"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-124</w:t>
            </w:r>
          </w:p>
        </w:tc>
        <w:tc>
          <w:tcPr>
            <w:tcW w:w="621" w:type="dxa"/>
            <w:tcBorders>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64</w:t>
            </w:r>
          </w:p>
        </w:tc>
        <w:tc>
          <w:tcPr>
            <w:tcW w:w="610" w:type="dxa"/>
            <w:gridSpan w:val="3"/>
            <w:tcBorders>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296</w:t>
            </w:r>
          </w:p>
        </w:tc>
        <w:tc>
          <w:tcPr>
            <w:tcW w:w="708" w:type="dxa"/>
            <w:tcBorders>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-8</w:t>
            </w:r>
          </w:p>
        </w:tc>
      </w:tr>
      <w:tr w:rsidR="00B744CA" w:rsidRPr="00B744CA" w:rsidTr="00B744CA">
        <w:trPr>
          <w:trHeight w:val="284"/>
        </w:trPr>
        <w:tc>
          <w:tcPr>
            <w:tcW w:w="3828" w:type="dxa"/>
            <w:tcBorders>
              <w:top w:val="single" w:sz="8" w:space="0" w:color="1F497D" w:themeColor="text2"/>
              <w:bottom w:val="single" w:sz="8" w:space="0" w:color="1F497D" w:themeColor="text2"/>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Totale opbrengsten</w:t>
            </w:r>
          </w:p>
        </w:tc>
        <w:tc>
          <w:tcPr>
            <w:tcW w:w="653" w:type="dxa"/>
            <w:tcBorders>
              <w:top w:val="single" w:sz="8" w:space="0" w:color="1F497D" w:themeColor="text2"/>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1 872</w:t>
            </w:r>
          </w:p>
        </w:tc>
        <w:tc>
          <w:tcPr>
            <w:tcW w:w="763" w:type="dxa"/>
            <w:tcBorders>
              <w:top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1 815</w:t>
            </w:r>
          </w:p>
        </w:tc>
        <w:tc>
          <w:tcPr>
            <w:tcW w:w="621" w:type="dxa"/>
            <w:tcBorders>
              <w:top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1 773</w:t>
            </w:r>
          </w:p>
        </w:tc>
        <w:tc>
          <w:tcPr>
            <w:tcW w:w="638"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1 668</w:t>
            </w:r>
          </w:p>
        </w:tc>
        <w:tc>
          <w:tcPr>
            <w:tcW w:w="723"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1 584</w:t>
            </w:r>
          </w:p>
        </w:tc>
        <w:tc>
          <w:tcPr>
            <w:tcW w:w="696"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1 485</w:t>
            </w:r>
          </w:p>
        </w:tc>
        <w:tc>
          <w:tcPr>
            <w:tcW w:w="621" w:type="dxa"/>
            <w:tcBorders>
              <w:top w:val="single" w:sz="8" w:space="0" w:color="1F497D" w:themeColor="text2"/>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1 746</w:t>
            </w:r>
          </w:p>
        </w:tc>
        <w:tc>
          <w:tcPr>
            <w:tcW w:w="610" w:type="dxa"/>
            <w:gridSpan w:val="3"/>
            <w:tcBorders>
              <w:top w:val="single" w:sz="8" w:space="0" w:color="1F497D" w:themeColor="text2"/>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5 459</w:t>
            </w:r>
          </w:p>
        </w:tc>
        <w:tc>
          <w:tcPr>
            <w:tcW w:w="708" w:type="dxa"/>
            <w:tcBorders>
              <w:top w:val="single" w:sz="8" w:space="0" w:color="1F497D" w:themeColor="text2"/>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4 814</w:t>
            </w:r>
          </w:p>
        </w:tc>
      </w:tr>
      <w:tr w:rsidR="00B744CA" w:rsidRPr="00B744CA" w:rsidTr="00B744CA">
        <w:trPr>
          <w:trHeight w:val="284"/>
        </w:trPr>
        <w:tc>
          <w:tcPr>
            <w:tcW w:w="3828" w:type="dxa"/>
            <w:tcBorders>
              <w:top w:val="single" w:sz="8" w:space="0" w:color="1F497D" w:themeColor="text2"/>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Exploitatiekosten</w:t>
            </w:r>
          </w:p>
        </w:tc>
        <w:tc>
          <w:tcPr>
            <w:tcW w:w="653" w:type="dxa"/>
            <w:tcBorders>
              <w:top w:val="single" w:sz="8" w:space="0" w:color="1F497D" w:themeColor="text2"/>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-1 023</w:t>
            </w:r>
          </w:p>
        </w:tc>
        <w:tc>
          <w:tcPr>
            <w:tcW w:w="763"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-914</w:t>
            </w:r>
          </w:p>
        </w:tc>
        <w:tc>
          <w:tcPr>
            <w:tcW w:w="621"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-906</w:t>
            </w:r>
          </w:p>
        </w:tc>
        <w:tc>
          <w:tcPr>
            <w:tcW w:w="638"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-955</w:t>
            </w:r>
          </w:p>
        </w:tc>
        <w:tc>
          <w:tcPr>
            <w:tcW w:w="723"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-965</w:t>
            </w:r>
          </w:p>
        </w:tc>
        <w:tc>
          <w:tcPr>
            <w:tcW w:w="696"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-926</w:t>
            </w:r>
          </w:p>
        </w:tc>
        <w:tc>
          <w:tcPr>
            <w:tcW w:w="621" w:type="dxa"/>
            <w:tcBorders>
              <w:top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-898</w:t>
            </w:r>
          </w:p>
        </w:tc>
        <w:tc>
          <w:tcPr>
            <w:tcW w:w="610" w:type="dxa"/>
            <w:gridSpan w:val="3"/>
            <w:tcBorders>
              <w:top w:val="single" w:sz="8" w:space="0" w:color="1F497D" w:themeColor="text2"/>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top w:val="single" w:sz="8" w:space="0" w:color="1F497D" w:themeColor="text2"/>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-2 843</w:t>
            </w:r>
          </w:p>
        </w:tc>
        <w:tc>
          <w:tcPr>
            <w:tcW w:w="708" w:type="dxa"/>
            <w:tcBorders>
              <w:top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-2 789</w:t>
            </w:r>
          </w:p>
        </w:tc>
      </w:tr>
      <w:tr w:rsidR="00B744CA" w:rsidRPr="00B744CA" w:rsidTr="00B744CA">
        <w:trPr>
          <w:trHeight w:val="284"/>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Bijzondere waardeverminderingen</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-333</w:t>
            </w:r>
          </w:p>
        </w:tc>
        <w:tc>
          <w:tcPr>
            <w:tcW w:w="763"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-234</w:t>
            </w:r>
          </w:p>
        </w:tc>
        <w:tc>
          <w:tcPr>
            <w:tcW w:w="621" w:type="dxa"/>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-208</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-949</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-107</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-134</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-183</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-775</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-424</w:t>
            </w:r>
          </w:p>
        </w:tc>
      </w:tr>
      <w:tr w:rsidR="00B744CA" w:rsidRPr="00B744CA" w:rsidTr="00B744CA">
        <w:trPr>
          <w:trHeight w:val="198"/>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 xml:space="preserve">     op leningen en vorderingen</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-293</w:t>
            </w:r>
          </w:p>
        </w:tc>
        <w:tc>
          <w:tcPr>
            <w:tcW w:w="763"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-215</w:t>
            </w:r>
          </w:p>
        </w:tc>
        <w:tc>
          <w:tcPr>
            <w:tcW w:w="621"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-185</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-939</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-103</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-130</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-165</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-693</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-398</w:t>
            </w:r>
          </w:p>
        </w:tc>
      </w:tr>
      <w:tr w:rsidR="00B744CA" w:rsidRPr="00B744CA" w:rsidTr="00B744CA">
        <w:trPr>
          <w:trHeight w:val="198"/>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 xml:space="preserve">     op voor verkoop beschikbare activa</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-13</w:t>
            </w:r>
          </w:p>
        </w:tc>
        <w:tc>
          <w:tcPr>
            <w:tcW w:w="763"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w:t>
            </w:r>
          </w:p>
        </w:tc>
        <w:tc>
          <w:tcPr>
            <w:tcW w:w="621"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-2</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-3</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-5</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-3</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-6</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-18</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-14</w:t>
            </w:r>
          </w:p>
        </w:tc>
      </w:tr>
      <w:tr w:rsidR="00B744CA" w:rsidRPr="00B744CA" w:rsidTr="00B744CA">
        <w:trPr>
          <w:trHeight w:val="198"/>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 xml:space="preserve">     op goodwill</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-7</w:t>
            </w:r>
          </w:p>
        </w:tc>
        <w:tc>
          <w:tcPr>
            <w:tcW w:w="763"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0</w:t>
            </w:r>
          </w:p>
        </w:tc>
        <w:tc>
          <w:tcPr>
            <w:tcW w:w="621"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0</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0</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0</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0</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0</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-7</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0</w:t>
            </w:r>
          </w:p>
        </w:tc>
      </w:tr>
      <w:tr w:rsidR="00B744CA" w:rsidRPr="00B744CA" w:rsidTr="00B744CA">
        <w:trPr>
          <w:trHeight w:val="198"/>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 xml:space="preserve">     op overige</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-20</w:t>
            </w:r>
          </w:p>
        </w:tc>
        <w:tc>
          <w:tcPr>
            <w:tcW w:w="763"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-15</w:t>
            </w:r>
          </w:p>
        </w:tc>
        <w:tc>
          <w:tcPr>
            <w:tcW w:w="621" w:type="dxa"/>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-22</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i/>
                <w:iCs/>
                <w:sz w:val="14"/>
                <w:szCs w:val="14"/>
                <w:lang w:val="en-GB"/>
              </w:rPr>
            </w:pPr>
            <w:r w:rsidRPr="00B744CA">
              <w:rPr>
                <w:rFonts w:ascii="Arial" w:eastAsia="Times New Roman" w:hAnsi="Arial" w:cs="Arial"/>
                <w:i/>
                <w:iCs/>
                <w:sz w:val="14"/>
                <w:szCs w:val="14"/>
                <w:lang w:val="en-GB"/>
              </w:rPr>
              <w:t>-7</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0</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0</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-12</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-57</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i/>
                <w:snapToGrid w:val="0"/>
                <w:sz w:val="14"/>
                <w:szCs w:val="14"/>
                <w:lang w:val="en-GB"/>
              </w:rPr>
            </w:pPr>
            <w:r w:rsidRPr="00B744CA">
              <w:rPr>
                <w:rFonts w:ascii="Arial" w:eastAsia="Times New Roman" w:hAnsi="Arial"/>
                <w:bCs/>
                <w:i/>
                <w:snapToGrid w:val="0"/>
                <w:sz w:val="14"/>
                <w:szCs w:val="14"/>
                <w:lang w:val="en-GB"/>
              </w:rPr>
              <w:t>-12</w:t>
            </w:r>
          </w:p>
        </w:tc>
      </w:tr>
      <w:tr w:rsidR="00B744CA" w:rsidRPr="00B744CA" w:rsidTr="00B744CA">
        <w:trPr>
          <w:trHeight w:val="284"/>
        </w:trPr>
        <w:tc>
          <w:tcPr>
            <w:tcW w:w="3828" w:type="dxa"/>
            <w:tcBorders>
              <w:bottom w:val="single" w:sz="8" w:space="0" w:color="1F497D" w:themeColor="text2"/>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Aandeel in het resultaat van geassocieerde ondernemingen en joint-ventures</w:t>
            </w:r>
          </w:p>
        </w:tc>
        <w:tc>
          <w:tcPr>
            <w:tcW w:w="653" w:type="dxa"/>
            <w:tcBorders>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8</w:t>
            </w:r>
          </w:p>
        </w:tc>
        <w:tc>
          <w:tcPr>
            <w:tcW w:w="763"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8</w:t>
            </w:r>
          </w:p>
        </w:tc>
        <w:tc>
          <w:tcPr>
            <w:tcW w:w="621"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w:t>
            </w:r>
          </w:p>
        </w:tc>
        <w:tc>
          <w:tcPr>
            <w:tcW w:w="638"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6</w:t>
            </w:r>
          </w:p>
        </w:tc>
        <w:tc>
          <w:tcPr>
            <w:tcW w:w="723"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7</w:t>
            </w:r>
          </w:p>
        </w:tc>
        <w:tc>
          <w:tcPr>
            <w:tcW w:w="696"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7</w:t>
            </w:r>
          </w:p>
        </w:tc>
        <w:tc>
          <w:tcPr>
            <w:tcW w:w="621" w:type="dxa"/>
            <w:tcBorders>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6</w:t>
            </w:r>
          </w:p>
        </w:tc>
        <w:tc>
          <w:tcPr>
            <w:tcW w:w="610" w:type="dxa"/>
            <w:gridSpan w:val="3"/>
            <w:tcBorders>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24</w:t>
            </w:r>
          </w:p>
        </w:tc>
        <w:tc>
          <w:tcPr>
            <w:tcW w:w="708" w:type="dxa"/>
            <w:tcBorders>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19</w:t>
            </w:r>
          </w:p>
        </w:tc>
      </w:tr>
      <w:tr w:rsidR="00B744CA" w:rsidRPr="00B744CA" w:rsidTr="00B744CA">
        <w:trPr>
          <w:trHeight w:val="284"/>
        </w:trPr>
        <w:tc>
          <w:tcPr>
            <w:tcW w:w="3828" w:type="dxa"/>
            <w:tcBorders>
              <w:top w:val="single" w:sz="8" w:space="0" w:color="1F497D" w:themeColor="text2"/>
              <w:bottom w:val="single" w:sz="8" w:space="0" w:color="1F497D" w:themeColor="text2"/>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Resultaat vóór belastingen</w:t>
            </w:r>
          </w:p>
        </w:tc>
        <w:tc>
          <w:tcPr>
            <w:tcW w:w="653" w:type="dxa"/>
            <w:tcBorders>
              <w:top w:val="single" w:sz="8" w:space="0" w:color="1F497D" w:themeColor="text2"/>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524</w:t>
            </w:r>
          </w:p>
        </w:tc>
        <w:tc>
          <w:tcPr>
            <w:tcW w:w="763" w:type="dxa"/>
            <w:tcBorders>
              <w:top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675</w:t>
            </w:r>
          </w:p>
        </w:tc>
        <w:tc>
          <w:tcPr>
            <w:tcW w:w="621" w:type="dxa"/>
            <w:tcBorders>
              <w:top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667</w:t>
            </w:r>
          </w:p>
        </w:tc>
        <w:tc>
          <w:tcPr>
            <w:tcW w:w="638"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-230</w:t>
            </w:r>
          </w:p>
        </w:tc>
        <w:tc>
          <w:tcPr>
            <w:tcW w:w="723"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518</w:t>
            </w:r>
          </w:p>
        </w:tc>
        <w:tc>
          <w:tcPr>
            <w:tcW w:w="696"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431</w:t>
            </w:r>
          </w:p>
        </w:tc>
        <w:tc>
          <w:tcPr>
            <w:tcW w:w="621" w:type="dxa"/>
            <w:tcBorders>
              <w:top w:val="single" w:sz="8" w:space="0" w:color="1F497D" w:themeColor="text2"/>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671</w:t>
            </w:r>
          </w:p>
        </w:tc>
        <w:tc>
          <w:tcPr>
            <w:tcW w:w="610" w:type="dxa"/>
            <w:gridSpan w:val="3"/>
            <w:tcBorders>
              <w:top w:val="single" w:sz="8" w:space="0" w:color="1F497D" w:themeColor="text2"/>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1 866</w:t>
            </w:r>
          </w:p>
        </w:tc>
        <w:tc>
          <w:tcPr>
            <w:tcW w:w="708" w:type="dxa"/>
            <w:tcBorders>
              <w:top w:val="single" w:sz="8" w:space="0" w:color="1F497D" w:themeColor="text2"/>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1 620</w:t>
            </w:r>
          </w:p>
        </w:tc>
      </w:tr>
      <w:tr w:rsidR="00B744CA" w:rsidRPr="00B744CA" w:rsidTr="00B744CA">
        <w:trPr>
          <w:trHeight w:val="284"/>
        </w:trPr>
        <w:tc>
          <w:tcPr>
            <w:tcW w:w="3828" w:type="dxa"/>
            <w:tcBorders>
              <w:top w:val="single" w:sz="8" w:space="0" w:color="1F497D" w:themeColor="text2"/>
              <w:bottom w:val="single" w:sz="8" w:space="0" w:color="1F497D" w:themeColor="text2"/>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Belastingen</w:t>
            </w:r>
          </w:p>
        </w:tc>
        <w:tc>
          <w:tcPr>
            <w:tcW w:w="653" w:type="dxa"/>
            <w:tcBorders>
              <w:top w:val="single" w:sz="8" w:space="0" w:color="1F497D" w:themeColor="text2"/>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-161</w:t>
            </w:r>
          </w:p>
        </w:tc>
        <w:tc>
          <w:tcPr>
            <w:tcW w:w="763" w:type="dxa"/>
            <w:tcBorders>
              <w:top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-187</w:t>
            </w:r>
          </w:p>
        </w:tc>
        <w:tc>
          <w:tcPr>
            <w:tcW w:w="621" w:type="dxa"/>
            <w:tcBorders>
              <w:top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-206</w:t>
            </w:r>
          </w:p>
        </w:tc>
        <w:tc>
          <w:tcPr>
            <w:tcW w:w="638"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-106</w:t>
            </w:r>
          </w:p>
        </w:tc>
        <w:tc>
          <w:tcPr>
            <w:tcW w:w="723"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-131</w:t>
            </w:r>
          </w:p>
        </w:tc>
        <w:tc>
          <w:tcPr>
            <w:tcW w:w="696"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-144</w:t>
            </w:r>
          </w:p>
        </w:tc>
        <w:tc>
          <w:tcPr>
            <w:tcW w:w="621" w:type="dxa"/>
            <w:tcBorders>
              <w:top w:val="single" w:sz="8" w:space="0" w:color="1F497D" w:themeColor="text2"/>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-194</w:t>
            </w:r>
          </w:p>
        </w:tc>
        <w:tc>
          <w:tcPr>
            <w:tcW w:w="610" w:type="dxa"/>
            <w:gridSpan w:val="3"/>
            <w:tcBorders>
              <w:top w:val="single" w:sz="8" w:space="0" w:color="1F497D" w:themeColor="text2"/>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-555</w:t>
            </w:r>
          </w:p>
        </w:tc>
        <w:tc>
          <w:tcPr>
            <w:tcW w:w="708" w:type="dxa"/>
            <w:tcBorders>
              <w:top w:val="single" w:sz="8" w:space="0" w:color="1F497D" w:themeColor="text2"/>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-469</w:t>
            </w:r>
          </w:p>
        </w:tc>
      </w:tr>
      <w:tr w:rsidR="00B744CA" w:rsidRPr="00B744CA" w:rsidTr="00B744CA">
        <w:trPr>
          <w:trHeight w:val="284"/>
        </w:trPr>
        <w:tc>
          <w:tcPr>
            <w:tcW w:w="3828" w:type="dxa"/>
            <w:tcBorders>
              <w:top w:val="single" w:sz="8" w:space="0" w:color="1F497D" w:themeColor="text2"/>
              <w:bottom w:val="single" w:sz="8" w:space="0" w:color="1F497D" w:themeColor="text2"/>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Resultaat na belastingen</w:t>
            </w:r>
          </w:p>
        </w:tc>
        <w:tc>
          <w:tcPr>
            <w:tcW w:w="653" w:type="dxa"/>
            <w:tcBorders>
              <w:top w:val="single" w:sz="8" w:space="0" w:color="1F497D" w:themeColor="text2"/>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363</w:t>
            </w:r>
          </w:p>
        </w:tc>
        <w:tc>
          <w:tcPr>
            <w:tcW w:w="763" w:type="dxa"/>
            <w:tcBorders>
              <w:top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487</w:t>
            </w:r>
          </w:p>
        </w:tc>
        <w:tc>
          <w:tcPr>
            <w:tcW w:w="621" w:type="dxa"/>
            <w:tcBorders>
              <w:top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460</w:t>
            </w:r>
          </w:p>
        </w:tc>
        <w:tc>
          <w:tcPr>
            <w:tcW w:w="638"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-336</w:t>
            </w:r>
          </w:p>
        </w:tc>
        <w:tc>
          <w:tcPr>
            <w:tcW w:w="723"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387</w:t>
            </w:r>
          </w:p>
        </w:tc>
        <w:tc>
          <w:tcPr>
            <w:tcW w:w="696" w:type="dxa"/>
            <w:tcBorders>
              <w:top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288</w:t>
            </w:r>
          </w:p>
        </w:tc>
        <w:tc>
          <w:tcPr>
            <w:tcW w:w="621" w:type="dxa"/>
            <w:tcBorders>
              <w:top w:val="single" w:sz="8" w:space="0" w:color="1F497D" w:themeColor="text2"/>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477</w:t>
            </w:r>
          </w:p>
        </w:tc>
        <w:tc>
          <w:tcPr>
            <w:tcW w:w="610" w:type="dxa"/>
            <w:gridSpan w:val="3"/>
            <w:tcBorders>
              <w:top w:val="single" w:sz="8" w:space="0" w:color="1F497D" w:themeColor="text2"/>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1 310</w:t>
            </w:r>
          </w:p>
        </w:tc>
        <w:tc>
          <w:tcPr>
            <w:tcW w:w="708" w:type="dxa"/>
            <w:tcBorders>
              <w:top w:val="single" w:sz="8" w:space="0" w:color="1F497D" w:themeColor="text2"/>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1 152</w:t>
            </w:r>
          </w:p>
        </w:tc>
      </w:tr>
      <w:tr w:rsidR="00B744CA" w:rsidRPr="00B744CA" w:rsidTr="00B744CA">
        <w:trPr>
          <w:trHeight w:val="284"/>
        </w:trPr>
        <w:tc>
          <w:tcPr>
            <w:tcW w:w="3828" w:type="dxa"/>
            <w:tcBorders>
              <w:top w:val="single" w:sz="8" w:space="0" w:color="1F497D" w:themeColor="text2"/>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 xml:space="preserve">     toerekenbaar aan belangen van derden</w:t>
            </w:r>
          </w:p>
        </w:tc>
        <w:tc>
          <w:tcPr>
            <w:tcW w:w="653" w:type="dxa"/>
            <w:tcBorders>
              <w:top w:val="single" w:sz="8" w:space="0" w:color="1F497D" w:themeColor="text2"/>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4</w:t>
            </w:r>
          </w:p>
        </w:tc>
        <w:tc>
          <w:tcPr>
            <w:tcW w:w="763"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3</w:t>
            </w:r>
          </w:p>
        </w:tc>
        <w:tc>
          <w:tcPr>
            <w:tcW w:w="621"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4</w:t>
            </w:r>
          </w:p>
        </w:tc>
        <w:tc>
          <w:tcPr>
            <w:tcW w:w="638"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4</w:t>
            </w:r>
          </w:p>
        </w:tc>
        <w:tc>
          <w:tcPr>
            <w:tcW w:w="723"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c>
          <w:tcPr>
            <w:tcW w:w="696"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c>
          <w:tcPr>
            <w:tcW w:w="621" w:type="dxa"/>
            <w:tcBorders>
              <w:top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c>
          <w:tcPr>
            <w:tcW w:w="610" w:type="dxa"/>
            <w:gridSpan w:val="3"/>
            <w:tcBorders>
              <w:top w:val="single" w:sz="8" w:space="0" w:color="1F497D" w:themeColor="text2"/>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top w:val="single" w:sz="8" w:space="0" w:color="1F497D" w:themeColor="text2"/>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10</w:t>
            </w:r>
          </w:p>
        </w:tc>
        <w:tc>
          <w:tcPr>
            <w:tcW w:w="708" w:type="dxa"/>
            <w:tcBorders>
              <w:top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r>
      <w:tr w:rsidR="00B744CA" w:rsidRPr="00B744CA" w:rsidTr="00B744CA">
        <w:trPr>
          <w:trHeight w:val="284"/>
        </w:trPr>
        <w:tc>
          <w:tcPr>
            <w:tcW w:w="3828" w:type="dxa"/>
            <w:tcBorders>
              <w:bottom w:val="single" w:sz="8" w:space="0" w:color="1F497D" w:themeColor="text2"/>
              <w:right w:val="single" w:sz="8" w:space="0" w:color="1F497D" w:themeColor="text2"/>
            </w:tcBorders>
            <w:vAlign w:val="center"/>
          </w:tcPr>
          <w:p w:rsidR="00B744CA" w:rsidRPr="00B744CA" w:rsidRDefault="00B744CA" w:rsidP="00B744CA">
            <w:pPr>
              <w:spacing w:after="0" w:line="240" w:lineRule="auto"/>
              <w:ind w:left="176" w:hanging="176"/>
              <w:rPr>
                <w:rFonts w:ascii="Arial" w:eastAsia="Times New Roman" w:hAnsi="Arial"/>
                <w:b/>
                <w:snapToGrid w:val="0"/>
                <w:sz w:val="20"/>
                <w:szCs w:val="24"/>
                <w:lang w:val="nl-BE"/>
              </w:rPr>
            </w:pPr>
            <w:r w:rsidRPr="00B744CA">
              <w:rPr>
                <w:rFonts w:ascii="Arial" w:eastAsia="Times New Roman" w:hAnsi="Arial"/>
                <w:b/>
                <w:snapToGrid w:val="0"/>
                <w:sz w:val="14"/>
                <w:szCs w:val="24"/>
                <w:lang w:val="nl-BE"/>
              </w:rPr>
              <w:t xml:space="preserve">     toerekenbaar aan de aandeelhouders van de moedermaatschappij</w:t>
            </w:r>
          </w:p>
        </w:tc>
        <w:tc>
          <w:tcPr>
            <w:tcW w:w="653" w:type="dxa"/>
            <w:tcBorders>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
                <w:bCs/>
                <w:sz w:val="14"/>
                <w:szCs w:val="14"/>
                <w:lang w:val="en-GB"/>
              </w:rPr>
            </w:pPr>
            <w:r w:rsidRPr="00B744CA">
              <w:rPr>
                <w:rFonts w:ascii="Arial" w:eastAsia="Times New Roman" w:hAnsi="Arial" w:cs="Arial"/>
                <w:b/>
                <w:bCs/>
                <w:sz w:val="14"/>
                <w:szCs w:val="14"/>
                <w:lang w:val="en-GB"/>
              </w:rPr>
              <w:t>359</w:t>
            </w:r>
          </w:p>
        </w:tc>
        <w:tc>
          <w:tcPr>
            <w:tcW w:w="763"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
                <w:bCs/>
                <w:sz w:val="14"/>
                <w:szCs w:val="14"/>
                <w:lang w:val="en-GB"/>
              </w:rPr>
            </w:pPr>
            <w:r w:rsidRPr="00B744CA">
              <w:rPr>
                <w:rFonts w:ascii="Arial" w:eastAsia="Times New Roman" w:hAnsi="Arial" w:cs="Arial"/>
                <w:b/>
                <w:bCs/>
                <w:sz w:val="14"/>
                <w:szCs w:val="14"/>
                <w:lang w:val="en-GB"/>
              </w:rPr>
              <w:t>485</w:t>
            </w:r>
          </w:p>
        </w:tc>
        <w:tc>
          <w:tcPr>
            <w:tcW w:w="621"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
                <w:bCs/>
                <w:sz w:val="14"/>
                <w:szCs w:val="14"/>
                <w:lang w:val="en-GB"/>
              </w:rPr>
            </w:pPr>
            <w:r w:rsidRPr="00B744CA">
              <w:rPr>
                <w:rFonts w:ascii="Arial" w:eastAsia="Times New Roman" w:hAnsi="Arial" w:cs="Arial"/>
                <w:b/>
                <w:bCs/>
                <w:sz w:val="14"/>
                <w:szCs w:val="14"/>
                <w:lang w:val="en-GB"/>
              </w:rPr>
              <w:t>457</w:t>
            </w:r>
          </w:p>
        </w:tc>
        <w:tc>
          <w:tcPr>
            <w:tcW w:w="638"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cs="Arial"/>
                <w:b/>
                <w:bCs/>
                <w:sz w:val="14"/>
                <w:szCs w:val="14"/>
                <w:lang w:val="en-GB"/>
              </w:rPr>
            </w:pPr>
            <w:r w:rsidRPr="00B744CA">
              <w:rPr>
                <w:rFonts w:ascii="Arial" w:eastAsia="Times New Roman" w:hAnsi="Arial" w:cs="Arial"/>
                <w:b/>
                <w:bCs/>
                <w:sz w:val="14"/>
                <w:szCs w:val="14"/>
                <w:lang w:val="en-GB"/>
              </w:rPr>
              <w:t>-340</w:t>
            </w:r>
          </w:p>
        </w:tc>
        <w:tc>
          <w:tcPr>
            <w:tcW w:w="723"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387</w:t>
            </w:r>
          </w:p>
        </w:tc>
        <w:tc>
          <w:tcPr>
            <w:tcW w:w="696"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287</w:t>
            </w:r>
          </w:p>
        </w:tc>
        <w:tc>
          <w:tcPr>
            <w:tcW w:w="621" w:type="dxa"/>
            <w:tcBorders>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477</w:t>
            </w:r>
          </w:p>
        </w:tc>
        <w:tc>
          <w:tcPr>
            <w:tcW w:w="610" w:type="dxa"/>
            <w:gridSpan w:val="3"/>
            <w:tcBorders>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w:t>
            </w:r>
          </w:p>
        </w:tc>
        <w:tc>
          <w:tcPr>
            <w:tcW w:w="629" w:type="dxa"/>
            <w:tcBorders>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1 300</w:t>
            </w:r>
          </w:p>
        </w:tc>
        <w:tc>
          <w:tcPr>
            <w:tcW w:w="708" w:type="dxa"/>
            <w:tcBorders>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1 151</w:t>
            </w:r>
          </w:p>
        </w:tc>
      </w:tr>
      <w:tr w:rsidR="00B744CA" w:rsidRPr="00B744CA" w:rsidTr="00B744CA">
        <w:trPr>
          <w:trHeight w:val="60"/>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 xml:space="preserve">          België</w:t>
            </w:r>
          </w:p>
        </w:tc>
        <w:tc>
          <w:tcPr>
            <w:tcW w:w="653" w:type="dxa"/>
            <w:tcBorders>
              <w:top w:val="single" w:sz="8" w:space="0" w:color="1F497D" w:themeColor="text2"/>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385</w:t>
            </w:r>
          </w:p>
        </w:tc>
        <w:tc>
          <w:tcPr>
            <w:tcW w:w="763"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418</w:t>
            </w:r>
          </w:p>
        </w:tc>
        <w:tc>
          <w:tcPr>
            <w:tcW w:w="621"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391</w:t>
            </w:r>
          </w:p>
        </w:tc>
        <w:tc>
          <w:tcPr>
            <w:tcW w:w="638"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376</w:t>
            </w:r>
          </w:p>
        </w:tc>
        <w:tc>
          <w:tcPr>
            <w:tcW w:w="723"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351</w:t>
            </w:r>
          </w:p>
        </w:tc>
        <w:tc>
          <w:tcPr>
            <w:tcW w:w="696"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383</w:t>
            </w:r>
          </w:p>
        </w:tc>
        <w:tc>
          <w:tcPr>
            <w:tcW w:w="621" w:type="dxa"/>
            <w:tcBorders>
              <w:top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384</w:t>
            </w:r>
          </w:p>
        </w:tc>
        <w:tc>
          <w:tcPr>
            <w:tcW w:w="610" w:type="dxa"/>
            <w:gridSpan w:val="3"/>
            <w:tcBorders>
              <w:top w:val="single" w:sz="8" w:space="0" w:color="1F497D" w:themeColor="text2"/>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top w:val="single" w:sz="8" w:space="0" w:color="1F497D" w:themeColor="text2"/>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1 193</w:t>
            </w:r>
          </w:p>
        </w:tc>
        <w:tc>
          <w:tcPr>
            <w:tcW w:w="708" w:type="dxa"/>
            <w:tcBorders>
              <w:top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1 117</w:t>
            </w:r>
          </w:p>
        </w:tc>
      </w:tr>
      <w:tr w:rsidR="00B744CA" w:rsidRPr="00B744CA" w:rsidTr="00B744CA">
        <w:trPr>
          <w:trHeight w:val="198"/>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 xml:space="preserve">          Tsjechië</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132</w:t>
            </w:r>
          </w:p>
        </w:tc>
        <w:tc>
          <w:tcPr>
            <w:tcW w:w="763" w:type="dxa"/>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146</w:t>
            </w:r>
          </w:p>
        </w:tc>
        <w:tc>
          <w:tcPr>
            <w:tcW w:w="621" w:type="dxa"/>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157</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119</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138</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140</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130</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435</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408</w:t>
            </w:r>
          </w:p>
        </w:tc>
      </w:tr>
      <w:tr w:rsidR="00B744CA" w:rsidRPr="00B744CA" w:rsidTr="00B744CA">
        <w:trPr>
          <w:trHeight w:val="198"/>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 xml:space="preserve">          Internationale Markten</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-87</w:t>
            </w:r>
          </w:p>
        </w:tc>
        <w:tc>
          <w:tcPr>
            <w:tcW w:w="763" w:type="dxa"/>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-23</w:t>
            </w:r>
          </w:p>
        </w:tc>
        <w:tc>
          <w:tcPr>
            <w:tcW w:w="621" w:type="dxa"/>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-12</w:t>
            </w:r>
          </w:p>
        </w:tc>
        <w:tc>
          <w:tcPr>
            <w:tcW w:w="638" w:type="dxa"/>
            <w:shd w:val="clear" w:color="auto" w:fill="auto"/>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-731</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-26</w:t>
            </w:r>
          </w:p>
        </w:tc>
        <w:tc>
          <w:tcPr>
            <w:tcW w:w="696" w:type="dxa"/>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-176</w:t>
            </w:r>
          </w:p>
        </w:tc>
        <w:tc>
          <w:tcPr>
            <w:tcW w:w="621"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27</w:t>
            </w:r>
          </w:p>
        </w:tc>
        <w:tc>
          <w:tcPr>
            <w:tcW w:w="610" w:type="dxa"/>
            <w:gridSpan w:val="3"/>
            <w:tcBorders>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-122</w:t>
            </w:r>
          </w:p>
        </w:tc>
        <w:tc>
          <w:tcPr>
            <w:tcW w:w="708" w:type="dxa"/>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-175</w:t>
            </w:r>
          </w:p>
        </w:tc>
      </w:tr>
      <w:tr w:rsidR="00B744CA" w:rsidRPr="00B744CA" w:rsidTr="00B744CA">
        <w:trPr>
          <w:trHeight w:val="198"/>
        </w:trPr>
        <w:tc>
          <w:tcPr>
            <w:tcW w:w="3828" w:type="dxa"/>
            <w:tcBorders>
              <w:bottom w:val="single" w:sz="8" w:space="0" w:color="1F497D" w:themeColor="text2"/>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 xml:space="preserve">          Groepscenter</w:t>
            </w:r>
          </w:p>
        </w:tc>
        <w:tc>
          <w:tcPr>
            <w:tcW w:w="653" w:type="dxa"/>
            <w:tcBorders>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-71</w:t>
            </w:r>
          </w:p>
        </w:tc>
        <w:tc>
          <w:tcPr>
            <w:tcW w:w="763"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-56</w:t>
            </w:r>
          </w:p>
        </w:tc>
        <w:tc>
          <w:tcPr>
            <w:tcW w:w="621"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-79</w:t>
            </w:r>
          </w:p>
        </w:tc>
        <w:tc>
          <w:tcPr>
            <w:tcW w:w="638"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cs="Arial"/>
                <w:bCs/>
                <w:sz w:val="14"/>
                <w:szCs w:val="14"/>
                <w:lang w:val="en-GB"/>
              </w:rPr>
            </w:pPr>
            <w:r w:rsidRPr="00B744CA">
              <w:rPr>
                <w:rFonts w:ascii="Arial" w:eastAsia="Times New Roman" w:hAnsi="Arial" w:cs="Arial"/>
                <w:bCs/>
                <w:sz w:val="14"/>
                <w:szCs w:val="14"/>
                <w:lang w:val="en-GB"/>
              </w:rPr>
              <w:t>-104</w:t>
            </w:r>
          </w:p>
        </w:tc>
        <w:tc>
          <w:tcPr>
            <w:tcW w:w="723"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-75</w:t>
            </w:r>
          </w:p>
        </w:tc>
        <w:tc>
          <w:tcPr>
            <w:tcW w:w="696"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-59</w:t>
            </w:r>
          </w:p>
        </w:tc>
        <w:tc>
          <w:tcPr>
            <w:tcW w:w="621" w:type="dxa"/>
            <w:tcBorders>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-64</w:t>
            </w:r>
          </w:p>
        </w:tc>
        <w:tc>
          <w:tcPr>
            <w:tcW w:w="610" w:type="dxa"/>
            <w:gridSpan w:val="3"/>
            <w:tcBorders>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-207</w:t>
            </w:r>
          </w:p>
        </w:tc>
        <w:tc>
          <w:tcPr>
            <w:tcW w:w="708" w:type="dxa"/>
            <w:tcBorders>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-199</w:t>
            </w:r>
          </w:p>
        </w:tc>
      </w:tr>
      <w:tr w:rsidR="00B744CA" w:rsidRPr="00B744CA" w:rsidTr="00B744CA">
        <w:trPr>
          <w:trHeight w:val="170"/>
        </w:trPr>
        <w:tc>
          <w:tcPr>
            <w:tcW w:w="3828" w:type="dxa"/>
            <w:tcBorders>
              <w:top w:val="single" w:sz="8" w:space="0" w:color="1F497D" w:themeColor="text2"/>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Gewone winst per aandeel (in euro)</w:t>
            </w:r>
          </w:p>
        </w:tc>
        <w:tc>
          <w:tcPr>
            <w:tcW w:w="653" w:type="dxa"/>
            <w:tcBorders>
              <w:top w:val="single" w:sz="8" w:space="0" w:color="1F497D" w:themeColor="text2"/>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0,86</w:t>
            </w:r>
          </w:p>
        </w:tc>
        <w:tc>
          <w:tcPr>
            <w:tcW w:w="763"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1,16</w:t>
            </w:r>
          </w:p>
        </w:tc>
        <w:tc>
          <w:tcPr>
            <w:tcW w:w="621" w:type="dxa"/>
            <w:tcBorders>
              <w:top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-0,30</w:t>
            </w:r>
          </w:p>
        </w:tc>
        <w:tc>
          <w:tcPr>
            <w:tcW w:w="638"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-0.82</w:t>
            </w:r>
          </w:p>
        </w:tc>
        <w:tc>
          <w:tcPr>
            <w:tcW w:w="723"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0,42</w:t>
            </w:r>
          </w:p>
        </w:tc>
        <w:tc>
          <w:tcPr>
            <w:tcW w:w="696" w:type="dxa"/>
            <w:tcBorders>
              <w:top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0,56</w:t>
            </w:r>
          </w:p>
        </w:tc>
        <w:tc>
          <w:tcPr>
            <w:tcW w:w="621" w:type="dxa"/>
            <w:tcBorders>
              <w:top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1,00</w:t>
            </w:r>
          </w:p>
        </w:tc>
        <w:tc>
          <w:tcPr>
            <w:tcW w:w="610" w:type="dxa"/>
            <w:gridSpan w:val="3"/>
            <w:tcBorders>
              <w:top w:val="single" w:sz="8" w:space="0" w:color="1F497D" w:themeColor="text2"/>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top w:val="single" w:sz="8" w:space="0" w:color="1F497D" w:themeColor="text2"/>
              <w:lef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1,72</w:t>
            </w:r>
          </w:p>
        </w:tc>
        <w:tc>
          <w:tcPr>
            <w:tcW w:w="708" w:type="dxa"/>
            <w:tcBorders>
              <w:top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1,99</w:t>
            </w:r>
          </w:p>
        </w:tc>
      </w:tr>
      <w:tr w:rsidR="00B744CA" w:rsidRPr="00B744CA" w:rsidTr="00B744CA">
        <w:trPr>
          <w:trHeight w:val="170"/>
        </w:trPr>
        <w:tc>
          <w:tcPr>
            <w:tcW w:w="3828" w:type="dxa"/>
            <w:tcBorders>
              <w:right w:val="single" w:sz="8" w:space="0" w:color="1F497D" w:themeColor="text2"/>
            </w:tcBorders>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Verwaterde winst per aandeel (in euro)</w:t>
            </w:r>
          </w:p>
        </w:tc>
        <w:tc>
          <w:tcPr>
            <w:tcW w:w="653" w:type="dxa"/>
            <w:tcBorders>
              <w:left w:val="single" w:sz="8" w:space="0" w:color="1F497D" w:themeColor="text2"/>
            </w:tcBorders>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0,86</w:t>
            </w:r>
          </w:p>
        </w:tc>
        <w:tc>
          <w:tcPr>
            <w:tcW w:w="763" w:type="dxa"/>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1,16</w:t>
            </w:r>
          </w:p>
        </w:tc>
        <w:tc>
          <w:tcPr>
            <w:tcW w:w="621" w:type="dxa"/>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-0,30</w:t>
            </w:r>
          </w:p>
        </w:tc>
        <w:tc>
          <w:tcPr>
            <w:tcW w:w="638" w:type="dxa"/>
            <w:shd w:val="clear" w:color="auto" w:fill="auto"/>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-0,82</w:t>
            </w:r>
          </w:p>
        </w:tc>
        <w:tc>
          <w:tcPr>
            <w:tcW w:w="723" w:type="dxa"/>
            <w:shd w:val="clear" w:color="auto" w:fill="auto"/>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0,42</w:t>
            </w:r>
          </w:p>
        </w:tc>
        <w:tc>
          <w:tcPr>
            <w:tcW w:w="696" w:type="dxa"/>
            <w:shd w:val="clear" w:color="auto" w:fill="auto"/>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0,56</w:t>
            </w:r>
          </w:p>
        </w:tc>
        <w:tc>
          <w:tcPr>
            <w:tcW w:w="621" w:type="dxa"/>
            <w:shd w:val="clear" w:color="auto" w:fill="DBE5F1" w:themeFill="accent1" w:themeFillTint="33"/>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1,00</w:t>
            </w:r>
          </w:p>
        </w:tc>
        <w:tc>
          <w:tcPr>
            <w:tcW w:w="610" w:type="dxa"/>
            <w:gridSpan w:val="3"/>
            <w:tcBorders>
              <w:right w:val="single" w:sz="8" w:space="0" w:color="1F497D" w:themeColor="text2"/>
            </w:tcBorders>
            <w:shd w:val="clear" w:color="auto" w:fill="auto"/>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29" w:type="dxa"/>
            <w:tcBorders>
              <w:left w:val="single" w:sz="8" w:space="0" w:color="1F497D" w:themeColor="text2"/>
            </w:tcBorders>
            <w:shd w:val="clear" w:color="auto" w:fill="auto"/>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1,72</w:t>
            </w:r>
          </w:p>
        </w:tc>
        <w:tc>
          <w:tcPr>
            <w:tcW w:w="708" w:type="dxa"/>
            <w:shd w:val="clear" w:color="auto" w:fill="DBE5F1" w:themeFill="accent1" w:themeFillTint="33"/>
          </w:tcPr>
          <w:p w:rsidR="00B744CA" w:rsidRPr="00B744CA" w:rsidRDefault="00B744CA" w:rsidP="00B744CA">
            <w:pPr>
              <w:spacing w:after="0" w:line="240" w:lineRule="auto"/>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1,99</w:t>
            </w:r>
          </w:p>
        </w:tc>
      </w:tr>
      <w:tr w:rsidR="00B744CA" w:rsidRPr="00715235" w:rsidTr="00B744CA">
        <w:trPr>
          <w:trHeight w:val="229"/>
        </w:trPr>
        <w:tc>
          <w:tcPr>
            <w:tcW w:w="3828" w:type="dxa"/>
            <w:tcBorders>
              <w:right w:val="single" w:sz="8" w:space="0" w:color="FFFFFF" w:themeColor="background1"/>
            </w:tcBorders>
            <w:shd w:val="clear" w:color="auto" w:fill="365F91" w:themeFill="accent1" w:themeFillShade="BF"/>
            <w:vAlign w:val="center"/>
          </w:tcPr>
          <w:p w:rsidR="00B744CA" w:rsidRPr="00B744CA" w:rsidRDefault="00B744CA" w:rsidP="00B744CA">
            <w:pPr>
              <w:spacing w:after="0" w:line="240" w:lineRule="auto"/>
              <w:rPr>
                <w:rFonts w:ascii="Arial" w:eastAsia="Times New Roman" w:hAnsi="Arial"/>
                <w:b/>
                <w:snapToGrid w:val="0"/>
                <w:color w:val="FFFFFF" w:themeColor="background1"/>
                <w:sz w:val="20"/>
                <w:szCs w:val="24"/>
                <w:lang w:val="nl-BE"/>
              </w:rPr>
            </w:pPr>
            <w:r w:rsidRPr="00B744CA">
              <w:rPr>
                <w:rFonts w:ascii="Arial" w:eastAsia="Times New Roman" w:hAnsi="Arial"/>
                <w:snapToGrid w:val="0"/>
                <w:color w:val="FFFFFF" w:themeColor="background1"/>
                <w:sz w:val="14"/>
                <w:szCs w:val="24"/>
                <w:lang w:val="nl-BE"/>
              </w:rPr>
              <w:t xml:space="preserve">Invloed van </w:t>
            </w:r>
            <w:proofErr w:type="spellStart"/>
            <w:r w:rsidRPr="00B744CA">
              <w:rPr>
                <w:rFonts w:ascii="Arial" w:eastAsia="Times New Roman" w:hAnsi="Arial"/>
                <w:i/>
                <w:snapToGrid w:val="0"/>
                <w:color w:val="FFFFFF" w:themeColor="background1"/>
                <w:sz w:val="14"/>
                <w:szCs w:val="24"/>
                <w:lang w:val="nl-BE"/>
              </w:rPr>
              <w:t>legacy</w:t>
            </w:r>
            <w:proofErr w:type="spellEnd"/>
            <w:r w:rsidRPr="00B744CA">
              <w:rPr>
                <w:rFonts w:ascii="Arial" w:eastAsia="Times New Roman" w:hAnsi="Arial"/>
                <w:snapToGrid w:val="0"/>
                <w:color w:val="FFFFFF" w:themeColor="background1"/>
                <w:sz w:val="14"/>
                <w:szCs w:val="24"/>
                <w:lang w:val="nl-BE"/>
              </w:rPr>
              <w:t>-activiteiten en eigen kredietrisico (na belastingen)</w:t>
            </w:r>
          </w:p>
        </w:tc>
        <w:tc>
          <w:tcPr>
            <w:tcW w:w="653" w:type="dxa"/>
            <w:tcBorders>
              <w:left w:val="single" w:sz="8" w:space="0" w:color="FFFFFF" w:themeColor="background1"/>
            </w:tcBorders>
            <w:shd w:val="clear" w:color="auto" w:fill="365F91" w:themeFill="accent1" w:themeFillShade="BF"/>
            <w:vAlign w:val="bottom"/>
          </w:tcPr>
          <w:p w:rsidR="00B744CA" w:rsidRPr="00B744CA" w:rsidRDefault="00B744CA" w:rsidP="00B744CA">
            <w:pPr>
              <w:spacing w:after="0" w:line="240" w:lineRule="auto"/>
              <w:ind w:hanging="234"/>
              <w:jc w:val="right"/>
              <w:rPr>
                <w:rFonts w:ascii="Arial" w:eastAsia="Times New Roman" w:hAnsi="Arial"/>
                <w:bCs/>
                <w:snapToGrid w:val="0"/>
                <w:color w:val="FFFFFF" w:themeColor="background1"/>
                <w:sz w:val="14"/>
                <w:szCs w:val="14"/>
                <w:lang w:val="nl-BE"/>
              </w:rPr>
            </w:pPr>
          </w:p>
        </w:tc>
        <w:tc>
          <w:tcPr>
            <w:tcW w:w="763" w:type="dxa"/>
            <w:shd w:val="clear" w:color="auto" w:fill="365F91" w:themeFill="accent1" w:themeFillShade="BF"/>
            <w:vAlign w:val="bottom"/>
          </w:tcPr>
          <w:p w:rsidR="00B744CA" w:rsidRPr="00B744CA" w:rsidRDefault="00B744CA" w:rsidP="00B744CA">
            <w:pPr>
              <w:spacing w:after="0" w:line="240" w:lineRule="auto"/>
              <w:ind w:hanging="234"/>
              <w:jc w:val="right"/>
              <w:rPr>
                <w:rFonts w:ascii="Arial" w:eastAsia="Times New Roman" w:hAnsi="Arial"/>
                <w:bCs/>
                <w:snapToGrid w:val="0"/>
                <w:color w:val="FFFFFF" w:themeColor="background1"/>
                <w:sz w:val="14"/>
                <w:szCs w:val="14"/>
                <w:lang w:val="nl-BE"/>
              </w:rPr>
            </w:pPr>
          </w:p>
        </w:tc>
        <w:tc>
          <w:tcPr>
            <w:tcW w:w="621" w:type="dxa"/>
            <w:shd w:val="clear" w:color="auto" w:fill="365F91" w:themeFill="accent1" w:themeFillShade="BF"/>
            <w:vAlign w:val="bottom"/>
          </w:tcPr>
          <w:p w:rsidR="00B744CA" w:rsidRPr="00B744CA" w:rsidRDefault="00B744CA" w:rsidP="00B744CA">
            <w:pPr>
              <w:spacing w:after="0" w:line="240" w:lineRule="auto"/>
              <w:ind w:hanging="234"/>
              <w:jc w:val="right"/>
              <w:rPr>
                <w:rFonts w:ascii="Arial" w:eastAsia="Times New Roman" w:hAnsi="Arial"/>
                <w:bCs/>
                <w:snapToGrid w:val="0"/>
                <w:color w:val="FFFFFF" w:themeColor="background1"/>
                <w:sz w:val="14"/>
                <w:szCs w:val="14"/>
                <w:lang w:val="nl-BE"/>
              </w:rPr>
            </w:pPr>
          </w:p>
        </w:tc>
        <w:tc>
          <w:tcPr>
            <w:tcW w:w="638" w:type="dxa"/>
            <w:shd w:val="clear" w:color="auto" w:fill="365F91" w:themeFill="accent1" w:themeFillShade="BF"/>
            <w:vAlign w:val="bottom"/>
          </w:tcPr>
          <w:p w:rsidR="00B744CA" w:rsidRPr="00B744CA" w:rsidRDefault="00B744CA" w:rsidP="00B744CA">
            <w:pPr>
              <w:spacing w:after="0" w:line="240" w:lineRule="auto"/>
              <w:ind w:hanging="234"/>
              <w:jc w:val="right"/>
              <w:rPr>
                <w:rFonts w:ascii="Arial" w:eastAsia="Times New Roman" w:hAnsi="Arial"/>
                <w:bCs/>
                <w:snapToGrid w:val="0"/>
                <w:color w:val="FFFFFF" w:themeColor="background1"/>
                <w:sz w:val="14"/>
                <w:szCs w:val="14"/>
                <w:lang w:val="nl-BE"/>
              </w:rPr>
            </w:pPr>
          </w:p>
        </w:tc>
        <w:tc>
          <w:tcPr>
            <w:tcW w:w="723" w:type="dxa"/>
            <w:shd w:val="clear" w:color="auto" w:fill="365F91" w:themeFill="accent1" w:themeFillShade="BF"/>
            <w:vAlign w:val="bottom"/>
          </w:tcPr>
          <w:p w:rsidR="00B744CA" w:rsidRPr="00B744CA" w:rsidRDefault="00B744CA" w:rsidP="00B744CA">
            <w:pPr>
              <w:spacing w:after="0" w:line="240" w:lineRule="auto"/>
              <w:ind w:hanging="234"/>
              <w:jc w:val="right"/>
              <w:rPr>
                <w:rFonts w:ascii="Arial" w:eastAsia="Times New Roman" w:hAnsi="Arial"/>
                <w:bCs/>
                <w:snapToGrid w:val="0"/>
                <w:color w:val="FFFFFF" w:themeColor="background1"/>
                <w:sz w:val="14"/>
                <w:szCs w:val="14"/>
                <w:lang w:val="nl-BE"/>
              </w:rPr>
            </w:pPr>
          </w:p>
        </w:tc>
        <w:tc>
          <w:tcPr>
            <w:tcW w:w="696" w:type="dxa"/>
            <w:shd w:val="clear" w:color="auto" w:fill="365F91" w:themeFill="accent1" w:themeFillShade="BF"/>
            <w:vAlign w:val="bottom"/>
          </w:tcPr>
          <w:p w:rsidR="00B744CA" w:rsidRPr="00B744CA" w:rsidRDefault="00B744CA" w:rsidP="00B744CA">
            <w:pPr>
              <w:spacing w:after="0" w:line="240" w:lineRule="auto"/>
              <w:ind w:hanging="234"/>
              <w:jc w:val="right"/>
              <w:rPr>
                <w:rFonts w:ascii="Arial" w:eastAsia="Times New Roman" w:hAnsi="Arial"/>
                <w:bCs/>
                <w:snapToGrid w:val="0"/>
                <w:color w:val="FFFFFF" w:themeColor="background1"/>
                <w:sz w:val="14"/>
                <w:szCs w:val="14"/>
                <w:lang w:val="nl-BE"/>
              </w:rPr>
            </w:pPr>
          </w:p>
        </w:tc>
        <w:tc>
          <w:tcPr>
            <w:tcW w:w="636" w:type="dxa"/>
            <w:gridSpan w:val="2"/>
            <w:shd w:val="clear" w:color="auto" w:fill="365F91" w:themeFill="accent1" w:themeFillShade="BF"/>
            <w:vAlign w:val="bottom"/>
          </w:tcPr>
          <w:p w:rsidR="00B744CA" w:rsidRPr="00B744CA" w:rsidRDefault="00B744CA" w:rsidP="00B744CA">
            <w:pPr>
              <w:spacing w:after="0" w:line="240" w:lineRule="auto"/>
              <w:ind w:hanging="234"/>
              <w:jc w:val="right"/>
              <w:rPr>
                <w:rFonts w:ascii="Arial" w:eastAsia="Times New Roman" w:hAnsi="Arial"/>
                <w:bCs/>
                <w:snapToGrid w:val="0"/>
                <w:color w:val="FFFFFF" w:themeColor="background1"/>
                <w:sz w:val="14"/>
                <w:szCs w:val="14"/>
                <w:highlight w:val="darkGray"/>
                <w:lang w:val="nl-BE"/>
              </w:rPr>
            </w:pPr>
          </w:p>
        </w:tc>
        <w:tc>
          <w:tcPr>
            <w:tcW w:w="564" w:type="dxa"/>
            <w:tcBorders>
              <w:right w:val="single" w:sz="8" w:space="0" w:color="1F497D" w:themeColor="text2"/>
            </w:tcBorders>
            <w:shd w:val="clear" w:color="auto" w:fill="365F91" w:themeFill="accent1" w:themeFillShade="BF"/>
            <w:vAlign w:val="bottom"/>
          </w:tcPr>
          <w:p w:rsidR="00B744CA" w:rsidRPr="00B744CA" w:rsidRDefault="00B744CA" w:rsidP="00B744CA">
            <w:pPr>
              <w:spacing w:after="0" w:line="240" w:lineRule="auto"/>
              <w:ind w:hanging="234"/>
              <w:jc w:val="right"/>
              <w:rPr>
                <w:rFonts w:ascii="Arial" w:eastAsia="Times New Roman" w:hAnsi="Arial"/>
                <w:bCs/>
                <w:snapToGrid w:val="0"/>
                <w:color w:val="FFFFFF" w:themeColor="background1"/>
                <w:sz w:val="14"/>
                <w:szCs w:val="14"/>
                <w:lang w:val="nl-BE"/>
              </w:rPr>
            </w:pPr>
          </w:p>
        </w:tc>
        <w:tc>
          <w:tcPr>
            <w:tcW w:w="660" w:type="dxa"/>
            <w:gridSpan w:val="2"/>
            <w:tcBorders>
              <w:left w:val="single" w:sz="8" w:space="0" w:color="1F497D" w:themeColor="text2"/>
            </w:tcBorders>
            <w:shd w:val="clear" w:color="auto" w:fill="365F91" w:themeFill="accent1" w:themeFillShade="BF"/>
            <w:vAlign w:val="bottom"/>
          </w:tcPr>
          <w:p w:rsidR="00B744CA" w:rsidRPr="00B744CA" w:rsidRDefault="00B744CA" w:rsidP="00B744CA">
            <w:pPr>
              <w:spacing w:after="0" w:line="240" w:lineRule="auto"/>
              <w:ind w:hanging="234"/>
              <w:jc w:val="right"/>
              <w:rPr>
                <w:rFonts w:ascii="Arial" w:eastAsia="Times New Roman" w:hAnsi="Arial"/>
                <w:bCs/>
                <w:snapToGrid w:val="0"/>
                <w:color w:val="FFFFFF" w:themeColor="background1"/>
                <w:sz w:val="14"/>
                <w:szCs w:val="14"/>
                <w:highlight w:val="darkGray"/>
                <w:lang w:val="nl-BE"/>
              </w:rPr>
            </w:pPr>
          </w:p>
        </w:tc>
        <w:tc>
          <w:tcPr>
            <w:tcW w:w="708" w:type="dxa"/>
            <w:shd w:val="clear" w:color="auto" w:fill="365F91" w:themeFill="accent1" w:themeFillShade="BF"/>
            <w:tcMar>
              <w:right w:w="142" w:type="dxa"/>
            </w:tcMar>
            <w:vAlign w:val="bottom"/>
          </w:tcPr>
          <w:p w:rsidR="00B744CA" w:rsidRPr="00B744CA" w:rsidRDefault="00B744CA" w:rsidP="00B744CA">
            <w:pPr>
              <w:spacing w:after="0" w:line="240" w:lineRule="auto"/>
              <w:ind w:hanging="234"/>
              <w:jc w:val="right"/>
              <w:rPr>
                <w:rFonts w:ascii="Arial" w:eastAsia="Times New Roman" w:hAnsi="Arial"/>
                <w:bCs/>
                <w:snapToGrid w:val="0"/>
                <w:color w:val="FFFFFF" w:themeColor="background1"/>
                <w:sz w:val="14"/>
                <w:szCs w:val="14"/>
                <w:highlight w:val="darkGray"/>
                <w:lang w:val="nl-BE"/>
              </w:rPr>
            </w:pPr>
          </w:p>
        </w:tc>
      </w:tr>
      <w:tr w:rsidR="00B744CA" w:rsidRPr="00B744CA" w:rsidTr="00B744CA">
        <w:trPr>
          <w:trHeight w:val="227"/>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proofErr w:type="spellStart"/>
            <w:r w:rsidRPr="00B744CA">
              <w:rPr>
                <w:rFonts w:ascii="Arial" w:eastAsia="Times New Roman" w:hAnsi="Arial"/>
                <w:snapToGrid w:val="0"/>
                <w:sz w:val="14"/>
                <w:szCs w:val="24"/>
                <w:lang w:val="nl-BE"/>
              </w:rPr>
              <w:t>Legacy</w:t>
            </w:r>
            <w:proofErr w:type="spellEnd"/>
            <w:r w:rsidRPr="00B744CA">
              <w:rPr>
                <w:rFonts w:ascii="Arial" w:eastAsia="Times New Roman" w:hAnsi="Arial"/>
                <w:snapToGrid w:val="0"/>
                <w:sz w:val="14"/>
                <w:szCs w:val="24"/>
                <w:lang w:val="nl-BE"/>
              </w:rPr>
              <w:t xml:space="preserve"> – winsten of verliezen gerelateerd aan </w:t>
            </w:r>
            <w:proofErr w:type="spellStart"/>
            <w:r w:rsidRPr="00B744CA">
              <w:rPr>
                <w:rFonts w:ascii="Arial" w:eastAsia="Times New Roman" w:hAnsi="Arial"/>
                <w:snapToGrid w:val="0"/>
                <w:sz w:val="14"/>
                <w:szCs w:val="24"/>
                <w:lang w:val="nl-BE"/>
              </w:rPr>
              <w:t>CDO’s</w:t>
            </w:r>
            <w:proofErr w:type="spellEnd"/>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165</w:t>
            </w:r>
          </w:p>
        </w:tc>
        <w:tc>
          <w:tcPr>
            <w:tcW w:w="763" w:type="dxa"/>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180</w:t>
            </w:r>
          </w:p>
        </w:tc>
        <w:tc>
          <w:tcPr>
            <w:tcW w:w="621" w:type="dxa"/>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34</w:t>
            </w:r>
          </w:p>
        </w:tc>
        <w:tc>
          <w:tcPr>
            <w:tcW w:w="638" w:type="dxa"/>
            <w:shd w:val="clear" w:color="auto" w:fill="auto"/>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65</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16</w:t>
            </w:r>
          </w:p>
        </w:tc>
        <w:tc>
          <w:tcPr>
            <w:tcW w:w="696" w:type="dxa"/>
            <w:shd w:val="clear" w:color="auto" w:fill="auto"/>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30</w:t>
            </w:r>
          </w:p>
        </w:tc>
        <w:tc>
          <w:tcPr>
            <w:tcW w:w="636" w:type="dxa"/>
            <w:gridSpan w:val="2"/>
            <w:shd w:val="clear" w:color="auto" w:fill="DBE5F1" w:themeFill="accent1" w:themeFillTint="33"/>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-24</w:t>
            </w:r>
          </w:p>
        </w:tc>
        <w:tc>
          <w:tcPr>
            <w:tcW w:w="564" w:type="dxa"/>
            <w:tcBorders>
              <w:right w:val="single" w:sz="8" w:space="0" w:color="1F497D" w:themeColor="text2"/>
            </w:tcBorders>
            <w:shd w:val="clear" w:color="auto" w:fill="auto"/>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60" w:type="dxa"/>
            <w:gridSpan w:val="2"/>
            <w:tcBorders>
              <w:left w:val="single" w:sz="8" w:space="0" w:color="1F497D" w:themeColor="text2"/>
            </w:tcBorders>
            <w:shd w:val="clear" w:color="auto" w:fill="auto"/>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380</w:t>
            </w:r>
          </w:p>
        </w:tc>
        <w:tc>
          <w:tcPr>
            <w:tcW w:w="708" w:type="dxa"/>
            <w:shd w:val="clear" w:color="auto" w:fill="DBE5F1" w:themeFill="accent1" w:themeFillTint="33"/>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23</w:t>
            </w:r>
          </w:p>
        </w:tc>
      </w:tr>
      <w:tr w:rsidR="00B744CA" w:rsidRPr="00B744CA" w:rsidTr="00B744CA">
        <w:trPr>
          <w:trHeight w:val="227"/>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proofErr w:type="spellStart"/>
            <w:r w:rsidRPr="00B744CA">
              <w:rPr>
                <w:rFonts w:ascii="Arial" w:eastAsia="Times New Roman" w:hAnsi="Arial"/>
                <w:snapToGrid w:val="0"/>
                <w:sz w:val="14"/>
                <w:szCs w:val="24"/>
                <w:lang w:val="nl-BE"/>
              </w:rPr>
              <w:t>Legacy</w:t>
            </w:r>
            <w:proofErr w:type="spellEnd"/>
            <w:r w:rsidRPr="00B744CA">
              <w:rPr>
                <w:rFonts w:ascii="Arial" w:eastAsia="Times New Roman" w:hAnsi="Arial"/>
                <w:snapToGrid w:val="0"/>
                <w:sz w:val="14"/>
                <w:szCs w:val="24"/>
                <w:lang w:val="nl-BE"/>
              </w:rPr>
              <w:t xml:space="preserve"> – desinvesteringen</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22</w:t>
            </w:r>
          </w:p>
        </w:tc>
        <w:tc>
          <w:tcPr>
            <w:tcW w:w="763" w:type="dxa"/>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-128</w:t>
            </w:r>
          </w:p>
        </w:tc>
        <w:tc>
          <w:tcPr>
            <w:tcW w:w="621" w:type="dxa"/>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-231</w:t>
            </w:r>
          </w:p>
        </w:tc>
        <w:tc>
          <w:tcPr>
            <w:tcW w:w="638" w:type="dxa"/>
            <w:shd w:val="clear" w:color="auto" w:fill="auto"/>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-10</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-9</w:t>
            </w:r>
          </w:p>
        </w:tc>
        <w:tc>
          <w:tcPr>
            <w:tcW w:w="696" w:type="dxa"/>
            <w:shd w:val="clear" w:color="auto" w:fill="auto"/>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8</w:t>
            </w:r>
          </w:p>
        </w:tc>
        <w:tc>
          <w:tcPr>
            <w:tcW w:w="636" w:type="dxa"/>
            <w:gridSpan w:val="2"/>
            <w:shd w:val="clear" w:color="auto" w:fill="DBE5F1" w:themeFill="accent1" w:themeFillTint="33"/>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132</w:t>
            </w:r>
          </w:p>
        </w:tc>
        <w:tc>
          <w:tcPr>
            <w:tcW w:w="564" w:type="dxa"/>
            <w:tcBorders>
              <w:right w:val="single" w:sz="8" w:space="0" w:color="1F497D" w:themeColor="text2"/>
            </w:tcBorders>
            <w:shd w:val="clear" w:color="auto" w:fill="auto"/>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60" w:type="dxa"/>
            <w:gridSpan w:val="2"/>
            <w:tcBorders>
              <w:left w:val="single" w:sz="8" w:space="0" w:color="1F497D" w:themeColor="text2"/>
            </w:tcBorders>
            <w:shd w:val="clear" w:color="auto" w:fill="auto"/>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-337</w:t>
            </w:r>
          </w:p>
        </w:tc>
        <w:tc>
          <w:tcPr>
            <w:tcW w:w="708" w:type="dxa"/>
            <w:shd w:val="clear" w:color="auto" w:fill="DBE5F1" w:themeFill="accent1" w:themeFillTint="33"/>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131</w:t>
            </w:r>
          </w:p>
        </w:tc>
      </w:tr>
      <w:tr w:rsidR="00B744CA" w:rsidRPr="00B744CA" w:rsidTr="00B744CA">
        <w:trPr>
          <w:trHeight w:val="227"/>
        </w:trPr>
        <w:tc>
          <w:tcPr>
            <w:tcW w:w="3828" w:type="dxa"/>
            <w:tcBorders>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snapToGrid w:val="0"/>
                <w:sz w:val="14"/>
                <w:szCs w:val="24"/>
                <w:lang w:val="nl-BE"/>
              </w:rPr>
              <w:t>Reële waarde van het eigen kredietrisico</w:t>
            </w:r>
          </w:p>
        </w:tc>
        <w:tc>
          <w:tcPr>
            <w:tcW w:w="653" w:type="dxa"/>
            <w:tcBorders>
              <w:left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-26</w:t>
            </w:r>
          </w:p>
        </w:tc>
        <w:tc>
          <w:tcPr>
            <w:tcW w:w="763" w:type="dxa"/>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-20</w:t>
            </w:r>
          </w:p>
        </w:tc>
        <w:tc>
          <w:tcPr>
            <w:tcW w:w="621" w:type="dxa"/>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12</w:t>
            </w:r>
          </w:p>
        </w:tc>
        <w:tc>
          <w:tcPr>
            <w:tcW w:w="638" w:type="dxa"/>
            <w:shd w:val="clear" w:color="auto" w:fill="auto"/>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-9</w:t>
            </w:r>
          </w:p>
        </w:tc>
        <w:tc>
          <w:tcPr>
            <w:tcW w:w="723" w:type="dxa"/>
            <w:shd w:val="clear" w:color="auto" w:fill="auto"/>
            <w:vAlign w:val="center"/>
          </w:tcPr>
          <w:p w:rsidR="00B744CA" w:rsidRPr="00B744CA" w:rsidRDefault="00B744CA" w:rsidP="00B744CA">
            <w:pPr>
              <w:spacing w:after="0" w:line="240" w:lineRule="auto"/>
              <w:jc w:val="right"/>
              <w:rPr>
                <w:rFonts w:ascii="Arial" w:eastAsia="Times New Roman" w:hAnsi="Arial" w:cs="Arial"/>
                <w:sz w:val="14"/>
                <w:szCs w:val="14"/>
                <w:lang w:val="en-GB"/>
              </w:rPr>
            </w:pPr>
            <w:r w:rsidRPr="00B744CA">
              <w:rPr>
                <w:rFonts w:ascii="Arial" w:eastAsia="Times New Roman" w:hAnsi="Arial" w:cs="Arial"/>
                <w:sz w:val="14"/>
                <w:szCs w:val="14"/>
                <w:lang w:val="en-GB"/>
              </w:rPr>
              <w:t>2</w:t>
            </w:r>
          </w:p>
        </w:tc>
        <w:tc>
          <w:tcPr>
            <w:tcW w:w="696" w:type="dxa"/>
            <w:shd w:val="clear" w:color="auto" w:fill="auto"/>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-8</w:t>
            </w:r>
          </w:p>
        </w:tc>
        <w:tc>
          <w:tcPr>
            <w:tcW w:w="636" w:type="dxa"/>
            <w:gridSpan w:val="2"/>
            <w:shd w:val="clear" w:color="auto" w:fill="DBE5F1" w:themeFill="accent1" w:themeFillTint="33"/>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6</w:t>
            </w:r>
          </w:p>
        </w:tc>
        <w:tc>
          <w:tcPr>
            <w:tcW w:w="564" w:type="dxa"/>
            <w:tcBorders>
              <w:right w:val="single" w:sz="8" w:space="0" w:color="1F497D" w:themeColor="text2"/>
            </w:tcBorders>
            <w:shd w:val="clear" w:color="auto" w:fill="auto"/>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w:t>
            </w:r>
          </w:p>
        </w:tc>
        <w:tc>
          <w:tcPr>
            <w:tcW w:w="660" w:type="dxa"/>
            <w:gridSpan w:val="2"/>
            <w:tcBorders>
              <w:left w:val="single" w:sz="8" w:space="0" w:color="1F497D" w:themeColor="text2"/>
            </w:tcBorders>
            <w:shd w:val="clear" w:color="auto" w:fill="auto"/>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-34</w:t>
            </w:r>
          </w:p>
        </w:tc>
        <w:tc>
          <w:tcPr>
            <w:tcW w:w="708" w:type="dxa"/>
            <w:shd w:val="clear" w:color="auto" w:fill="DBE5F1" w:themeFill="accent1" w:themeFillTint="33"/>
            <w:vAlign w:val="center"/>
          </w:tcPr>
          <w:p w:rsidR="00B744CA" w:rsidRPr="00B744CA" w:rsidRDefault="00B744CA" w:rsidP="00B744CA">
            <w:pPr>
              <w:spacing w:after="0" w:line="240" w:lineRule="auto"/>
              <w:ind w:hanging="234"/>
              <w:jc w:val="right"/>
              <w:rPr>
                <w:rFonts w:ascii="Arial" w:eastAsia="Times New Roman" w:hAnsi="Arial"/>
                <w:bCs/>
                <w:snapToGrid w:val="0"/>
                <w:sz w:val="14"/>
                <w:szCs w:val="14"/>
                <w:lang w:val="en-GB"/>
              </w:rPr>
            </w:pPr>
            <w:r w:rsidRPr="00B744CA">
              <w:rPr>
                <w:rFonts w:ascii="Arial" w:eastAsia="Times New Roman" w:hAnsi="Arial"/>
                <w:bCs/>
                <w:snapToGrid w:val="0"/>
                <w:sz w:val="14"/>
                <w:szCs w:val="14"/>
                <w:lang w:val="en-GB"/>
              </w:rPr>
              <w:t>0</w:t>
            </w:r>
          </w:p>
        </w:tc>
      </w:tr>
      <w:tr w:rsidR="00B744CA" w:rsidRPr="00B744CA" w:rsidTr="00B744CA">
        <w:trPr>
          <w:trHeight w:val="227"/>
        </w:trPr>
        <w:tc>
          <w:tcPr>
            <w:tcW w:w="3828" w:type="dxa"/>
            <w:tcBorders>
              <w:right w:val="single" w:sz="8" w:space="0" w:color="FFFFFF" w:themeColor="background1"/>
            </w:tcBorders>
            <w:shd w:val="clear" w:color="auto" w:fill="365F91" w:themeFill="accent1" w:themeFillShade="BF"/>
            <w:vAlign w:val="center"/>
          </w:tcPr>
          <w:p w:rsidR="00B744CA" w:rsidRPr="00B744CA" w:rsidRDefault="00B744CA" w:rsidP="00B744CA">
            <w:pPr>
              <w:spacing w:after="0" w:line="240" w:lineRule="auto"/>
              <w:rPr>
                <w:rFonts w:ascii="Arial" w:eastAsia="Times New Roman" w:hAnsi="Arial"/>
                <w:b/>
                <w:snapToGrid w:val="0"/>
                <w:color w:val="FFFFFF" w:themeColor="background1"/>
                <w:sz w:val="20"/>
                <w:szCs w:val="24"/>
                <w:lang w:val="nl-BE"/>
              </w:rPr>
            </w:pPr>
            <w:r w:rsidRPr="00B744CA">
              <w:rPr>
                <w:rFonts w:ascii="Arial" w:eastAsia="Times New Roman" w:hAnsi="Arial"/>
                <w:snapToGrid w:val="0"/>
                <w:color w:val="FFFFFF" w:themeColor="background1"/>
                <w:sz w:val="14"/>
                <w:szCs w:val="24"/>
                <w:lang w:val="nl-BE"/>
              </w:rPr>
              <w:t>Nettoresultaat volgens IFRS</w:t>
            </w:r>
          </w:p>
        </w:tc>
        <w:tc>
          <w:tcPr>
            <w:tcW w:w="653" w:type="dxa"/>
            <w:tcBorders>
              <w:left w:val="single" w:sz="8" w:space="0" w:color="FFFFFF" w:themeColor="background1"/>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p>
        </w:tc>
        <w:tc>
          <w:tcPr>
            <w:tcW w:w="763" w:type="dxa"/>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p>
        </w:tc>
        <w:tc>
          <w:tcPr>
            <w:tcW w:w="621" w:type="dxa"/>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p>
        </w:tc>
        <w:tc>
          <w:tcPr>
            <w:tcW w:w="638" w:type="dxa"/>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p>
        </w:tc>
        <w:tc>
          <w:tcPr>
            <w:tcW w:w="723" w:type="dxa"/>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p>
        </w:tc>
        <w:tc>
          <w:tcPr>
            <w:tcW w:w="696" w:type="dxa"/>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p>
        </w:tc>
        <w:tc>
          <w:tcPr>
            <w:tcW w:w="636" w:type="dxa"/>
            <w:gridSpan w:val="2"/>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p>
        </w:tc>
        <w:tc>
          <w:tcPr>
            <w:tcW w:w="564" w:type="dxa"/>
            <w:tcBorders>
              <w:right w:val="single" w:sz="8" w:space="0" w:color="1F497D" w:themeColor="text2"/>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p>
        </w:tc>
        <w:tc>
          <w:tcPr>
            <w:tcW w:w="660" w:type="dxa"/>
            <w:gridSpan w:val="2"/>
            <w:tcBorders>
              <w:left w:val="single" w:sz="8" w:space="0" w:color="1F497D" w:themeColor="text2"/>
            </w:tcBorders>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p>
        </w:tc>
        <w:tc>
          <w:tcPr>
            <w:tcW w:w="708" w:type="dxa"/>
            <w:shd w:val="clear" w:color="auto" w:fill="365F91" w:themeFill="accent1" w:themeFillShade="BF"/>
            <w:vAlign w:val="bottom"/>
          </w:tcPr>
          <w:p w:rsidR="00B744CA" w:rsidRPr="00B744CA" w:rsidRDefault="00B744CA" w:rsidP="00B744CA">
            <w:pPr>
              <w:spacing w:after="0" w:line="240" w:lineRule="auto"/>
              <w:jc w:val="right"/>
              <w:rPr>
                <w:rFonts w:ascii="Arial" w:eastAsia="Times New Roman" w:hAnsi="Arial"/>
                <w:bCs/>
                <w:snapToGrid w:val="0"/>
                <w:color w:val="FFFFFF" w:themeColor="background1"/>
                <w:sz w:val="14"/>
                <w:szCs w:val="14"/>
                <w:lang w:val="en-GB"/>
              </w:rPr>
            </w:pPr>
          </w:p>
        </w:tc>
      </w:tr>
      <w:tr w:rsidR="00B744CA" w:rsidRPr="00B744CA" w:rsidTr="00B744CA">
        <w:trPr>
          <w:trHeight w:val="227"/>
        </w:trPr>
        <w:tc>
          <w:tcPr>
            <w:tcW w:w="3828" w:type="dxa"/>
            <w:tcBorders>
              <w:bottom w:val="single" w:sz="8" w:space="0" w:color="1F497D" w:themeColor="text2"/>
              <w:right w:val="single" w:sz="8" w:space="0" w:color="1F497D" w:themeColor="text2"/>
            </w:tcBorders>
            <w:vAlign w:val="center"/>
          </w:tcPr>
          <w:p w:rsidR="00B744CA" w:rsidRPr="00B744CA" w:rsidRDefault="00B744CA" w:rsidP="00B744CA">
            <w:pPr>
              <w:spacing w:after="0" w:line="240" w:lineRule="auto"/>
              <w:rPr>
                <w:rFonts w:ascii="Arial" w:eastAsia="Times New Roman" w:hAnsi="Arial"/>
                <w:b/>
                <w:snapToGrid w:val="0"/>
                <w:sz w:val="20"/>
                <w:szCs w:val="24"/>
                <w:lang w:val="nl-BE"/>
              </w:rPr>
            </w:pPr>
            <w:r w:rsidRPr="00B744CA">
              <w:rPr>
                <w:rFonts w:ascii="Arial" w:eastAsia="Times New Roman" w:hAnsi="Arial"/>
                <w:b/>
                <w:snapToGrid w:val="0"/>
                <w:sz w:val="14"/>
                <w:szCs w:val="24"/>
                <w:lang w:val="nl-BE"/>
              </w:rPr>
              <w:t>Resultaat na belastingen, toerekenbaar aan de aandeelhouders van de moedermaatschappij: IFRS</w:t>
            </w:r>
          </w:p>
        </w:tc>
        <w:tc>
          <w:tcPr>
            <w:tcW w:w="653" w:type="dxa"/>
            <w:tcBorders>
              <w:left w:val="single" w:sz="8" w:space="0" w:color="1F497D" w:themeColor="text2"/>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520</w:t>
            </w:r>
          </w:p>
        </w:tc>
        <w:tc>
          <w:tcPr>
            <w:tcW w:w="763"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517</w:t>
            </w:r>
          </w:p>
        </w:tc>
        <w:tc>
          <w:tcPr>
            <w:tcW w:w="621" w:type="dxa"/>
            <w:tcBorders>
              <w:bottom w:val="single" w:sz="8" w:space="0" w:color="1F497D" w:themeColor="text2"/>
            </w:tcBorders>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272</w:t>
            </w:r>
          </w:p>
        </w:tc>
        <w:tc>
          <w:tcPr>
            <w:tcW w:w="638" w:type="dxa"/>
            <w:tcBorders>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-294</w:t>
            </w:r>
          </w:p>
        </w:tc>
        <w:tc>
          <w:tcPr>
            <w:tcW w:w="723" w:type="dxa"/>
            <w:tcBorders>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397</w:t>
            </w:r>
          </w:p>
        </w:tc>
        <w:tc>
          <w:tcPr>
            <w:tcW w:w="696" w:type="dxa"/>
            <w:tcBorders>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317</w:t>
            </w:r>
          </w:p>
        </w:tc>
        <w:tc>
          <w:tcPr>
            <w:tcW w:w="636" w:type="dxa"/>
            <w:gridSpan w:val="2"/>
            <w:tcBorders>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591</w:t>
            </w:r>
          </w:p>
        </w:tc>
        <w:tc>
          <w:tcPr>
            <w:tcW w:w="564" w:type="dxa"/>
            <w:tcBorders>
              <w:bottom w:val="single" w:sz="8" w:space="0" w:color="1F497D" w:themeColor="text2"/>
              <w:right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w:t>
            </w:r>
          </w:p>
        </w:tc>
        <w:tc>
          <w:tcPr>
            <w:tcW w:w="660" w:type="dxa"/>
            <w:gridSpan w:val="2"/>
            <w:tcBorders>
              <w:left w:val="single" w:sz="8" w:space="0" w:color="1F497D" w:themeColor="text2"/>
              <w:bottom w:val="single" w:sz="8" w:space="0" w:color="1F497D" w:themeColor="text2"/>
            </w:tcBorders>
            <w:shd w:val="clear" w:color="auto" w:fill="auto"/>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1 309</w:t>
            </w:r>
          </w:p>
        </w:tc>
        <w:tc>
          <w:tcPr>
            <w:tcW w:w="708" w:type="dxa"/>
            <w:tcBorders>
              <w:bottom w:val="single" w:sz="8" w:space="0" w:color="1F497D" w:themeColor="text2"/>
            </w:tcBorders>
            <w:shd w:val="clear" w:color="auto" w:fill="DBE5F1" w:themeFill="accent1" w:themeFillTint="33"/>
            <w:vAlign w:val="center"/>
          </w:tcPr>
          <w:p w:rsidR="00B744CA" w:rsidRPr="00B744CA" w:rsidRDefault="00B744CA" w:rsidP="00B744CA">
            <w:pPr>
              <w:spacing w:after="0" w:line="240" w:lineRule="auto"/>
              <w:jc w:val="right"/>
              <w:rPr>
                <w:rFonts w:ascii="Arial" w:eastAsia="Times New Roman" w:hAnsi="Arial"/>
                <w:b/>
                <w:bCs/>
                <w:snapToGrid w:val="0"/>
                <w:sz w:val="14"/>
                <w:szCs w:val="14"/>
                <w:lang w:val="en-GB"/>
              </w:rPr>
            </w:pPr>
            <w:r w:rsidRPr="00B744CA">
              <w:rPr>
                <w:rFonts w:ascii="Arial" w:eastAsia="Times New Roman" w:hAnsi="Arial"/>
                <w:b/>
                <w:bCs/>
                <w:snapToGrid w:val="0"/>
                <w:sz w:val="14"/>
                <w:szCs w:val="14"/>
                <w:lang w:val="en-GB"/>
              </w:rPr>
              <w:t>1 305</w:t>
            </w:r>
          </w:p>
        </w:tc>
      </w:tr>
    </w:tbl>
    <w:p w:rsidR="00B744CA" w:rsidRPr="00B744CA" w:rsidRDefault="00B744CA" w:rsidP="00B744CA">
      <w:pPr>
        <w:autoSpaceDE w:val="0"/>
        <w:autoSpaceDN w:val="0"/>
        <w:adjustRightInd w:val="0"/>
        <w:spacing w:after="120" w:line="240" w:lineRule="auto"/>
        <w:ind w:left="992" w:right="6"/>
        <w:jc w:val="both"/>
        <w:rPr>
          <w:rFonts w:cs="Arial"/>
          <w:color w:val="003768"/>
          <w:sz w:val="16"/>
          <w:szCs w:val="16"/>
          <w:lang w:val="nl-BE"/>
        </w:rPr>
      </w:pPr>
      <w:r w:rsidRPr="00B744CA">
        <w:rPr>
          <w:rFonts w:cs="Arial"/>
          <w:color w:val="003768"/>
          <w:sz w:val="16"/>
          <w:szCs w:val="16"/>
          <w:lang w:val="nl-BE"/>
        </w:rPr>
        <w:t>De referentiecijfers voor 2013 zijn licht aangepast ingevolge de toepassing van de nieuwe IFRS 11-norm. Die norm bepaalt dat gemeenschappelijke ondernemingen worden geconsolideerd volgens de vermogensmutatiemethode en niet meer volgens de proportionele methode. Voor KBC geldt dat voor ČMSS, een gemeenschappelijke onderneming van ČSOB in Tsjechië. Die wijziging heeft geen gevolgen voor het nettoresultaat, maar beïnvloedt wel verschillende posten van de geconsolideerde winst-en-verliesrekening.</w:t>
      </w:r>
    </w:p>
    <w:p w:rsidR="00B744CA" w:rsidRDefault="00B744CA" w:rsidP="00B744CA">
      <w:pPr>
        <w:autoSpaceDE w:val="0"/>
        <w:autoSpaceDN w:val="0"/>
        <w:adjustRightInd w:val="0"/>
        <w:spacing w:after="120" w:line="240" w:lineRule="auto"/>
        <w:ind w:left="992" w:right="6"/>
        <w:jc w:val="both"/>
        <w:rPr>
          <w:rFonts w:cs="Arial"/>
          <w:color w:val="003768"/>
          <w:lang w:val="nl-BE"/>
        </w:rPr>
      </w:pPr>
    </w:p>
    <w:p w:rsidR="00B744CA" w:rsidRPr="00173DD8" w:rsidRDefault="00173DD8" w:rsidP="00173DD8">
      <w:pPr>
        <w:autoSpaceDE w:val="0"/>
        <w:autoSpaceDN w:val="0"/>
        <w:adjustRightInd w:val="0"/>
        <w:spacing w:before="120" w:after="0" w:line="240" w:lineRule="auto"/>
        <w:ind w:left="992" w:right="6"/>
        <w:jc w:val="both"/>
        <w:rPr>
          <w:rFonts w:ascii="Rockwell" w:hAnsi="Rockwell" w:cs="Arial"/>
          <w:b/>
          <w:bCs/>
          <w:color w:val="003768"/>
          <w:sz w:val="28"/>
          <w:szCs w:val="28"/>
          <w:lang w:val="nl-BE"/>
        </w:rPr>
      </w:pPr>
      <w:r w:rsidRPr="00173DD8">
        <w:rPr>
          <w:rFonts w:ascii="Rockwell" w:hAnsi="Rockwell" w:cs="Arial"/>
          <w:b/>
          <w:bCs/>
          <w:color w:val="003768"/>
          <w:sz w:val="28"/>
          <w:szCs w:val="28"/>
          <w:lang w:val="nl-BE"/>
        </w:rPr>
        <w:t>Analyse van het betrokken kwartaal (3KW2014)</w:t>
      </w:r>
    </w:p>
    <w:p w:rsidR="00B744CA" w:rsidRDefault="00B744CA" w:rsidP="00B744CA">
      <w:pPr>
        <w:autoSpaceDE w:val="0"/>
        <w:autoSpaceDN w:val="0"/>
        <w:adjustRightInd w:val="0"/>
        <w:spacing w:after="120" w:line="240" w:lineRule="auto"/>
        <w:ind w:left="992" w:right="6"/>
        <w:jc w:val="both"/>
        <w:rPr>
          <w:rFonts w:cs="Arial"/>
          <w:color w:val="003768"/>
          <w:lang w:val="nl-BE"/>
        </w:rPr>
      </w:pPr>
    </w:p>
    <w:p w:rsidR="00173DD8" w:rsidRPr="00173DD8" w:rsidRDefault="00173DD8" w:rsidP="00B744CA">
      <w:pPr>
        <w:autoSpaceDE w:val="0"/>
        <w:autoSpaceDN w:val="0"/>
        <w:adjustRightInd w:val="0"/>
        <w:spacing w:after="120" w:line="240" w:lineRule="auto"/>
        <w:ind w:left="992" w:right="6"/>
        <w:jc w:val="both"/>
        <w:rPr>
          <w:rFonts w:cs="Arial"/>
          <w:color w:val="003768"/>
          <w:sz w:val="16"/>
          <w:szCs w:val="16"/>
          <w:lang w:val="nl-BE"/>
        </w:rPr>
      </w:pPr>
      <w:r>
        <w:rPr>
          <w:rFonts w:cs="Arial"/>
          <w:color w:val="003768"/>
          <w:lang w:val="nl-BE"/>
        </w:rPr>
        <w:t xml:space="preserve">        </w:t>
      </w:r>
      <w:r w:rsidRPr="00173DD8">
        <w:rPr>
          <w:rFonts w:cs="Arial"/>
          <w:color w:val="003768"/>
          <w:lang w:val="nl-BE"/>
        </w:rPr>
        <w:t xml:space="preserve"> </w:t>
      </w:r>
      <w:r w:rsidRPr="00173DD8">
        <w:rPr>
          <w:rFonts w:cs="Arial"/>
          <w:color w:val="003768"/>
          <w:sz w:val="16"/>
          <w:szCs w:val="16"/>
          <w:lang w:val="nl-BE"/>
        </w:rPr>
        <w:t xml:space="preserve">Aangepast nettoresultaat (in miljoenen euro)   </w:t>
      </w:r>
      <w:r>
        <w:rPr>
          <w:rFonts w:cs="Arial"/>
          <w:color w:val="003768"/>
          <w:sz w:val="16"/>
          <w:szCs w:val="16"/>
          <w:lang w:val="nl-BE"/>
        </w:rPr>
        <w:tab/>
        <w:t xml:space="preserve">         </w:t>
      </w:r>
      <w:r w:rsidRPr="00173DD8">
        <w:rPr>
          <w:rFonts w:cs="Arial"/>
          <w:color w:val="003768"/>
          <w:sz w:val="16"/>
          <w:szCs w:val="16"/>
          <w:lang w:val="nl-BE"/>
        </w:rPr>
        <w:t xml:space="preserve">Aangepast nettoresultaat per divisie, 3KW2014 (in miljoenen euro)                                   </w:t>
      </w:r>
    </w:p>
    <w:p w:rsidR="00173DD8" w:rsidRDefault="00173DD8" w:rsidP="00B744CA">
      <w:pPr>
        <w:autoSpaceDE w:val="0"/>
        <w:autoSpaceDN w:val="0"/>
        <w:adjustRightInd w:val="0"/>
        <w:spacing w:after="120" w:line="240" w:lineRule="auto"/>
        <w:ind w:left="992" w:right="6"/>
        <w:jc w:val="both"/>
        <w:rPr>
          <w:rFonts w:cs="Arial"/>
          <w:color w:val="003768"/>
          <w:lang w:val="nl-BE"/>
        </w:rPr>
      </w:pPr>
    </w:p>
    <w:p w:rsidR="00B744CA" w:rsidRDefault="00173DD8" w:rsidP="00B744CA">
      <w:pPr>
        <w:autoSpaceDE w:val="0"/>
        <w:autoSpaceDN w:val="0"/>
        <w:adjustRightInd w:val="0"/>
        <w:spacing w:after="120" w:line="240" w:lineRule="auto"/>
        <w:ind w:left="992" w:right="6"/>
        <w:jc w:val="both"/>
        <w:rPr>
          <w:rFonts w:cs="Arial"/>
          <w:color w:val="003768"/>
          <w:lang w:val="nl-BE"/>
        </w:rPr>
      </w:pPr>
      <w:r>
        <w:rPr>
          <w:rFonts w:cs="Arial"/>
          <w:noProof/>
          <w:color w:val="003768"/>
          <w:lang w:val="nl-BE" w:eastAsia="nl-BE"/>
        </w:rPr>
        <w:drawing>
          <wp:anchor distT="0" distB="0" distL="114300" distR="114300" simplePos="0" relativeHeight="251661312" behindDoc="0" locked="0" layoutInCell="1" allowOverlap="1" wp14:anchorId="0134C159" wp14:editId="5FEA132D">
            <wp:simplePos x="0" y="0"/>
            <wp:positionH relativeFrom="column">
              <wp:posOffset>3552825</wp:posOffset>
            </wp:positionH>
            <wp:positionV relativeFrom="paragraph">
              <wp:posOffset>43180</wp:posOffset>
            </wp:positionV>
            <wp:extent cx="2981325" cy="1898650"/>
            <wp:effectExtent l="0" t="0" r="952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325" cy="1898650"/>
                    </a:xfrm>
                    <a:prstGeom prst="rect">
                      <a:avLst/>
                    </a:prstGeom>
                    <a:noFill/>
                  </pic:spPr>
                </pic:pic>
              </a:graphicData>
            </a:graphic>
            <wp14:sizeRelH relativeFrom="page">
              <wp14:pctWidth>0</wp14:pctWidth>
            </wp14:sizeRelH>
            <wp14:sizeRelV relativeFrom="page">
              <wp14:pctHeight>0</wp14:pctHeight>
            </wp14:sizeRelV>
          </wp:anchor>
        </w:drawing>
      </w:r>
    </w:p>
    <w:p w:rsidR="00173DD8" w:rsidRDefault="00173DD8" w:rsidP="00B744CA">
      <w:pPr>
        <w:autoSpaceDE w:val="0"/>
        <w:autoSpaceDN w:val="0"/>
        <w:adjustRightInd w:val="0"/>
        <w:spacing w:after="120" w:line="240" w:lineRule="auto"/>
        <w:ind w:left="992" w:right="6"/>
        <w:jc w:val="both"/>
        <w:rPr>
          <w:rFonts w:cs="Arial"/>
          <w:color w:val="003768"/>
          <w:lang w:val="nl-BE"/>
        </w:rPr>
      </w:pPr>
      <w:r>
        <w:rPr>
          <w:rFonts w:cs="Arial"/>
          <w:noProof/>
          <w:color w:val="003768"/>
          <w:lang w:val="nl-BE" w:eastAsia="nl-BE"/>
        </w:rPr>
        <w:drawing>
          <wp:anchor distT="0" distB="0" distL="114300" distR="114300" simplePos="0" relativeHeight="251662336" behindDoc="0" locked="0" layoutInCell="1" allowOverlap="1" wp14:anchorId="7760C575" wp14:editId="5684137C">
            <wp:simplePos x="0" y="0"/>
            <wp:positionH relativeFrom="column">
              <wp:posOffset>633730</wp:posOffset>
            </wp:positionH>
            <wp:positionV relativeFrom="paragraph">
              <wp:posOffset>25400</wp:posOffset>
            </wp:positionV>
            <wp:extent cx="2631440" cy="197167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1440" cy="1971675"/>
                    </a:xfrm>
                    <a:prstGeom prst="rect">
                      <a:avLst/>
                    </a:prstGeom>
                    <a:noFill/>
                  </pic:spPr>
                </pic:pic>
              </a:graphicData>
            </a:graphic>
            <wp14:sizeRelH relativeFrom="page">
              <wp14:pctWidth>0</wp14:pctWidth>
            </wp14:sizeRelH>
            <wp14:sizeRelV relativeFrom="page">
              <wp14:pctHeight>0</wp14:pctHeight>
            </wp14:sizeRelV>
          </wp:anchor>
        </w:drawing>
      </w:r>
    </w:p>
    <w:p w:rsidR="00173DD8" w:rsidRDefault="00173DD8" w:rsidP="00B744CA">
      <w:pPr>
        <w:autoSpaceDE w:val="0"/>
        <w:autoSpaceDN w:val="0"/>
        <w:adjustRightInd w:val="0"/>
        <w:spacing w:after="120" w:line="240" w:lineRule="auto"/>
        <w:ind w:left="992" w:right="6"/>
        <w:jc w:val="both"/>
        <w:rPr>
          <w:rFonts w:cs="Arial"/>
          <w:color w:val="003768"/>
          <w:lang w:val="nl-BE"/>
        </w:rPr>
      </w:pPr>
    </w:p>
    <w:p w:rsidR="00173DD8" w:rsidRDefault="00173DD8" w:rsidP="00B744CA">
      <w:pPr>
        <w:autoSpaceDE w:val="0"/>
        <w:autoSpaceDN w:val="0"/>
        <w:adjustRightInd w:val="0"/>
        <w:spacing w:after="120" w:line="240" w:lineRule="auto"/>
        <w:ind w:left="992" w:right="6"/>
        <w:jc w:val="both"/>
        <w:rPr>
          <w:rFonts w:cs="Arial"/>
          <w:color w:val="003768"/>
          <w:lang w:val="nl-BE"/>
        </w:rPr>
      </w:pPr>
    </w:p>
    <w:p w:rsidR="00B744CA" w:rsidRPr="00B744CA" w:rsidRDefault="00B744CA" w:rsidP="00B744CA">
      <w:pPr>
        <w:autoSpaceDE w:val="0"/>
        <w:autoSpaceDN w:val="0"/>
        <w:adjustRightInd w:val="0"/>
        <w:spacing w:after="120" w:line="240" w:lineRule="auto"/>
        <w:ind w:left="992" w:right="6"/>
        <w:jc w:val="both"/>
        <w:rPr>
          <w:rFonts w:cs="Arial"/>
          <w:color w:val="003768"/>
          <w:lang w:val="nl-BE"/>
        </w:rPr>
      </w:pPr>
    </w:p>
    <w:p w:rsidR="00173DD8" w:rsidRPr="00715235" w:rsidRDefault="00B91505" w:rsidP="00B744CA">
      <w:pPr>
        <w:autoSpaceDE w:val="0"/>
        <w:autoSpaceDN w:val="0"/>
        <w:adjustRightInd w:val="0"/>
        <w:spacing w:after="120" w:line="240" w:lineRule="auto"/>
        <w:ind w:left="992" w:right="6"/>
        <w:jc w:val="both"/>
        <w:rPr>
          <w:rFonts w:cs="Arial"/>
          <w:color w:val="003768"/>
          <w:lang w:val="nl-BE"/>
        </w:rPr>
      </w:pPr>
      <w:r w:rsidRPr="00715235">
        <w:rPr>
          <w:rFonts w:cs="Arial"/>
          <w:color w:val="003768"/>
          <w:lang w:val="nl-BE"/>
        </w:rPr>
        <w:t xml:space="preserve">Lorem </w:t>
      </w:r>
    </w:p>
    <w:p w:rsidR="00173DD8" w:rsidRPr="00173DD8" w:rsidRDefault="00173DD8" w:rsidP="00B744CA">
      <w:pPr>
        <w:autoSpaceDE w:val="0"/>
        <w:autoSpaceDN w:val="0"/>
        <w:adjustRightInd w:val="0"/>
        <w:spacing w:after="120" w:line="240" w:lineRule="auto"/>
        <w:ind w:left="992" w:right="6"/>
        <w:jc w:val="both"/>
        <w:rPr>
          <w:rFonts w:cs="Arial"/>
          <w:b/>
          <w:color w:val="003768"/>
          <w:lang w:val="nl-BE"/>
        </w:rPr>
      </w:pPr>
      <w:r w:rsidRPr="00173DD8">
        <w:rPr>
          <w:rFonts w:cs="Arial"/>
          <w:b/>
          <w:color w:val="003768"/>
          <w:lang w:val="nl-BE"/>
        </w:rPr>
        <w:t xml:space="preserve">Het nettoresultaat voor het derde kwartaal van 2014 bedroeg 591 miljoen euro. Zonder de </w:t>
      </w:r>
      <w:proofErr w:type="spellStart"/>
      <w:r w:rsidRPr="00173DD8">
        <w:rPr>
          <w:rFonts w:cs="Arial"/>
          <w:b/>
          <w:color w:val="003768"/>
          <w:lang w:val="nl-BE"/>
        </w:rPr>
        <w:t>legacy</w:t>
      </w:r>
      <w:proofErr w:type="spellEnd"/>
      <w:r w:rsidRPr="00173DD8">
        <w:rPr>
          <w:rFonts w:cs="Arial"/>
          <w:b/>
          <w:color w:val="003768"/>
          <w:lang w:val="nl-BE"/>
        </w:rPr>
        <w:t xml:space="preserve">-activiteiten en de invloed van het eigen kredietrisico, bedroeg het aangepaste nettoresultaat </w:t>
      </w:r>
      <w:r w:rsidR="00CB1F58">
        <w:rPr>
          <w:rFonts w:cs="Arial"/>
          <w:b/>
          <w:color w:val="003768"/>
          <w:lang w:val="nl-BE"/>
        </w:rPr>
        <w:t xml:space="preserve">                  </w:t>
      </w:r>
      <w:r w:rsidRPr="00173DD8">
        <w:rPr>
          <w:rFonts w:cs="Arial"/>
          <w:b/>
          <w:color w:val="003768"/>
          <w:lang w:val="nl-BE"/>
        </w:rPr>
        <w:t>477 miljoen euro, tegenover 287 miljoen euro in het tweede kwartaal van 2014 en 457 miljoen euro in het derde kwartaal van 2013.</w:t>
      </w:r>
    </w:p>
    <w:p w:rsidR="00792DBF" w:rsidRDefault="00792DBF" w:rsidP="00B744CA">
      <w:pPr>
        <w:autoSpaceDE w:val="0"/>
        <w:autoSpaceDN w:val="0"/>
        <w:adjustRightInd w:val="0"/>
        <w:spacing w:after="120" w:line="240" w:lineRule="auto"/>
        <w:ind w:left="992" w:right="6"/>
        <w:jc w:val="both"/>
        <w:rPr>
          <w:rFonts w:cs="Arial"/>
          <w:b/>
          <w:color w:val="003768"/>
          <w:lang w:val="nl-BE"/>
        </w:rPr>
      </w:pPr>
    </w:p>
    <w:p w:rsidR="00173DD8" w:rsidRPr="00173DD8" w:rsidRDefault="00173DD8" w:rsidP="00B744CA">
      <w:pPr>
        <w:autoSpaceDE w:val="0"/>
        <w:autoSpaceDN w:val="0"/>
        <w:adjustRightInd w:val="0"/>
        <w:spacing w:after="120" w:line="240" w:lineRule="auto"/>
        <w:ind w:left="992" w:right="6"/>
        <w:jc w:val="both"/>
        <w:rPr>
          <w:rFonts w:cs="Arial"/>
          <w:b/>
          <w:color w:val="003768"/>
          <w:lang w:val="nl-BE"/>
        </w:rPr>
      </w:pPr>
      <w:r w:rsidRPr="00173DD8">
        <w:rPr>
          <w:rFonts w:cs="Arial"/>
          <w:b/>
          <w:color w:val="003768"/>
          <w:lang w:val="nl-BE"/>
        </w:rPr>
        <w:t>Totale opbrengsten (aangepast nettoresultaat)</w:t>
      </w:r>
    </w:p>
    <w:p w:rsidR="00173DD8" w:rsidRP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De </w:t>
      </w:r>
      <w:proofErr w:type="spellStart"/>
      <w:r w:rsidRPr="00173DD8">
        <w:rPr>
          <w:rFonts w:cs="Arial"/>
          <w:color w:val="003768"/>
          <w:lang w:val="nl-BE"/>
        </w:rPr>
        <w:t>nettorente</w:t>
      </w:r>
      <w:proofErr w:type="spellEnd"/>
      <w:r w:rsidRPr="00173DD8">
        <w:rPr>
          <w:rFonts w:cs="Arial"/>
          <w:color w:val="003768"/>
          <w:lang w:val="nl-BE"/>
        </w:rPr>
        <w:t xml:space="preserve">-inkomsten bedroegen 1 109 miljoen euro, een stijging van 6% tegenover het vorige kwartaal en van 11% ten opzichte van vorig jaar. De </w:t>
      </w:r>
      <w:proofErr w:type="spellStart"/>
      <w:r w:rsidRPr="00173DD8">
        <w:rPr>
          <w:rFonts w:cs="Arial"/>
          <w:color w:val="003768"/>
          <w:lang w:val="nl-BE"/>
        </w:rPr>
        <w:t>nettorentemarge</w:t>
      </w:r>
      <w:proofErr w:type="spellEnd"/>
      <w:r w:rsidRPr="00173DD8">
        <w:rPr>
          <w:rFonts w:cs="Arial"/>
          <w:color w:val="003768"/>
          <w:lang w:val="nl-BE"/>
        </w:rPr>
        <w:t xml:space="preserve"> voor het betrokken kwartaal bedroeg 2,15%, 10 basispunten hoger dan het vorige kwartaal en 26 basispunten hoger dan het (</w:t>
      </w:r>
      <w:proofErr w:type="spellStart"/>
      <w:r w:rsidRPr="00173DD8">
        <w:rPr>
          <w:rFonts w:cs="Arial"/>
          <w:color w:val="003768"/>
          <w:lang w:val="nl-BE"/>
        </w:rPr>
        <w:t>herberekende</w:t>
      </w:r>
      <w:proofErr w:type="spellEnd"/>
      <w:r w:rsidRPr="00173DD8">
        <w:rPr>
          <w:rFonts w:cs="Arial"/>
          <w:color w:val="003768"/>
          <w:lang w:val="nl-BE"/>
        </w:rPr>
        <w:t xml:space="preserve">) niveau van een jaar geleden. Die stijging was voornamelijk te danken aan gezonde commerciële marges, lagere financieringskosten en hogere terugbetalingsvergoedingen. </w:t>
      </w:r>
      <w:r w:rsidR="00CB1F58">
        <w:rPr>
          <w:rFonts w:cs="Arial"/>
          <w:color w:val="003768"/>
          <w:lang w:val="nl-BE"/>
        </w:rPr>
        <w:t xml:space="preserve">                              </w:t>
      </w:r>
      <w:r w:rsidRPr="00173DD8">
        <w:rPr>
          <w:rFonts w:cs="Arial"/>
          <w:color w:val="003768"/>
          <w:lang w:val="nl-BE"/>
        </w:rPr>
        <w:t xml:space="preserve">De depositovolumes stegen met 1% ten opzichte van het vorige kwartaal maar daalden met 1% ten opzichte van een jaar geleden (volledig te wijten aan vervallende </w:t>
      </w:r>
      <w:proofErr w:type="spellStart"/>
      <w:r w:rsidRPr="00173DD8">
        <w:rPr>
          <w:rFonts w:cs="Arial"/>
          <w:color w:val="003768"/>
          <w:lang w:val="nl-BE"/>
        </w:rPr>
        <w:t>wholesaleschulden</w:t>
      </w:r>
      <w:proofErr w:type="spellEnd"/>
      <w:r w:rsidRPr="00173DD8">
        <w:rPr>
          <w:rFonts w:cs="Arial"/>
          <w:color w:val="003768"/>
          <w:lang w:val="nl-BE"/>
        </w:rPr>
        <w:t xml:space="preserve">). </w:t>
      </w:r>
      <w:r w:rsidR="00CB1F58">
        <w:rPr>
          <w:rFonts w:cs="Arial"/>
          <w:color w:val="003768"/>
          <w:lang w:val="nl-BE"/>
        </w:rPr>
        <w:t xml:space="preserve">                                    </w:t>
      </w:r>
      <w:r w:rsidRPr="00173DD8">
        <w:rPr>
          <w:rFonts w:cs="Arial"/>
          <w:color w:val="003768"/>
          <w:lang w:val="nl-BE"/>
        </w:rPr>
        <w:t xml:space="preserve">De kredietvolumes stegen met 1%, zowel ten opzichte van het vorige kwartaal als een jaar geleden. </w:t>
      </w:r>
      <w:r w:rsidR="00CB1F58">
        <w:rPr>
          <w:rFonts w:cs="Arial"/>
          <w:color w:val="003768"/>
          <w:lang w:val="nl-BE"/>
        </w:rPr>
        <w:t xml:space="preserve">              </w:t>
      </w:r>
      <w:r w:rsidRPr="00173DD8">
        <w:rPr>
          <w:rFonts w:cs="Arial"/>
          <w:color w:val="003768"/>
          <w:lang w:val="nl-BE"/>
        </w:rPr>
        <w:t xml:space="preserve">De kredietportefeuille in de divisie België is kwartaal-op-kwartaal met 1% gestegen en jaar-op-jaar met 2%. De deposito's in de divisie België zijn kwartaal-op-kwartaal met 3% gegroeid en jaar-op-jaar met 4%. De kredietportefeuille in de divisie Tsjechië steeg met 6% jaar-op-jaar en met </w:t>
      </w:r>
      <w:r w:rsidR="00CB1F58">
        <w:rPr>
          <w:rFonts w:cs="Arial"/>
          <w:color w:val="003768"/>
          <w:lang w:val="nl-BE"/>
        </w:rPr>
        <w:t xml:space="preserve">                                    </w:t>
      </w:r>
      <w:r w:rsidRPr="00173DD8">
        <w:rPr>
          <w:rFonts w:cs="Arial"/>
          <w:color w:val="003768"/>
          <w:lang w:val="nl-BE"/>
        </w:rPr>
        <w:t>2% kwartaal-op-kwartaal. De deposito’s stegen er met 8% jaar-op-jaar en met 1% kwartaal-op-kwartaal.</w:t>
      </w:r>
      <w:r w:rsidR="00CB1F58">
        <w:rPr>
          <w:rFonts w:cs="Arial"/>
          <w:color w:val="003768"/>
          <w:lang w:val="nl-BE"/>
        </w:rPr>
        <w:t xml:space="preserve">  </w:t>
      </w:r>
      <w:r w:rsidRPr="00173DD8">
        <w:rPr>
          <w:rFonts w:cs="Arial"/>
          <w:color w:val="003768"/>
          <w:lang w:val="nl-BE"/>
        </w:rPr>
        <w:t xml:space="preserve">De kredietportefeuille in de divisie Internationale Markten daalde jaar-op-jaar met 6%. Dat is toe te schrijven aan de inkrimping van de Ierse kredietportefeuille, waardoor de sterke groei in Bulgarije en Slowakije tenietgedaan wordt. Kwartaal-op-kwartaal bleef de kredietportefeuille ongeveer gelijk. De depositobasis steeg er met 1% jaar-op-jaar (voornamelijk dankzij Ierland, waar een succesvolle </w:t>
      </w:r>
      <w:proofErr w:type="spellStart"/>
      <w:r w:rsidRPr="00173DD8">
        <w:rPr>
          <w:rFonts w:cs="Arial"/>
          <w:color w:val="003768"/>
          <w:lang w:val="nl-BE"/>
        </w:rPr>
        <w:t>retailcampagne</w:t>
      </w:r>
      <w:proofErr w:type="spellEnd"/>
      <w:r w:rsidRPr="00173DD8">
        <w:rPr>
          <w:rFonts w:cs="Arial"/>
          <w:color w:val="003768"/>
          <w:lang w:val="nl-BE"/>
        </w:rPr>
        <w:t xml:space="preserve"> loopt) en met 2% kwartaal-op-kwartaal.</w:t>
      </w:r>
    </w:p>
    <w:p w:rsidR="00173DD8" w:rsidRP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Leven en Niet-Leven behaalden tijdens het betrokken kwartaal de volgende resultaten. Na aftrek van de bruto technische lasten en het nettoresultaat uit afgestane herverzekering bedroegen de bruto verdiende premies in totaal 86 miljoen euro, een stijging van 32% ten opzichte van het vorige kwartaal en van 4% ten opzichte van vorig jaar. </w:t>
      </w:r>
    </w:p>
    <w:p w:rsidR="00173DD8" w:rsidRDefault="00173DD8" w:rsidP="00792DBF">
      <w:pPr>
        <w:pStyle w:val="ListParagraph"/>
        <w:autoSpaceDE w:val="0"/>
        <w:autoSpaceDN w:val="0"/>
        <w:adjustRightInd w:val="0"/>
        <w:spacing w:after="120" w:line="240" w:lineRule="auto"/>
        <w:ind w:left="1442" w:right="6"/>
        <w:contextualSpacing w:val="0"/>
        <w:jc w:val="both"/>
        <w:rPr>
          <w:rFonts w:cs="Arial"/>
          <w:color w:val="003768"/>
          <w:lang w:val="nl-BE"/>
        </w:rPr>
      </w:pPr>
      <w:r w:rsidRPr="00173DD8">
        <w:rPr>
          <w:rFonts w:cs="Arial"/>
          <w:color w:val="003768"/>
          <w:lang w:val="nl-BE"/>
        </w:rPr>
        <w:t xml:space="preserve">In Niet-Leven zijn de verdiende premies ten opzichte van het vorige kwartaal met 2% gestegen en ten opzichte van vorig jaar gelijk gebleven. Er waren in het derde kwartaal beduidend minder schadeclaims (-14%) dan in het voorgaande kwartaal (door de hagelschade in België in het tweede kwartaal van 2014) en iets meer (4%) dan in het derde kwartaal van 2013. Niettemin bedroeg de gecombineerde ratio een solide 93% </w:t>
      </w:r>
      <w:proofErr w:type="spellStart"/>
      <w:r w:rsidRPr="00173DD8">
        <w:rPr>
          <w:rFonts w:cs="Arial"/>
          <w:color w:val="003768"/>
          <w:lang w:val="nl-BE"/>
        </w:rPr>
        <w:t>year</w:t>
      </w:r>
      <w:proofErr w:type="spellEnd"/>
      <w:r w:rsidRPr="00173DD8">
        <w:rPr>
          <w:rFonts w:cs="Arial"/>
          <w:color w:val="003768"/>
          <w:lang w:val="nl-BE"/>
        </w:rPr>
        <w:t>-</w:t>
      </w:r>
      <w:proofErr w:type="spellStart"/>
      <w:r w:rsidRPr="00173DD8">
        <w:rPr>
          <w:rFonts w:cs="Arial"/>
          <w:color w:val="003768"/>
          <w:lang w:val="nl-BE"/>
        </w:rPr>
        <w:t>to</w:t>
      </w:r>
      <w:proofErr w:type="spellEnd"/>
      <w:r w:rsidRPr="00173DD8">
        <w:rPr>
          <w:rFonts w:cs="Arial"/>
          <w:color w:val="003768"/>
          <w:lang w:val="nl-BE"/>
        </w:rPr>
        <w:t xml:space="preserve">-date. </w:t>
      </w:r>
      <w:r>
        <w:rPr>
          <w:rFonts w:cs="Arial"/>
          <w:color w:val="003768"/>
          <w:lang w:val="nl-BE"/>
        </w:rPr>
        <w:br w:type="page"/>
      </w:r>
    </w:p>
    <w:p w:rsidR="00186A5F" w:rsidRDefault="00186A5F" w:rsidP="00173DD8">
      <w:pPr>
        <w:pStyle w:val="ListParagraph"/>
        <w:autoSpaceDE w:val="0"/>
        <w:autoSpaceDN w:val="0"/>
        <w:adjustRightInd w:val="0"/>
        <w:spacing w:after="120" w:line="240" w:lineRule="auto"/>
        <w:ind w:left="1442" w:right="6"/>
        <w:contextualSpacing w:val="0"/>
        <w:jc w:val="both"/>
        <w:rPr>
          <w:rFonts w:cs="Arial"/>
          <w:color w:val="003768"/>
          <w:lang w:val="nl-BE"/>
        </w:rPr>
      </w:pPr>
    </w:p>
    <w:p w:rsidR="00173DD8" w:rsidRPr="00173DD8" w:rsidRDefault="00173DD8" w:rsidP="00173DD8">
      <w:pPr>
        <w:pStyle w:val="ListParagraph"/>
        <w:autoSpaceDE w:val="0"/>
        <w:autoSpaceDN w:val="0"/>
        <w:adjustRightInd w:val="0"/>
        <w:spacing w:after="120" w:line="240" w:lineRule="auto"/>
        <w:ind w:left="1442" w:right="6"/>
        <w:contextualSpacing w:val="0"/>
        <w:jc w:val="both"/>
        <w:rPr>
          <w:rFonts w:cs="Arial"/>
          <w:color w:val="003768"/>
          <w:lang w:val="nl-BE"/>
        </w:rPr>
      </w:pPr>
      <w:r w:rsidRPr="00173DD8">
        <w:rPr>
          <w:rFonts w:cs="Arial"/>
          <w:color w:val="003768"/>
          <w:lang w:val="nl-BE"/>
        </w:rPr>
        <w:t xml:space="preserve">In Leven steeg de verkoop van levensverzekeringsproducten (met inbegrip van tak 23-producten die niet in de premie-inkomsten worden </w:t>
      </w:r>
      <w:proofErr w:type="spellStart"/>
      <w:r w:rsidRPr="00173DD8">
        <w:rPr>
          <w:rFonts w:cs="Arial"/>
          <w:color w:val="003768"/>
          <w:lang w:val="nl-BE"/>
        </w:rPr>
        <w:t>ingeteld</w:t>
      </w:r>
      <w:proofErr w:type="spellEnd"/>
      <w:r w:rsidRPr="00173DD8">
        <w:rPr>
          <w:rFonts w:cs="Arial"/>
          <w:color w:val="003768"/>
          <w:lang w:val="nl-BE"/>
        </w:rPr>
        <w:t xml:space="preserve">) met 12% ten opzichte van het tweede kwartaal van 2014 dankzij de groei bij de tak 23-producten. Ten opzichte van vorig jaar zien we een stijging van 50% dankzij de toegenomen verkoop van tak 21- en tak 23-producten. </w:t>
      </w:r>
    </w:p>
    <w:p w:rsidR="00173DD8" w:rsidRPr="00173DD8" w:rsidRDefault="00173DD8" w:rsidP="00173DD8">
      <w:pPr>
        <w:pStyle w:val="ListParagraph"/>
        <w:autoSpaceDE w:val="0"/>
        <w:autoSpaceDN w:val="0"/>
        <w:adjustRightInd w:val="0"/>
        <w:spacing w:after="120" w:line="240" w:lineRule="auto"/>
        <w:ind w:left="1442" w:right="6"/>
        <w:contextualSpacing w:val="0"/>
        <w:jc w:val="both"/>
        <w:rPr>
          <w:rFonts w:cs="Arial"/>
          <w:color w:val="003768"/>
          <w:lang w:val="nl-BE"/>
        </w:rPr>
      </w:pPr>
      <w:r w:rsidRPr="00173DD8">
        <w:rPr>
          <w:rFonts w:cs="Arial"/>
          <w:color w:val="003768"/>
          <w:lang w:val="nl-BE"/>
        </w:rPr>
        <w:t xml:space="preserve">Het derde kwartaal was behoorlijk inzake beleggingsopbrengsten uit verzekeringsactiviteiten, hoewel er een daling was ten opzichte van het tweede kwartaal. De resultaten werden ondersteund door hogere </w:t>
      </w:r>
      <w:proofErr w:type="spellStart"/>
      <w:r w:rsidRPr="00173DD8">
        <w:rPr>
          <w:rFonts w:cs="Arial"/>
          <w:color w:val="003768"/>
          <w:lang w:val="nl-BE"/>
        </w:rPr>
        <w:t>nettorente</w:t>
      </w:r>
      <w:proofErr w:type="spellEnd"/>
      <w:r w:rsidRPr="00173DD8">
        <w:rPr>
          <w:rFonts w:cs="Arial"/>
          <w:color w:val="003768"/>
          <w:lang w:val="nl-BE"/>
        </w:rPr>
        <w:t xml:space="preserve">-inkomsten ten opzichte van het voorgaande kwartaal, maar de dividendinkomsten waren lager na een seizoensgebonden sterk tweede kwartaal, net als de gerealiseerde winst uit voor verkoop beschikbare activa in de beleggingsportefeuille. Ten slotte ging ook het technisch-financiële resultaat erop vooruit dankzij de strikte controle van de algemene beheerskosten. </w:t>
      </w:r>
    </w:p>
    <w:p w:rsidR="00173DD8" w:rsidRP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Het nettoresultaat uit financiële instrumenten tegen reële waarde bedroeg in het betrokken kwartaal 49 miljoen euro. Dat is beduidend lager dan het gemiddelde van 90 miljoen euro van de </w:t>
      </w:r>
      <w:r w:rsidR="00CB1F58">
        <w:rPr>
          <w:rFonts w:cs="Arial"/>
          <w:color w:val="003768"/>
          <w:lang w:val="nl-BE"/>
        </w:rPr>
        <w:t xml:space="preserve">                               </w:t>
      </w:r>
      <w:r w:rsidRPr="00173DD8">
        <w:rPr>
          <w:rFonts w:cs="Arial"/>
          <w:color w:val="003768"/>
          <w:lang w:val="nl-BE"/>
        </w:rPr>
        <w:t xml:space="preserve">vier voorgaande kwartalen. Dat cijfer omvat de </w:t>
      </w:r>
      <w:proofErr w:type="spellStart"/>
      <w:r w:rsidRPr="00173DD8">
        <w:rPr>
          <w:rFonts w:cs="Arial"/>
          <w:color w:val="003768"/>
          <w:lang w:val="nl-BE"/>
        </w:rPr>
        <w:t>dealingroominkomsten</w:t>
      </w:r>
      <w:proofErr w:type="spellEnd"/>
      <w:r w:rsidRPr="00173DD8">
        <w:rPr>
          <w:rFonts w:cs="Arial"/>
          <w:color w:val="003768"/>
          <w:lang w:val="nl-BE"/>
        </w:rPr>
        <w:t xml:space="preserve"> - die bescheiden waren in het derde kwartaal van 2014 - maar werd ook beïnvloed door lagere negatieve </w:t>
      </w:r>
      <w:r w:rsidR="00CB1F58">
        <w:rPr>
          <w:rFonts w:cs="Arial"/>
          <w:color w:val="003768"/>
          <w:lang w:val="nl-BE"/>
        </w:rPr>
        <w:t xml:space="preserve">                                              </w:t>
      </w:r>
      <w:proofErr w:type="spellStart"/>
      <w:r w:rsidRPr="00173DD8">
        <w:rPr>
          <w:rFonts w:cs="Arial"/>
          <w:color w:val="003768"/>
          <w:lang w:val="nl-BE"/>
        </w:rPr>
        <w:t>marked</w:t>
      </w:r>
      <w:proofErr w:type="spellEnd"/>
      <w:r w:rsidRPr="00173DD8">
        <w:rPr>
          <w:rFonts w:cs="Arial"/>
          <w:color w:val="003768"/>
          <w:lang w:val="nl-BE"/>
        </w:rPr>
        <w:t>-</w:t>
      </w:r>
      <w:proofErr w:type="spellStart"/>
      <w:r w:rsidRPr="00173DD8">
        <w:rPr>
          <w:rFonts w:cs="Arial"/>
          <w:color w:val="003768"/>
          <w:lang w:val="nl-BE"/>
        </w:rPr>
        <w:t>to</w:t>
      </w:r>
      <w:proofErr w:type="spellEnd"/>
      <w:r w:rsidRPr="00173DD8">
        <w:rPr>
          <w:rFonts w:cs="Arial"/>
          <w:color w:val="003768"/>
          <w:lang w:val="nl-BE"/>
        </w:rPr>
        <w:t xml:space="preserve">-marketwaarderingen van afgeleide instrumenten gebruikt voor balansbeheer. </w:t>
      </w:r>
      <w:r w:rsidR="00CB1F58">
        <w:rPr>
          <w:rFonts w:cs="Arial"/>
          <w:color w:val="003768"/>
          <w:lang w:val="nl-BE"/>
        </w:rPr>
        <w:t xml:space="preserve">                              </w:t>
      </w:r>
      <w:r w:rsidRPr="00173DD8">
        <w:rPr>
          <w:rFonts w:cs="Arial"/>
          <w:color w:val="003768"/>
          <w:lang w:val="nl-BE"/>
        </w:rPr>
        <w:t>Die waarderingen bedroegen -46 miljoen euro in het derde kwartaal (tegenover een kwartaalgemiddelde van +70 miljoen euro in 2013 en -57 miljoen euro in het tweede kwartaal).</w:t>
      </w:r>
    </w:p>
    <w:p w:rsidR="00173DD8" w:rsidRP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Het netto gerealiseerde resultaat uit voor verkoop beschikbare financiële activa bedroeg voor het derde kwartaal van 2014 27 miljoen euro, een daling ten opzichte van het gemiddelde van </w:t>
      </w:r>
      <w:r w:rsidR="00CB1F58">
        <w:rPr>
          <w:rFonts w:cs="Arial"/>
          <w:color w:val="003768"/>
          <w:lang w:val="nl-BE"/>
        </w:rPr>
        <w:t xml:space="preserve">                             </w:t>
      </w:r>
      <w:r w:rsidRPr="00173DD8">
        <w:rPr>
          <w:rFonts w:cs="Arial"/>
          <w:color w:val="003768"/>
          <w:lang w:val="nl-BE"/>
        </w:rPr>
        <w:t>43 miljoen euro voor de vorige vier kwartalen en minder dan het vorige kwartaal. Dat resultaat was afkomstig uit de verkoop van zowel aandelen als obligaties.</w:t>
      </w:r>
    </w:p>
    <w:p w:rsidR="00173DD8" w:rsidRP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De </w:t>
      </w:r>
      <w:proofErr w:type="spellStart"/>
      <w:r w:rsidRPr="00173DD8">
        <w:rPr>
          <w:rFonts w:cs="Arial"/>
          <w:color w:val="003768"/>
          <w:lang w:val="nl-BE"/>
        </w:rPr>
        <w:t>nettoprovisie</w:t>
      </w:r>
      <w:proofErr w:type="spellEnd"/>
      <w:r w:rsidRPr="00173DD8">
        <w:rPr>
          <w:rFonts w:cs="Arial"/>
          <w:color w:val="003768"/>
          <w:lang w:val="nl-BE"/>
        </w:rPr>
        <w:t xml:space="preserve">-inkomsten bedroegen 404 miljoen euro, dat is een stijging van 4% kwartaal-op-kwartaal en 19% jaar-op-jaar. De belangrijkste factor die het verschil kwartaal-op-kwartaal verklaart, was de stijging van de beheersvergoedingen voor gemeenschappelijke beleggingsfondsen. </w:t>
      </w:r>
      <w:r w:rsidR="00CB1F58">
        <w:rPr>
          <w:rFonts w:cs="Arial"/>
          <w:color w:val="003768"/>
          <w:lang w:val="nl-BE"/>
        </w:rPr>
        <w:t xml:space="preserve">                            </w:t>
      </w:r>
      <w:r w:rsidRPr="00173DD8">
        <w:rPr>
          <w:rFonts w:cs="Arial"/>
          <w:color w:val="003768"/>
          <w:lang w:val="nl-BE"/>
        </w:rPr>
        <w:t xml:space="preserve">Het beheerd vermogen bedroeg 180 miljard euro, 4% meer dan het vorige kwartaal (+2% uit de beleggingsperformance en +2% uit de netto-instroom) en 13% meer ten opzichte van vorig jaar </w:t>
      </w:r>
      <w:r w:rsidR="00CB1F58">
        <w:rPr>
          <w:rFonts w:cs="Arial"/>
          <w:color w:val="003768"/>
          <w:lang w:val="nl-BE"/>
        </w:rPr>
        <w:t xml:space="preserve">               </w:t>
      </w:r>
      <w:r w:rsidRPr="00173DD8">
        <w:rPr>
          <w:rFonts w:cs="Arial"/>
          <w:color w:val="003768"/>
          <w:lang w:val="nl-BE"/>
        </w:rPr>
        <w:t>(+9% uit de beleggingsperformance en +4% uit de netto-instroom).</w:t>
      </w:r>
    </w:p>
    <w:p w:rsid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De overige netto-inkomsten bedroegen 64 miljoen euro, heel wat hoger dan het gemiddelde van</w:t>
      </w:r>
      <w:r w:rsidR="00CB1F58">
        <w:rPr>
          <w:rFonts w:cs="Arial"/>
          <w:color w:val="003768"/>
          <w:lang w:val="nl-BE"/>
        </w:rPr>
        <w:t xml:space="preserve">                </w:t>
      </w:r>
      <w:r w:rsidRPr="00173DD8">
        <w:rPr>
          <w:rFonts w:cs="Arial"/>
          <w:color w:val="003768"/>
          <w:lang w:val="nl-BE"/>
        </w:rPr>
        <w:t xml:space="preserve"> 32 miljoen euro van de vier voorgaande kwartalen (dat laatste cijfer onderging een negatief effect van -231 miljoen euro door de voorzieningen die werden aangelegd voor de nieuwe Hongaarse wetgeving op kredieten aan particulieren in het tweede kwartaal van 2014). </w:t>
      </w:r>
    </w:p>
    <w:p w:rsidR="00792DBF" w:rsidRDefault="00792DBF" w:rsidP="00173DD8">
      <w:pPr>
        <w:autoSpaceDE w:val="0"/>
        <w:autoSpaceDN w:val="0"/>
        <w:adjustRightInd w:val="0"/>
        <w:spacing w:after="120" w:line="240" w:lineRule="auto"/>
        <w:ind w:left="992" w:right="6"/>
        <w:jc w:val="both"/>
        <w:rPr>
          <w:rFonts w:cs="Arial"/>
          <w:b/>
          <w:color w:val="003768"/>
          <w:lang w:val="nl-BE"/>
        </w:rPr>
      </w:pPr>
    </w:p>
    <w:p w:rsidR="00173DD8" w:rsidRPr="00173DD8" w:rsidRDefault="00173DD8" w:rsidP="00173DD8">
      <w:pPr>
        <w:autoSpaceDE w:val="0"/>
        <w:autoSpaceDN w:val="0"/>
        <w:adjustRightInd w:val="0"/>
        <w:spacing w:after="120" w:line="240" w:lineRule="auto"/>
        <w:ind w:left="992" w:right="6"/>
        <w:jc w:val="both"/>
        <w:rPr>
          <w:rFonts w:cs="Arial"/>
          <w:b/>
          <w:color w:val="003768"/>
          <w:lang w:val="nl-BE"/>
        </w:rPr>
      </w:pPr>
      <w:r w:rsidRPr="00173DD8">
        <w:rPr>
          <w:rFonts w:cs="Arial"/>
          <w:b/>
          <w:color w:val="003768"/>
          <w:lang w:val="nl-BE"/>
        </w:rPr>
        <w:t>Exploitatiekosten (aangepast nettoresultaat)</w:t>
      </w:r>
    </w:p>
    <w:p w:rsidR="00173DD8" w:rsidRP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Voor het derde kwartaal van 2014 bedroegen de exploitatiekosten 898 miljoen euro, een daling met 3% ten opzichte van het vorige kwartaal en met 1% jaar-op-jaar. De daling ten opzichte van het vorige kwartaal was voornamelijk het gevolg van timingverschillen in het Groepscenter. De kosten zijn </w:t>
      </w:r>
      <w:r w:rsidR="00CB1F58">
        <w:rPr>
          <w:rFonts w:cs="Arial"/>
          <w:color w:val="003768"/>
          <w:lang w:val="nl-BE"/>
        </w:rPr>
        <w:t xml:space="preserve">                </w:t>
      </w:r>
      <w:r w:rsidRPr="00173DD8">
        <w:rPr>
          <w:rFonts w:cs="Arial"/>
          <w:color w:val="003768"/>
          <w:lang w:val="nl-BE"/>
        </w:rPr>
        <w:t xml:space="preserve">jaar-op-jaar 1% gedaald. Daarbij werden de hogere bankenheffing in België en Hongarije en de hogere personeelskosten en algemene beheerskosten in Ierland  gecompenseerd door lagere exploitatiekosten in het Groepscenter en een positief wisselkoerseffect. </w:t>
      </w:r>
    </w:p>
    <w:p w:rsidR="00173DD8" w:rsidRP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De </w:t>
      </w:r>
      <w:proofErr w:type="spellStart"/>
      <w:r w:rsidRPr="00173DD8">
        <w:rPr>
          <w:rFonts w:cs="Arial"/>
          <w:color w:val="003768"/>
          <w:lang w:val="nl-BE"/>
        </w:rPr>
        <w:t>year</w:t>
      </w:r>
      <w:proofErr w:type="spellEnd"/>
      <w:r w:rsidRPr="00173DD8">
        <w:rPr>
          <w:rFonts w:cs="Arial"/>
          <w:color w:val="003768"/>
          <w:lang w:val="nl-BE"/>
        </w:rPr>
        <w:t>-</w:t>
      </w:r>
      <w:proofErr w:type="spellStart"/>
      <w:r w:rsidRPr="00173DD8">
        <w:rPr>
          <w:rFonts w:cs="Arial"/>
          <w:color w:val="003768"/>
          <w:lang w:val="nl-BE"/>
        </w:rPr>
        <w:t>to</w:t>
      </w:r>
      <w:proofErr w:type="spellEnd"/>
      <w:r w:rsidRPr="00173DD8">
        <w:rPr>
          <w:rFonts w:cs="Arial"/>
          <w:color w:val="003768"/>
          <w:lang w:val="nl-BE"/>
        </w:rPr>
        <w:t xml:space="preserve">-date kosten-inkomstenratio bedroeg een relatief hoge 59%, maar dat was voornamelijk een gevolg van het feit dat de noemer (totale opbrengsten) werd beïnvloed door de negatieve </w:t>
      </w:r>
      <w:proofErr w:type="spellStart"/>
      <w:r w:rsidRPr="00173DD8">
        <w:rPr>
          <w:rFonts w:cs="Arial"/>
          <w:color w:val="003768"/>
          <w:lang w:val="nl-BE"/>
        </w:rPr>
        <w:t>marked</w:t>
      </w:r>
      <w:proofErr w:type="spellEnd"/>
      <w:r w:rsidRPr="00173DD8">
        <w:rPr>
          <w:rFonts w:cs="Arial"/>
          <w:color w:val="003768"/>
          <w:lang w:val="nl-BE"/>
        </w:rPr>
        <w:t>-</w:t>
      </w:r>
      <w:proofErr w:type="spellStart"/>
      <w:r w:rsidRPr="00173DD8">
        <w:rPr>
          <w:rFonts w:cs="Arial"/>
          <w:color w:val="003768"/>
          <w:lang w:val="nl-BE"/>
        </w:rPr>
        <w:t>to</w:t>
      </w:r>
      <w:proofErr w:type="spellEnd"/>
      <w:r w:rsidRPr="00173DD8">
        <w:rPr>
          <w:rFonts w:cs="Arial"/>
          <w:color w:val="003768"/>
          <w:lang w:val="nl-BE"/>
        </w:rPr>
        <w:t xml:space="preserve">-marketwaarderingen van de ALM-derivaten en het effect van de nieuwe Hongaarse wet op particuliere kredieten. Aangepast voor specifieke items (de bankenheffing, ALM-derivaten en de Hongaarse wetgeving,…) bedroeg de kosten-inkomstenratio 54%. </w:t>
      </w:r>
    </w:p>
    <w:p w:rsidR="00173DD8" w:rsidRDefault="00173DD8">
      <w:pPr>
        <w:spacing w:after="0" w:line="240" w:lineRule="auto"/>
        <w:rPr>
          <w:rFonts w:cs="Arial"/>
          <w:b/>
          <w:color w:val="003768"/>
          <w:lang w:val="nl-BE"/>
        </w:rPr>
      </w:pPr>
      <w:r>
        <w:rPr>
          <w:rFonts w:cs="Arial"/>
          <w:b/>
          <w:color w:val="003768"/>
          <w:lang w:val="nl-BE"/>
        </w:rPr>
        <w:br w:type="page"/>
      </w:r>
    </w:p>
    <w:p w:rsidR="00186A5F" w:rsidRDefault="00186A5F" w:rsidP="00173DD8">
      <w:pPr>
        <w:autoSpaceDE w:val="0"/>
        <w:autoSpaceDN w:val="0"/>
        <w:adjustRightInd w:val="0"/>
        <w:spacing w:after="120" w:line="240" w:lineRule="auto"/>
        <w:ind w:left="992" w:right="6"/>
        <w:jc w:val="both"/>
        <w:rPr>
          <w:rFonts w:cs="Arial"/>
          <w:b/>
          <w:color w:val="003768"/>
          <w:lang w:val="nl-BE"/>
        </w:rPr>
      </w:pPr>
    </w:p>
    <w:p w:rsidR="00173DD8" w:rsidRPr="00173DD8" w:rsidRDefault="00173DD8" w:rsidP="00173DD8">
      <w:pPr>
        <w:autoSpaceDE w:val="0"/>
        <w:autoSpaceDN w:val="0"/>
        <w:adjustRightInd w:val="0"/>
        <w:spacing w:after="120" w:line="240" w:lineRule="auto"/>
        <w:ind w:left="992" w:right="6"/>
        <w:jc w:val="both"/>
        <w:rPr>
          <w:rFonts w:cs="Arial"/>
          <w:b/>
          <w:color w:val="003768"/>
          <w:lang w:val="nl-BE"/>
        </w:rPr>
      </w:pPr>
      <w:r w:rsidRPr="00173DD8">
        <w:rPr>
          <w:rFonts w:cs="Arial"/>
          <w:b/>
          <w:color w:val="003768"/>
          <w:lang w:val="nl-BE"/>
        </w:rPr>
        <w:t>Waardeverminderingen (aangepast nettoresultaat)</w:t>
      </w:r>
    </w:p>
    <w:p w:rsidR="00173DD8" w:rsidRP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In het derde kwartaal van 2014 bedroegen de waardeverminderingen op kredieten 165 miljoen euro. Dat is meer dan de 130 miljoen euro van het vorige kwartaal, maar minder dan de 185 miljoen euro van een jaar geleden. De stijging ten opzichte van het vorige kwartaal was vooral toe te schrijven aan een aantal bedrijfskredieten in de divisie België en in de </w:t>
      </w:r>
      <w:proofErr w:type="spellStart"/>
      <w:r w:rsidRPr="00173DD8">
        <w:rPr>
          <w:rFonts w:cs="Arial"/>
          <w:color w:val="003768"/>
          <w:lang w:val="nl-BE"/>
        </w:rPr>
        <w:t>legacy</w:t>
      </w:r>
      <w:proofErr w:type="spellEnd"/>
      <w:r w:rsidRPr="00173DD8">
        <w:rPr>
          <w:rFonts w:cs="Arial"/>
          <w:color w:val="003768"/>
          <w:lang w:val="nl-BE"/>
        </w:rPr>
        <w:t xml:space="preserve"> projectfinancieringsportefeuille. </w:t>
      </w:r>
      <w:r w:rsidR="00CB1F58">
        <w:rPr>
          <w:rFonts w:cs="Arial"/>
          <w:color w:val="003768"/>
          <w:lang w:val="nl-BE"/>
        </w:rPr>
        <w:t xml:space="preserve">                 </w:t>
      </w:r>
      <w:r w:rsidRPr="00173DD8">
        <w:rPr>
          <w:rFonts w:cs="Arial"/>
          <w:color w:val="003768"/>
          <w:lang w:val="nl-BE"/>
        </w:rPr>
        <w:t xml:space="preserve">De kredietkostenratio op jaarbasis voor de hele groep bedroeg 0,41%. Dat cijfer is samengesteld uit een gunstige 0,20% voor de divisie België (gedaald van 0,37% voor boekjaar 2013), een heel lage 0,13% in de divisie Tsjechië (gedaald van 0,26% voor boekjaar 2013) en 1,09% voor de divisie Internationale Markten (een verbetering ten opzichte van 4,48% voor boekjaar 2013, een cijfer dat sterk beïnvloed was door de hoge kredietvoorzieningen in Ierland in het vierde kwartaal van 2013). </w:t>
      </w:r>
    </w:p>
    <w:p w:rsid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De waardeverminderingen op andere activa dan kredieten waren beperkt in het derde kwartaal van 2014. Ze bedroegen 18 miljoen euro en hadden betrekking op voor verkoop beschikbare activa en software. </w:t>
      </w:r>
    </w:p>
    <w:p w:rsidR="00792DBF" w:rsidRDefault="00792DBF" w:rsidP="00173DD8">
      <w:pPr>
        <w:autoSpaceDE w:val="0"/>
        <w:autoSpaceDN w:val="0"/>
        <w:adjustRightInd w:val="0"/>
        <w:spacing w:after="120" w:line="240" w:lineRule="auto"/>
        <w:ind w:left="992" w:right="6"/>
        <w:jc w:val="both"/>
        <w:rPr>
          <w:rFonts w:cs="Arial"/>
          <w:b/>
          <w:color w:val="003768"/>
          <w:lang w:val="nl-BE"/>
        </w:rPr>
      </w:pPr>
    </w:p>
    <w:p w:rsidR="00173DD8" w:rsidRPr="00173DD8" w:rsidRDefault="00173DD8" w:rsidP="00173DD8">
      <w:pPr>
        <w:autoSpaceDE w:val="0"/>
        <w:autoSpaceDN w:val="0"/>
        <w:adjustRightInd w:val="0"/>
        <w:spacing w:after="120" w:line="240" w:lineRule="auto"/>
        <w:ind w:left="992" w:right="6"/>
        <w:jc w:val="both"/>
        <w:rPr>
          <w:rFonts w:cs="Arial"/>
          <w:b/>
          <w:color w:val="003768"/>
          <w:lang w:val="nl-BE"/>
        </w:rPr>
      </w:pPr>
      <w:r w:rsidRPr="00173DD8">
        <w:rPr>
          <w:rFonts w:cs="Arial"/>
          <w:b/>
          <w:color w:val="003768"/>
          <w:lang w:val="nl-BE"/>
        </w:rPr>
        <w:t xml:space="preserve">Invloed van de </w:t>
      </w:r>
      <w:proofErr w:type="spellStart"/>
      <w:r w:rsidRPr="00173DD8">
        <w:rPr>
          <w:rFonts w:cs="Arial"/>
          <w:b/>
          <w:color w:val="003768"/>
          <w:lang w:val="nl-BE"/>
        </w:rPr>
        <w:t>legacy</w:t>
      </w:r>
      <w:proofErr w:type="spellEnd"/>
      <w:r w:rsidRPr="00173DD8">
        <w:rPr>
          <w:rFonts w:cs="Arial"/>
          <w:b/>
          <w:color w:val="003768"/>
          <w:lang w:val="nl-BE"/>
        </w:rPr>
        <w:t>-activiteiten en de waardering van het eigen kredietrisico op het resultaat:</w:t>
      </w:r>
    </w:p>
    <w:p w:rsidR="00173DD8" w:rsidRP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proofErr w:type="spellStart"/>
      <w:r w:rsidRPr="00173DD8">
        <w:rPr>
          <w:rFonts w:cs="Arial"/>
          <w:color w:val="003768"/>
          <w:lang w:val="nl-BE"/>
        </w:rPr>
        <w:t>CDO's</w:t>
      </w:r>
      <w:proofErr w:type="spellEnd"/>
      <w:r w:rsidRPr="00173DD8">
        <w:rPr>
          <w:rFonts w:cs="Arial"/>
          <w:color w:val="003768"/>
          <w:lang w:val="nl-BE"/>
        </w:rPr>
        <w:t xml:space="preserve">: in het derde kwartaal heeft KBC de laatste twee </w:t>
      </w:r>
      <w:proofErr w:type="spellStart"/>
      <w:r w:rsidRPr="00173DD8">
        <w:rPr>
          <w:rFonts w:cs="Arial"/>
          <w:color w:val="003768"/>
          <w:lang w:val="nl-BE"/>
        </w:rPr>
        <w:t>CDO's</w:t>
      </w:r>
      <w:proofErr w:type="spellEnd"/>
      <w:r w:rsidRPr="00173DD8">
        <w:rPr>
          <w:rFonts w:cs="Arial"/>
          <w:color w:val="003768"/>
          <w:lang w:val="nl-BE"/>
        </w:rPr>
        <w:t xml:space="preserve"> in portefeuille </w:t>
      </w:r>
      <w:proofErr w:type="spellStart"/>
      <w:r w:rsidRPr="00173DD8">
        <w:rPr>
          <w:rFonts w:cs="Arial"/>
          <w:color w:val="003768"/>
          <w:lang w:val="nl-BE"/>
        </w:rPr>
        <w:t>gecollapsed</w:t>
      </w:r>
      <w:proofErr w:type="spellEnd"/>
      <w:r w:rsidRPr="00173DD8">
        <w:rPr>
          <w:rFonts w:cs="Arial"/>
          <w:color w:val="003768"/>
          <w:lang w:val="nl-BE"/>
        </w:rPr>
        <w:t xml:space="preserve">. Dat had een beperkte negatieve invloed op de resultaten maar een positieve invloed op het kapitaal. De totale invloed ervan op de winst-en-verliesrekening van KBC voor het derde kwartaal bedroeg </w:t>
      </w:r>
      <w:r w:rsidR="00CB1F58">
        <w:rPr>
          <w:rFonts w:cs="Arial"/>
          <w:color w:val="003768"/>
          <w:lang w:val="nl-BE"/>
        </w:rPr>
        <w:t xml:space="preserve">                           </w:t>
      </w:r>
      <w:r w:rsidRPr="00173DD8">
        <w:rPr>
          <w:rFonts w:cs="Arial"/>
          <w:color w:val="003768"/>
          <w:lang w:val="nl-BE"/>
        </w:rPr>
        <w:t xml:space="preserve">-24 miljoen euro (na belastingen), rekening houdend met de wijzigingen van de credit spreads en de garantievergoedingen. Door de </w:t>
      </w:r>
      <w:proofErr w:type="spellStart"/>
      <w:r w:rsidRPr="00173DD8">
        <w:rPr>
          <w:rFonts w:cs="Arial"/>
          <w:color w:val="003768"/>
          <w:lang w:val="nl-BE"/>
        </w:rPr>
        <w:t>collapse</w:t>
      </w:r>
      <w:proofErr w:type="spellEnd"/>
      <w:r w:rsidRPr="00173DD8">
        <w:rPr>
          <w:rFonts w:cs="Arial"/>
          <w:color w:val="003768"/>
          <w:lang w:val="nl-BE"/>
        </w:rPr>
        <w:t xml:space="preserve"> van de </w:t>
      </w:r>
      <w:proofErr w:type="spellStart"/>
      <w:r w:rsidRPr="00173DD8">
        <w:rPr>
          <w:rFonts w:cs="Arial"/>
          <w:color w:val="003768"/>
          <w:lang w:val="nl-BE"/>
        </w:rPr>
        <w:t>CDO's</w:t>
      </w:r>
      <w:proofErr w:type="spellEnd"/>
      <w:r w:rsidRPr="00173DD8">
        <w:rPr>
          <w:rFonts w:cs="Arial"/>
          <w:color w:val="003768"/>
          <w:lang w:val="nl-BE"/>
        </w:rPr>
        <w:t xml:space="preserve"> kwam 0,3 miljard euro aan kapitaal vrij en nam de solvabiliteit van KBC toe met 0,4%.</w:t>
      </w:r>
    </w:p>
    <w:p w:rsidR="00173DD8" w:rsidRP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Resterende desinvesteringen: voor het voorbije kwartaal was er een positief effect van in totaal </w:t>
      </w:r>
      <w:r w:rsidR="00CB1F58">
        <w:rPr>
          <w:rFonts w:cs="Arial"/>
          <w:color w:val="003768"/>
          <w:lang w:val="nl-BE"/>
        </w:rPr>
        <w:t xml:space="preserve">                  </w:t>
      </w:r>
      <w:r w:rsidRPr="00173DD8">
        <w:rPr>
          <w:rFonts w:cs="Arial"/>
          <w:color w:val="003768"/>
          <w:lang w:val="nl-BE"/>
        </w:rPr>
        <w:t xml:space="preserve">132 miljoen euro na belastingen. Dat was voornamelijk het gevolg van een terugname van de waardevermindering op het belang in Antwerpse Diamantbank in 2012 en 2013. </w:t>
      </w:r>
    </w:p>
    <w:p w:rsid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Invloed van de waardering van het eigen kredietrisico: de vernauwing van de senior credit spread, in combinatie met de verbreding van de achtergestelde credit spread van KBC tussen eind juni 2014 en eind september 2014 leidde tot een licht positieve </w:t>
      </w:r>
      <w:proofErr w:type="spellStart"/>
      <w:r w:rsidRPr="00173DD8">
        <w:rPr>
          <w:rFonts w:cs="Arial"/>
          <w:color w:val="003768"/>
          <w:lang w:val="nl-BE"/>
        </w:rPr>
        <w:t>marked</w:t>
      </w:r>
      <w:proofErr w:type="spellEnd"/>
      <w:r w:rsidRPr="00173DD8">
        <w:rPr>
          <w:rFonts w:cs="Arial"/>
          <w:color w:val="003768"/>
          <w:lang w:val="nl-BE"/>
        </w:rPr>
        <w:t>-</w:t>
      </w:r>
      <w:proofErr w:type="spellStart"/>
      <w:r w:rsidRPr="00173DD8">
        <w:rPr>
          <w:rFonts w:cs="Arial"/>
          <w:color w:val="003768"/>
          <w:lang w:val="nl-BE"/>
        </w:rPr>
        <w:t>to</w:t>
      </w:r>
      <w:proofErr w:type="spellEnd"/>
      <w:r w:rsidRPr="00173DD8">
        <w:rPr>
          <w:rFonts w:cs="Arial"/>
          <w:color w:val="003768"/>
          <w:lang w:val="nl-BE"/>
        </w:rPr>
        <w:t>-marketaanpassing van 6 miljoen euro (na belastingen), maar had geen invloed op het reglementair eigen vermogen.</w:t>
      </w:r>
    </w:p>
    <w:p w:rsidR="00792DBF" w:rsidRDefault="00792DBF" w:rsidP="00173DD8">
      <w:pPr>
        <w:autoSpaceDE w:val="0"/>
        <w:autoSpaceDN w:val="0"/>
        <w:adjustRightInd w:val="0"/>
        <w:spacing w:after="120" w:line="240" w:lineRule="auto"/>
        <w:ind w:left="992" w:right="6"/>
        <w:jc w:val="both"/>
        <w:rPr>
          <w:rFonts w:cs="Arial"/>
          <w:b/>
          <w:color w:val="003768"/>
          <w:lang w:val="nl-BE"/>
        </w:rPr>
      </w:pPr>
    </w:p>
    <w:p w:rsidR="00173DD8" w:rsidRPr="00173DD8" w:rsidRDefault="00173DD8" w:rsidP="00173DD8">
      <w:pPr>
        <w:autoSpaceDE w:val="0"/>
        <w:autoSpaceDN w:val="0"/>
        <w:adjustRightInd w:val="0"/>
        <w:spacing w:after="120" w:line="240" w:lineRule="auto"/>
        <w:ind w:left="992" w:right="6"/>
        <w:jc w:val="both"/>
        <w:rPr>
          <w:rFonts w:cs="Arial"/>
          <w:b/>
          <w:color w:val="003768"/>
          <w:lang w:val="nl-BE"/>
        </w:rPr>
      </w:pPr>
      <w:r w:rsidRPr="00173DD8">
        <w:rPr>
          <w:rFonts w:cs="Arial"/>
          <w:b/>
          <w:color w:val="003768"/>
          <w:lang w:val="nl-BE"/>
        </w:rPr>
        <w:t>Indeling per divisie</w:t>
      </w:r>
    </w:p>
    <w:p w:rsidR="00792DBF"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In het derde kwartaal van 2014 heeft de divisie België een nettoresultaat van 384 miljoen euro behaald, iets hoger dan het gemiddelde van 375 miljoen euro van de vier voorgaande kwartalen. </w:t>
      </w:r>
      <w:r w:rsidR="00CB1F58">
        <w:rPr>
          <w:rFonts w:cs="Arial"/>
          <w:color w:val="003768"/>
          <w:lang w:val="nl-BE"/>
        </w:rPr>
        <w:t xml:space="preserve">                 </w:t>
      </w:r>
      <w:r w:rsidRPr="00173DD8">
        <w:rPr>
          <w:rFonts w:cs="Arial"/>
          <w:color w:val="003768"/>
          <w:lang w:val="nl-BE"/>
        </w:rPr>
        <w:t xml:space="preserve">Ten opzichte van het vorige kwartaal werd het derde kwartaal van 2014 gekenmerkt door hogere </w:t>
      </w:r>
      <w:proofErr w:type="spellStart"/>
      <w:r w:rsidRPr="00173DD8">
        <w:rPr>
          <w:rFonts w:cs="Arial"/>
          <w:color w:val="003768"/>
          <w:lang w:val="nl-BE"/>
        </w:rPr>
        <w:t>nettorente</w:t>
      </w:r>
      <w:proofErr w:type="spellEnd"/>
      <w:r w:rsidRPr="00173DD8">
        <w:rPr>
          <w:rFonts w:cs="Arial"/>
          <w:color w:val="003768"/>
          <w:lang w:val="nl-BE"/>
        </w:rPr>
        <w:t xml:space="preserve">-inkomsten en </w:t>
      </w:r>
      <w:proofErr w:type="spellStart"/>
      <w:r w:rsidRPr="00173DD8">
        <w:rPr>
          <w:rFonts w:cs="Arial"/>
          <w:color w:val="003768"/>
          <w:lang w:val="nl-BE"/>
        </w:rPr>
        <w:t>nettoprovisie</w:t>
      </w:r>
      <w:proofErr w:type="spellEnd"/>
      <w:r w:rsidRPr="00173DD8">
        <w:rPr>
          <w:rFonts w:cs="Arial"/>
          <w:color w:val="003768"/>
          <w:lang w:val="nl-BE"/>
        </w:rPr>
        <w:t xml:space="preserve">-inkomsten, een gezonde gecombineerde ratio voor schadeverzekeringen en een hogere verkoop van tak 23-producten. Andere kenmerken van het afgelopen kwartaal waren het verminderde maar nog altijd negatieve effect van de waardering van ALM-derivaten, lagere </w:t>
      </w:r>
      <w:proofErr w:type="spellStart"/>
      <w:r w:rsidRPr="00173DD8">
        <w:rPr>
          <w:rFonts w:cs="Arial"/>
          <w:color w:val="003768"/>
          <w:lang w:val="nl-BE"/>
        </w:rPr>
        <w:t>meerwaarden</w:t>
      </w:r>
      <w:proofErr w:type="spellEnd"/>
      <w:r w:rsidRPr="00173DD8">
        <w:rPr>
          <w:rFonts w:cs="Arial"/>
          <w:color w:val="003768"/>
          <w:lang w:val="nl-BE"/>
        </w:rPr>
        <w:t xml:space="preserve"> uit de verkoop van financiële activa, seizoensgebonden lagere dividendinkomsten en lagere overige netto-inkomsten. De kosten zijn iets gedaald en de waardeverminderingen stegen in vergelijking met het lage niveau van het tweede kwartaal. </w:t>
      </w:r>
      <w:r w:rsidR="00CB1F58">
        <w:rPr>
          <w:rFonts w:cs="Arial"/>
          <w:color w:val="003768"/>
          <w:lang w:val="nl-BE"/>
        </w:rPr>
        <w:t xml:space="preserve">                          </w:t>
      </w:r>
      <w:r w:rsidRPr="00173DD8">
        <w:rPr>
          <w:rFonts w:cs="Arial"/>
          <w:color w:val="003768"/>
          <w:lang w:val="nl-BE"/>
        </w:rPr>
        <w:t>De bankactiviteiten waren in het derde kwartaal van 2014 goed voor 80% van het nettoresultaat, de verzekeringsactiviteiten voor 20%.</w:t>
      </w:r>
    </w:p>
    <w:p w:rsidR="00792DBF" w:rsidRDefault="00792DBF">
      <w:pPr>
        <w:spacing w:after="0" w:line="240" w:lineRule="auto"/>
        <w:rPr>
          <w:rFonts w:cs="Arial"/>
          <w:color w:val="003768"/>
          <w:lang w:val="nl-BE"/>
        </w:rPr>
      </w:pPr>
      <w:r>
        <w:rPr>
          <w:rFonts w:cs="Arial"/>
          <w:color w:val="003768"/>
          <w:lang w:val="nl-BE"/>
        </w:rPr>
        <w:br w:type="page"/>
      </w:r>
    </w:p>
    <w:p w:rsidR="00186A5F" w:rsidRDefault="00186A5F" w:rsidP="00186A5F">
      <w:pPr>
        <w:pStyle w:val="ListParagraph"/>
        <w:autoSpaceDE w:val="0"/>
        <w:autoSpaceDN w:val="0"/>
        <w:adjustRightInd w:val="0"/>
        <w:spacing w:after="120" w:line="240" w:lineRule="auto"/>
        <w:ind w:left="1442" w:right="6"/>
        <w:contextualSpacing w:val="0"/>
        <w:jc w:val="both"/>
        <w:rPr>
          <w:rFonts w:cs="Arial"/>
          <w:color w:val="003768"/>
          <w:lang w:val="nl-BE"/>
        </w:rPr>
      </w:pPr>
    </w:p>
    <w:p w:rsidR="00173DD8" w:rsidRP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In het derde kwartaal van 2014 boekte de divisie Tsjechië een nettoresultaat van 130 miljoen euro. </w:t>
      </w:r>
      <w:r w:rsidR="00CB1F58">
        <w:rPr>
          <w:rFonts w:cs="Arial"/>
          <w:color w:val="003768"/>
          <w:lang w:val="nl-BE"/>
        </w:rPr>
        <w:t xml:space="preserve">      </w:t>
      </w:r>
      <w:r w:rsidRPr="00173DD8">
        <w:rPr>
          <w:rFonts w:cs="Arial"/>
          <w:color w:val="003768"/>
          <w:lang w:val="nl-BE"/>
        </w:rPr>
        <w:t xml:space="preserve">Dat is iets lager dan het gemiddelde van 139 miljoen euro voor de vier voorgaande kwartalen. </w:t>
      </w:r>
      <w:r w:rsidR="00CB1F58">
        <w:rPr>
          <w:rFonts w:cs="Arial"/>
          <w:color w:val="003768"/>
          <w:lang w:val="nl-BE"/>
        </w:rPr>
        <w:t xml:space="preserve">           </w:t>
      </w:r>
      <w:r w:rsidRPr="00173DD8">
        <w:rPr>
          <w:rFonts w:cs="Arial"/>
          <w:color w:val="003768"/>
          <w:lang w:val="nl-BE"/>
        </w:rPr>
        <w:t xml:space="preserve">Ten opzichte van het vorige kwartaal omvatten de resultaten voor het derde kwartaal (op vergelijkbare basis) gelijkblijvende </w:t>
      </w:r>
      <w:proofErr w:type="spellStart"/>
      <w:r w:rsidRPr="00173DD8">
        <w:rPr>
          <w:rFonts w:cs="Arial"/>
          <w:color w:val="003768"/>
          <w:lang w:val="nl-BE"/>
        </w:rPr>
        <w:t>nettorente</w:t>
      </w:r>
      <w:proofErr w:type="spellEnd"/>
      <w:r w:rsidRPr="00173DD8">
        <w:rPr>
          <w:rFonts w:cs="Arial"/>
          <w:color w:val="003768"/>
          <w:lang w:val="nl-BE"/>
        </w:rPr>
        <w:t xml:space="preserve">-inkomsten en lagere </w:t>
      </w:r>
      <w:proofErr w:type="spellStart"/>
      <w:r w:rsidRPr="00173DD8">
        <w:rPr>
          <w:rFonts w:cs="Arial"/>
          <w:color w:val="003768"/>
          <w:lang w:val="nl-BE"/>
        </w:rPr>
        <w:t>nettoprovisie</w:t>
      </w:r>
      <w:proofErr w:type="spellEnd"/>
      <w:r w:rsidRPr="00173DD8">
        <w:rPr>
          <w:rFonts w:cs="Arial"/>
          <w:color w:val="003768"/>
          <w:lang w:val="nl-BE"/>
        </w:rPr>
        <w:t xml:space="preserve">-inkomsten, geen </w:t>
      </w:r>
      <w:proofErr w:type="spellStart"/>
      <w:r w:rsidRPr="00173DD8">
        <w:rPr>
          <w:rFonts w:cs="Arial"/>
          <w:color w:val="003768"/>
          <w:lang w:val="nl-BE"/>
        </w:rPr>
        <w:t>meerwaarden</w:t>
      </w:r>
      <w:proofErr w:type="spellEnd"/>
      <w:r w:rsidRPr="00173DD8">
        <w:rPr>
          <w:rFonts w:cs="Arial"/>
          <w:color w:val="003768"/>
          <w:lang w:val="nl-BE"/>
        </w:rPr>
        <w:t xml:space="preserve"> uit de verkoop van financiële activa, een hoger nettoresultaat uit financiële instrumenten, lagere overige inkomsten, een stevige gecombineerde ratio voor schadeverzekeringen en een hogere verkoop van tak 23-producten. De kosten daalden licht en de waardeverminderingen op kredieten stegen ten opzichte van het onhoudbaar lage niveau van het vorige kwartaal. De bankactiviteiten waren in het derde kwartaal van 2014 goed voor 95% van het nettoresultaat, de verzekeringsactiviteiten voor 5%.</w:t>
      </w:r>
    </w:p>
    <w:p w:rsidR="00173DD8" w:rsidRP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In het derde kwartaal van 2014 boekte de divisie Internationale Markten een nettowinst van </w:t>
      </w:r>
      <w:r w:rsidR="00CB1F58">
        <w:rPr>
          <w:rFonts w:cs="Arial"/>
          <w:color w:val="003768"/>
          <w:lang w:val="nl-BE"/>
        </w:rPr>
        <w:t xml:space="preserve">                          </w:t>
      </w:r>
      <w:r w:rsidRPr="00173DD8">
        <w:rPr>
          <w:rFonts w:cs="Arial"/>
          <w:color w:val="003768"/>
          <w:lang w:val="nl-BE"/>
        </w:rPr>
        <w:t xml:space="preserve">27 miljoen euro. Dat is heel wat beter dan het negatieve gemiddelde van -236 miljoen euro van de vier voorgaande kwartalen, dat sterk werd beïnvloed door de bijkomende kredietvoorzieningen voor Ierland in het vierde kwartaal van 2013 en de nieuwe Hongaarse wet op kredieten aan particulieren in het tweede kwartaal van 2014. In vergelijking met het vorige kwartaal werd het derde kwartaal van 2014 gekenmerkt door iets hogere </w:t>
      </w:r>
      <w:proofErr w:type="spellStart"/>
      <w:r w:rsidRPr="00173DD8">
        <w:rPr>
          <w:rFonts w:cs="Arial"/>
          <w:color w:val="003768"/>
          <w:lang w:val="nl-BE"/>
        </w:rPr>
        <w:t>nettorente</w:t>
      </w:r>
      <w:proofErr w:type="spellEnd"/>
      <w:r w:rsidRPr="00173DD8">
        <w:rPr>
          <w:rFonts w:cs="Arial"/>
          <w:color w:val="003768"/>
          <w:lang w:val="nl-BE"/>
        </w:rPr>
        <w:t xml:space="preserve">-inkomsten en stevige </w:t>
      </w:r>
      <w:proofErr w:type="spellStart"/>
      <w:r w:rsidRPr="00173DD8">
        <w:rPr>
          <w:rFonts w:cs="Arial"/>
          <w:color w:val="003768"/>
          <w:lang w:val="nl-BE"/>
        </w:rPr>
        <w:t>nettoprovisie</w:t>
      </w:r>
      <w:proofErr w:type="spellEnd"/>
      <w:r w:rsidRPr="00173DD8">
        <w:rPr>
          <w:rFonts w:cs="Arial"/>
          <w:color w:val="003768"/>
          <w:lang w:val="nl-BE"/>
        </w:rPr>
        <w:t xml:space="preserve">-inkomsten, een stabiel resultaat uit financiële instrumenten tegen reële waarde en iets lagere </w:t>
      </w:r>
      <w:proofErr w:type="spellStart"/>
      <w:r w:rsidRPr="00173DD8">
        <w:rPr>
          <w:rFonts w:cs="Arial"/>
          <w:color w:val="003768"/>
          <w:lang w:val="nl-BE"/>
        </w:rPr>
        <w:t>meerwaarden</w:t>
      </w:r>
      <w:proofErr w:type="spellEnd"/>
      <w:r w:rsidRPr="00173DD8">
        <w:rPr>
          <w:rFonts w:cs="Arial"/>
          <w:color w:val="003768"/>
          <w:lang w:val="nl-BE"/>
        </w:rPr>
        <w:t xml:space="preserve"> op obligaties en aandelen, een verslechtering van de gecombineerde ratio van schadeverzekeringen en een gedaalde verkoop van levensverzekeringen. We wijzen erop dat het vorige kwartaal zwaar te lijden had onder de nieuwe Hongaarse wet op kredieten aan particulieren. De kosten bleven in het derde kwartaal stabiel en de kredietvoorzieningen daalden, vooral in Ierland. In totaal leverden de bankactiviteiten een nettoresultaat van 23 miljoen euro op (positieve resultaten van Slowakije, Hongarije en Bulgarije, maar een negatief resultaat in Ierland), terwijl de verzekeringsactiviteiten een nettoresultaat van 4 miljoen euro genereerden.</w:t>
      </w:r>
    </w:p>
    <w:p w:rsidR="00173DD8" w:rsidRPr="00173DD8" w:rsidRDefault="00173DD8" w:rsidP="00173DD8">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173DD8">
        <w:rPr>
          <w:rFonts w:cs="Arial"/>
          <w:color w:val="003768"/>
          <w:lang w:val="nl-BE"/>
        </w:rPr>
        <w:t xml:space="preserve">Het nettoresultaat van het Groepscenter bedroeg in het derde kwartaal van 2014 50 miljoen euro. Zoals eerder vermeld, omvat die entiteit niet alleen een aantal groepsitems en de resultaten van te desinvesteren ondernemingen, maar ook de invloed van de </w:t>
      </w:r>
      <w:proofErr w:type="spellStart"/>
      <w:r w:rsidRPr="00173DD8">
        <w:rPr>
          <w:rFonts w:cs="Arial"/>
          <w:color w:val="003768"/>
          <w:lang w:val="nl-BE"/>
        </w:rPr>
        <w:t>legacy</w:t>
      </w:r>
      <w:proofErr w:type="spellEnd"/>
      <w:r w:rsidRPr="00173DD8">
        <w:rPr>
          <w:rFonts w:cs="Arial"/>
          <w:color w:val="003768"/>
          <w:lang w:val="nl-BE"/>
        </w:rPr>
        <w:t xml:space="preserve">-activiteiten </w:t>
      </w:r>
      <w:r w:rsidR="00CB1F58">
        <w:rPr>
          <w:rFonts w:cs="Arial"/>
          <w:color w:val="003768"/>
          <w:lang w:val="nl-BE"/>
        </w:rPr>
        <w:t xml:space="preserve">                                           </w:t>
      </w:r>
      <w:r w:rsidRPr="00173DD8">
        <w:rPr>
          <w:rFonts w:cs="Arial"/>
          <w:color w:val="003768"/>
          <w:lang w:val="nl-BE"/>
        </w:rPr>
        <w:t>(</w:t>
      </w:r>
      <w:proofErr w:type="spellStart"/>
      <w:r w:rsidRPr="00173DD8">
        <w:rPr>
          <w:rFonts w:cs="Arial"/>
          <w:color w:val="003768"/>
          <w:lang w:val="nl-BE"/>
        </w:rPr>
        <w:t>CDO’s</w:t>
      </w:r>
      <w:proofErr w:type="spellEnd"/>
      <w:r w:rsidRPr="00173DD8">
        <w:rPr>
          <w:rFonts w:cs="Arial"/>
          <w:color w:val="003768"/>
          <w:lang w:val="nl-BE"/>
        </w:rPr>
        <w:t xml:space="preserve">, desinvesteringen) en de waardering van het eigen kredietrisico. Zonder de </w:t>
      </w:r>
      <w:proofErr w:type="spellStart"/>
      <w:r w:rsidRPr="00173DD8">
        <w:rPr>
          <w:rFonts w:cs="Arial"/>
          <w:color w:val="003768"/>
          <w:lang w:val="nl-BE"/>
        </w:rPr>
        <w:t>legacy</w:t>
      </w:r>
      <w:proofErr w:type="spellEnd"/>
      <w:r w:rsidRPr="00173DD8">
        <w:rPr>
          <w:rFonts w:cs="Arial"/>
          <w:color w:val="003768"/>
          <w:lang w:val="nl-BE"/>
        </w:rPr>
        <w:t>-activiteiten en de invloed van het eigen kredietrisico bedroeg het aangepaste nettoresultaat -64 miljoen euro in het derde kwartaal van 2014.</w:t>
      </w:r>
    </w:p>
    <w:p w:rsidR="00792DBF" w:rsidRDefault="00792DBF">
      <w:pPr>
        <w:spacing w:after="0" w:line="240" w:lineRule="auto"/>
        <w:rPr>
          <w:rFonts w:cs="Arial"/>
          <w:color w:val="003768"/>
          <w:lang w:val="nl-BE"/>
        </w:rPr>
      </w:pPr>
      <w:r>
        <w:rPr>
          <w:rFonts w:cs="Arial"/>
          <w:color w:val="003768"/>
          <w:lang w:val="nl-BE"/>
        </w:rPr>
        <w:br w:type="page"/>
      </w:r>
    </w:p>
    <w:p w:rsidR="00186A5F" w:rsidRDefault="00186A5F" w:rsidP="00B744CA">
      <w:pPr>
        <w:autoSpaceDE w:val="0"/>
        <w:autoSpaceDN w:val="0"/>
        <w:adjustRightInd w:val="0"/>
        <w:spacing w:after="120" w:line="240" w:lineRule="auto"/>
        <w:ind w:left="992" w:right="6"/>
        <w:jc w:val="both"/>
        <w:rPr>
          <w:rFonts w:ascii="Rockwell" w:hAnsi="Rockwell" w:cs="Arial"/>
          <w:b/>
          <w:bCs/>
          <w:color w:val="003768"/>
          <w:sz w:val="28"/>
          <w:szCs w:val="28"/>
          <w:lang w:val="nl-BE"/>
        </w:rPr>
      </w:pPr>
    </w:p>
    <w:p w:rsidR="00173DD8" w:rsidRPr="00792DBF" w:rsidRDefault="00792DBF" w:rsidP="00B744CA">
      <w:pPr>
        <w:autoSpaceDE w:val="0"/>
        <w:autoSpaceDN w:val="0"/>
        <w:adjustRightInd w:val="0"/>
        <w:spacing w:after="120" w:line="240" w:lineRule="auto"/>
        <w:ind w:left="992" w:right="6"/>
        <w:jc w:val="both"/>
        <w:rPr>
          <w:rFonts w:ascii="Rockwell" w:hAnsi="Rockwell" w:cs="Arial"/>
          <w:b/>
          <w:bCs/>
          <w:color w:val="003768"/>
          <w:sz w:val="28"/>
          <w:szCs w:val="28"/>
          <w:lang w:val="nl-BE"/>
        </w:rPr>
      </w:pPr>
      <w:r w:rsidRPr="00792DBF">
        <w:rPr>
          <w:rFonts w:ascii="Rockwell" w:hAnsi="Rockwell" w:cs="Arial"/>
          <w:b/>
          <w:bCs/>
          <w:color w:val="003768"/>
          <w:sz w:val="28"/>
          <w:szCs w:val="28"/>
          <w:lang w:val="nl-BE"/>
        </w:rPr>
        <w:t xml:space="preserve">Analyse van de betrokken </w:t>
      </w:r>
      <w:proofErr w:type="spellStart"/>
      <w:r w:rsidRPr="00792DBF">
        <w:rPr>
          <w:rFonts w:ascii="Rockwell" w:hAnsi="Rockwell" w:cs="Arial"/>
          <w:b/>
          <w:bCs/>
          <w:color w:val="003768"/>
          <w:sz w:val="28"/>
          <w:szCs w:val="28"/>
          <w:lang w:val="nl-BE"/>
        </w:rPr>
        <w:t>year</w:t>
      </w:r>
      <w:proofErr w:type="spellEnd"/>
      <w:r w:rsidRPr="00792DBF">
        <w:rPr>
          <w:rFonts w:ascii="Rockwell" w:hAnsi="Rockwell" w:cs="Arial"/>
          <w:b/>
          <w:bCs/>
          <w:color w:val="003768"/>
          <w:sz w:val="28"/>
          <w:szCs w:val="28"/>
          <w:lang w:val="nl-BE"/>
        </w:rPr>
        <w:t>-</w:t>
      </w:r>
      <w:proofErr w:type="spellStart"/>
      <w:r w:rsidRPr="00792DBF">
        <w:rPr>
          <w:rFonts w:ascii="Rockwell" w:hAnsi="Rockwell" w:cs="Arial"/>
          <w:b/>
          <w:bCs/>
          <w:color w:val="003768"/>
          <w:sz w:val="28"/>
          <w:szCs w:val="28"/>
          <w:lang w:val="nl-BE"/>
        </w:rPr>
        <w:t>to</w:t>
      </w:r>
      <w:proofErr w:type="spellEnd"/>
      <w:r w:rsidRPr="00792DBF">
        <w:rPr>
          <w:rFonts w:ascii="Rockwell" w:hAnsi="Rockwell" w:cs="Arial"/>
          <w:b/>
          <w:bCs/>
          <w:color w:val="003768"/>
          <w:sz w:val="28"/>
          <w:szCs w:val="28"/>
          <w:lang w:val="nl-BE"/>
        </w:rPr>
        <w:t>-date periode (9M2014)</w:t>
      </w:r>
    </w:p>
    <w:p w:rsidR="00173DD8" w:rsidRDefault="00792DBF" w:rsidP="00B744CA">
      <w:pPr>
        <w:autoSpaceDE w:val="0"/>
        <w:autoSpaceDN w:val="0"/>
        <w:adjustRightInd w:val="0"/>
        <w:spacing w:after="120" w:line="240" w:lineRule="auto"/>
        <w:ind w:left="992" w:right="6"/>
        <w:jc w:val="both"/>
        <w:rPr>
          <w:rFonts w:cs="Arial"/>
          <w:b/>
          <w:color w:val="003768"/>
          <w:lang w:val="nl-BE"/>
        </w:rPr>
      </w:pPr>
      <w:r w:rsidRPr="00792DBF">
        <w:rPr>
          <w:rFonts w:cs="Arial"/>
          <w:b/>
          <w:color w:val="003768"/>
          <w:lang w:val="nl-BE"/>
        </w:rPr>
        <w:t xml:space="preserve">Het nettoresultaat voor de eerste negen maanden van 2014 bedroeg 1 305 miljoen euro. Zonder de </w:t>
      </w:r>
      <w:proofErr w:type="spellStart"/>
      <w:r w:rsidRPr="00792DBF">
        <w:rPr>
          <w:rFonts w:cs="Arial"/>
          <w:b/>
          <w:color w:val="003768"/>
          <w:lang w:val="nl-BE"/>
        </w:rPr>
        <w:t>legacy</w:t>
      </w:r>
      <w:proofErr w:type="spellEnd"/>
      <w:r w:rsidRPr="00792DBF">
        <w:rPr>
          <w:rFonts w:cs="Arial"/>
          <w:b/>
          <w:color w:val="003768"/>
          <w:lang w:val="nl-BE"/>
        </w:rPr>
        <w:t xml:space="preserve">-activiteiten en de invloed van het eigen kredietrisico bedroeg het aangepaste nettoresultaat </w:t>
      </w:r>
      <w:r w:rsidR="00CB1F58">
        <w:rPr>
          <w:rFonts w:cs="Arial"/>
          <w:b/>
          <w:color w:val="003768"/>
          <w:lang w:val="nl-BE"/>
        </w:rPr>
        <w:t xml:space="preserve">                    </w:t>
      </w:r>
      <w:r w:rsidRPr="00792DBF">
        <w:rPr>
          <w:rFonts w:cs="Arial"/>
          <w:b/>
          <w:color w:val="003768"/>
          <w:lang w:val="nl-BE"/>
        </w:rPr>
        <w:t>1 151 miljoen euro, tegenover 1 300 miljoen euro in de eerste negen maanden van 2013.</w:t>
      </w:r>
    </w:p>
    <w:p w:rsidR="00792DBF" w:rsidRDefault="00792DBF" w:rsidP="00B744CA">
      <w:pPr>
        <w:autoSpaceDE w:val="0"/>
        <w:autoSpaceDN w:val="0"/>
        <w:adjustRightInd w:val="0"/>
        <w:spacing w:after="120" w:line="240" w:lineRule="auto"/>
        <w:ind w:left="992" w:right="6"/>
        <w:jc w:val="both"/>
        <w:rPr>
          <w:rFonts w:cs="Arial"/>
          <w:b/>
          <w:color w:val="003768"/>
          <w:lang w:val="nl-BE"/>
        </w:rPr>
      </w:pPr>
    </w:p>
    <w:p w:rsidR="00792DBF" w:rsidRPr="00792DBF" w:rsidRDefault="00792DBF" w:rsidP="00B744CA">
      <w:pPr>
        <w:autoSpaceDE w:val="0"/>
        <w:autoSpaceDN w:val="0"/>
        <w:adjustRightInd w:val="0"/>
        <w:spacing w:after="120" w:line="240" w:lineRule="auto"/>
        <w:ind w:left="992" w:right="6"/>
        <w:jc w:val="both"/>
        <w:rPr>
          <w:rFonts w:cs="Arial"/>
          <w:b/>
          <w:color w:val="003768"/>
          <w:lang w:val="nl-BE"/>
        </w:rPr>
      </w:pPr>
      <w:r w:rsidRPr="00792DBF">
        <w:rPr>
          <w:rFonts w:cs="Arial"/>
          <w:b/>
          <w:color w:val="003768"/>
          <w:lang w:val="nl-BE"/>
        </w:rPr>
        <w:t>Totale opbrengsten (aangepast nettoresultaat)</w:t>
      </w:r>
    </w:p>
    <w:p w:rsidR="00792DBF" w:rsidRPr="00792DBF" w:rsidRDefault="00792DBF" w:rsidP="00792DBF">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Het verschil ten opzichte van vorig jaar is voor een deel beïnvloed door de deconsolidatie van Absolut Bank en door enkele kleinere aanpassingen. Met het oog op een zinvolle vergelijkingsbasis worden die items buiten beschouwing gelaten (‘op vergelijkbare basis’).</w:t>
      </w:r>
    </w:p>
    <w:p w:rsidR="00792DBF" w:rsidRPr="00792DBF" w:rsidRDefault="00792DBF" w:rsidP="00792DBF">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 xml:space="preserve">De </w:t>
      </w:r>
      <w:proofErr w:type="spellStart"/>
      <w:r w:rsidRPr="00792DBF">
        <w:rPr>
          <w:rFonts w:cs="Arial"/>
          <w:color w:val="003768"/>
          <w:lang w:val="nl-BE"/>
        </w:rPr>
        <w:t>nettorente</w:t>
      </w:r>
      <w:proofErr w:type="spellEnd"/>
      <w:r w:rsidRPr="00792DBF">
        <w:rPr>
          <w:rFonts w:cs="Arial"/>
          <w:color w:val="003768"/>
          <w:lang w:val="nl-BE"/>
        </w:rPr>
        <w:t xml:space="preserve">-inkomsten bedroegen 3 158 miljoen euro, een stijging met 6% jaar-op-jaar. </w:t>
      </w:r>
      <w:r w:rsidR="00CB1F58">
        <w:rPr>
          <w:rFonts w:cs="Arial"/>
          <w:color w:val="003768"/>
          <w:lang w:val="nl-BE"/>
        </w:rPr>
        <w:t xml:space="preserve">                             </w:t>
      </w:r>
      <w:r w:rsidRPr="00792DBF">
        <w:rPr>
          <w:rFonts w:cs="Arial"/>
          <w:color w:val="003768"/>
          <w:lang w:val="nl-BE"/>
        </w:rPr>
        <w:t xml:space="preserve">Op vergelijkbare basis gaat het om een stijging met 7% jaar-op-jaar. De commerciële marges bleven gezond, de rentevoeten op spaarrekeningen werden verlaagd en de </w:t>
      </w:r>
      <w:proofErr w:type="spellStart"/>
      <w:r w:rsidRPr="00792DBF">
        <w:rPr>
          <w:rFonts w:cs="Arial"/>
          <w:color w:val="003768"/>
          <w:lang w:val="nl-BE"/>
        </w:rPr>
        <w:t>wholesalefinancieringskosten</w:t>
      </w:r>
      <w:proofErr w:type="spellEnd"/>
      <w:r w:rsidRPr="00792DBF">
        <w:rPr>
          <w:rFonts w:cs="Arial"/>
          <w:color w:val="003768"/>
          <w:lang w:val="nl-BE"/>
        </w:rPr>
        <w:t xml:space="preserve"> daalden fors. De </w:t>
      </w:r>
      <w:proofErr w:type="spellStart"/>
      <w:r w:rsidRPr="00792DBF">
        <w:rPr>
          <w:rFonts w:cs="Arial"/>
          <w:color w:val="003768"/>
          <w:lang w:val="nl-BE"/>
        </w:rPr>
        <w:t>nettorentemarge</w:t>
      </w:r>
      <w:proofErr w:type="spellEnd"/>
      <w:r w:rsidRPr="00792DBF">
        <w:rPr>
          <w:rFonts w:cs="Arial"/>
          <w:color w:val="003768"/>
          <w:lang w:val="nl-BE"/>
        </w:rPr>
        <w:t xml:space="preserve"> kwam uit op 2,06% </w:t>
      </w:r>
      <w:proofErr w:type="spellStart"/>
      <w:r w:rsidRPr="00792DBF">
        <w:rPr>
          <w:rFonts w:cs="Arial"/>
          <w:color w:val="003768"/>
          <w:lang w:val="nl-BE"/>
        </w:rPr>
        <w:t>year</w:t>
      </w:r>
      <w:proofErr w:type="spellEnd"/>
      <w:r w:rsidRPr="00792DBF">
        <w:rPr>
          <w:rFonts w:cs="Arial"/>
          <w:color w:val="003768"/>
          <w:lang w:val="nl-BE"/>
        </w:rPr>
        <w:t>-</w:t>
      </w:r>
      <w:proofErr w:type="spellStart"/>
      <w:r w:rsidRPr="00792DBF">
        <w:rPr>
          <w:rFonts w:cs="Arial"/>
          <w:color w:val="003768"/>
          <w:lang w:val="nl-BE"/>
        </w:rPr>
        <w:t>to</w:t>
      </w:r>
      <w:proofErr w:type="spellEnd"/>
      <w:r w:rsidRPr="00792DBF">
        <w:rPr>
          <w:rFonts w:cs="Arial"/>
          <w:color w:val="003768"/>
          <w:lang w:val="nl-BE"/>
        </w:rPr>
        <w:t>-date, 17 basispunten hoger dan het (</w:t>
      </w:r>
      <w:proofErr w:type="spellStart"/>
      <w:r w:rsidRPr="00792DBF">
        <w:rPr>
          <w:rFonts w:cs="Arial"/>
          <w:color w:val="003768"/>
          <w:lang w:val="nl-BE"/>
        </w:rPr>
        <w:t>herberekende</w:t>
      </w:r>
      <w:proofErr w:type="spellEnd"/>
      <w:r w:rsidRPr="00792DBF">
        <w:rPr>
          <w:rFonts w:cs="Arial"/>
          <w:color w:val="003768"/>
          <w:lang w:val="nl-BE"/>
        </w:rPr>
        <w:t xml:space="preserve">) cijfer van een jaar geleden. Jaar-op-jaar is de kredietportefeuille van de divisie België met 2% gegroeid en de depositobasis met 4%. De kredietportefeuille in Tsjechië steeg met 6% jaar-op-jaar, terwijl de deposito’s stegen met 8%. De kredietportefeuille in de divisie Internationale Markten daalde met 6% jaar-op-jaar (door Ierland), maar de depositobasis groeide met 1% (eveneens dankzij Ierland). </w:t>
      </w:r>
    </w:p>
    <w:p w:rsidR="00792DBF" w:rsidRPr="00792DBF" w:rsidRDefault="00792DBF" w:rsidP="00792DBF">
      <w:pPr>
        <w:pStyle w:val="ListParagraph"/>
        <w:numPr>
          <w:ilvl w:val="0"/>
          <w:numId w:val="6"/>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 xml:space="preserve">Leven en Niet-Leven behaalden tijdens de eerste negen maanden van 2014 de volgende resultaten. </w:t>
      </w:r>
      <w:r w:rsidR="00CB1F58">
        <w:rPr>
          <w:rFonts w:cs="Arial"/>
          <w:color w:val="003768"/>
          <w:lang w:val="nl-BE"/>
        </w:rPr>
        <w:t xml:space="preserve">           </w:t>
      </w:r>
      <w:r w:rsidRPr="00792DBF">
        <w:rPr>
          <w:rFonts w:cs="Arial"/>
          <w:color w:val="003768"/>
          <w:lang w:val="nl-BE"/>
        </w:rPr>
        <w:t>Na aftrek van de bruto technische lasten en het nettoresultaat uit afgestane herverzekering bedroegen de bruto verdiende premies 224 miljoen euro, een daling van 1% jaar-op-jaar.</w:t>
      </w:r>
    </w:p>
    <w:p w:rsidR="00792DBF" w:rsidRPr="00792DBF" w:rsidRDefault="00792DBF" w:rsidP="00792DBF">
      <w:pPr>
        <w:pStyle w:val="ListParagraph"/>
        <w:autoSpaceDE w:val="0"/>
        <w:autoSpaceDN w:val="0"/>
        <w:adjustRightInd w:val="0"/>
        <w:spacing w:after="120" w:line="240" w:lineRule="auto"/>
        <w:ind w:left="1442" w:right="6"/>
        <w:contextualSpacing w:val="0"/>
        <w:jc w:val="both"/>
        <w:rPr>
          <w:rFonts w:cs="Arial"/>
          <w:color w:val="003768"/>
          <w:lang w:val="nl-BE"/>
        </w:rPr>
      </w:pPr>
      <w:r w:rsidRPr="00792DBF">
        <w:rPr>
          <w:rFonts w:cs="Arial"/>
          <w:color w:val="003768"/>
          <w:lang w:val="nl-BE"/>
        </w:rPr>
        <w:t xml:space="preserve">In Niet-Leven zijn de premies jaar-op-jaar min of meer gelijk gebleven. Door de schadeclaims naar aanleiding van de hagelbuien in België vielen de technische lasten enigszins hoger uit dan in de eerste negen maanden van 2013, toen de technische lasten beïnvloed werden door de overstromingen in Tsjechië. Toch bedraagt de gecombineerde ratio een solide  93% </w:t>
      </w:r>
      <w:proofErr w:type="spellStart"/>
      <w:r w:rsidRPr="00792DBF">
        <w:rPr>
          <w:rFonts w:cs="Arial"/>
          <w:color w:val="003768"/>
          <w:lang w:val="nl-BE"/>
        </w:rPr>
        <w:t>year</w:t>
      </w:r>
      <w:proofErr w:type="spellEnd"/>
      <w:r w:rsidRPr="00792DBF">
        <w:rPr>
          <w:rFonts w:cs="Arial"/>
          <w:color w:val="003768"/>
          <w:lang w:val="nl-BE"/>
        </w:rPr>
        <w:t>-</w:t>
      </w:r>
      <w:proofErr w:type="spellStart"/>
      <w:r w:rsidRPr="00792DBF">
        <w:rPr>
          <w:rFonts w:cs="Arial"/>
          <w:color w:val="003768"/>
          <w:lang w:val="nl-BE"/>
        </w:rPr>
        <w:t>to</w:t>
      </w:r>
      <w:proofErr w:type="spellEnd"/>
      <w:r w:rsidRPr="00792DBF">
        <w:rPr>
          <w:rFonts w:cs="Arial"/>
          <w:color w:val="003768"/>
          <w:lang w:val="nl-BE"/>
        </w:rPr>
        <w:t xml:space="preserve">-date. </w:t>
      </w:r>
    </w:p>
    <w:p w:rsidR="00792DBF" w:rsidRPr="00792DBF" w:rsidRDefault="00792DBF" w:rsidP="00792DBF">
      <w:pPr>
        <w:pStyle w:val="ListParagraph"/>
        <w:autoSpaceDE w:val="0"/>
        <w:autoSpaceDN w:val="0"/>
        <w:adjustRightInd w:val="0"/>
        <w:spacing w:after="120" w:line="240" w:lineRule="auto"/>
        <w:ind w:left="1442" w:right="6"/>
        <w:contextualSpacing w:val="0"/>
        <w:jc w:val="both"/>
        <w:rPr>
          <w:rFonts w:cs="Arial"/>
          <w:color w:val="003768"/>
          <w:lang w:val="nl-BE"/>
        </w:rPr>
      </w:pPr>
      <w:r w:rsidRPr="00792DBF">
        <w:rPr>
          <w:rFonts w:cs="Arial"/>
          <w:color w:val="003768"/>
          <w:lang w:val="nl-BE"/>
        </w:rPr>
        <w:t xml:space="preserve">In het </w:t>
      </w:r>
      <w:proofErr w:type="spellStart"/>
      <w:r w:rsidRPr="00792DBF">
        <w:rPr>
          <w:rFonts w:cs="Arial"/>
          <w:color w:val="003768"/>
          <w:lang w:val="nl-BE"/>
        </w:rPr>
        <w:t>levenbedrijf</w:t>
      </w:r>
      <w:proofErr w:type="spellEnd"/>
      <w:r w:rsidRPr="00792DBF">
        <w:rPr>
          <w:rFonts w:cs="Arial"/>
          <w:color w:val="003768"/>
          <w:lang w:val="nl-BE"/>
        </w:rPr>
        <w:t xml:space="preserve"> steeg de verkoop van levensverzekeringsproducten (inclusief tak 23-producten die niet worden meegerekend in de premie-inkomsten) met 3% ten opzichte van de eerste negen maanden van 2013. De stijging in de verkoop van producten met rentegarantie (tak 21) was groter dan de daling in de verkoop van tak 23-producten.</w:t>
      </w:r>
    </w:p>
    <w:p w:rsidR="00792DBF" w:rsidRPr="00792DBF" w:rsidRDefault="00792DBF" w:rsidP="00792DBF">
      <w:pPr>
        <w:pStyle w:val="ListParagraph"/>
        <w:autoSpaceDE w:val="0"/>
        <w:autoSpaceDN w:val="0"/>
        <w:adjustRightInd w:val="0"/>
        <w:spacing w:after="120" w:line="240" w:lineRule="auto"/>
        <w:ind w:left="1442" w:right="6"/>
        <w:contextualSpacing w:val="0"/>
        <w:jc w:val="both"/>
        <w:rPr>
          <w:rFonts w:cs="Arial"/>
          <w:color w:val="003768"/>
          <w:lang w:val="nl-BE"/>
        </w:rPr>
      </w:pPr>
      <w:r w:rsidRPr="00792DBF">
        <w:rPr>
          <w:rFonts w:cs="Arial"/>
          <w:color w:val="003768"/>
          <w:lang w:val="nl-BE"/>
        </w:rPr>
        <w:t xml:space="preserve">We wijzen erop dat de verzekeringsresultaten ook profiteerden van iets hogere beleggingsopbrengsten dankzij een hoger netto gerealiseerd resultaat uit de verkoop van voor verkoop beschikbare activa, lagere waardeverminderingen en hogere dividendinkomsten, die samen zwaarder wogen dan de lagere </w:t>
      </w:r>
      <w:proofErr w:type="spellStart"/>
      <w:r w:rsidRPr="00792DBF">
        <w:rPr>
          <w:rFonts w:cs="Arial"/>
          <w:color w:val="003768"/>
          <w:lang w:val="nl-BE"/>
        </w:rPr>
        <w:t>nettorente</w:t>
      </w:r>
      <w:proofErr w:type="spellEnd"/>
      <w:r w:rsidRPr="00792DBF">
        <w:rPr>
          <w:rFonts w:cs="Arial"/>
          <w:color w:val="003768"/>
          <w:lang w:val="nl-BE"/>
        </w:rPr>
        <w:t xml:space="preserve">-inkomsten en het nettoresultaat uit financiële instrumenten tegen reële waarde. </w:t>
      </w:r>
      <w:r w:rsidR="00CB1F58">
        <w:rPr>
          <w:rFonts w:cs="Arial"/>
          <w:color w:val="003768"/>
          <w:lang w:val="nl-BE"/>
        </w:rPr>
        <w:t xml:space="preserve">             </w:t>
      </w:r>
      <w:r w:rsidRPr="00792DBF">
        <w:rPr>
          <w:rFonts w:cs="Arial"/>
          <w:color w:val="003768"/>
          <w:lang w:val="nl-BE"/>
        </w:rPr>
        <w:t xml:space="preserve">De algemene beheerskosten werden strikt onder controle gehouden en daalden met 5% jaar-op-jaar. </w:t>
      </w:r>
    </w:p>
    <w:p w:rsidR="00792DBF" w:rsidRPr="00792DBF"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 xml:space="preserve">Voor de eerste negen maanden van 2014 bedroeg het nettoresultaat uit financiële instrumenten tegen reële waarde 103 miljoen euro, in vergelijking met 620 miljoen euro voor dezelfde periode in 2013. </w:t>
      </w:r>
      <w:r w:rsidR="00CB1F58">
        <w:rPr>
          <w:rFonts w:cs="Arial"/>
          <w:color w:val="003768"/>
          <w:lang w:val="nl-BE"/>
        </w:rPr>
        <w:t xml:space="preserve">          </w:t>
      </w:r>
      <w:r w:rsidRPr="00792DBF">
        <w:rPr>
          <w:rFonts w:cs="Arial"/>
          <w:color w:val="003768"/>
          <w:lang w:val="nl-BE"/>
        </w:rPr>
        <w:t xml:space="preserve">De eerste negen maanden van dit jaar werden voornamelijk beïnvloed door het negatieve resultaat van 186 miljoen euro van de </w:t>
      </w:r>
      <w:proofErr w:type="spellStart"/>
      <w:r w:rsidRPr="00792DBF">
        <w:rPr>
          <w:rFonts w:cs="Arial"/>
          <w:color w:val="003768"/>
          <w:lang w:val="nl-BE"/>
        </w:rPr>
        <w:t>marked</w:t>
      </w:r>
      <w:proofErr w:type="spellEnd"/>
      <w:r w:rsidRPr="00792DBF">
        <w:rPr>
          <w:rFonts w:cs="Arial"/>
          <w:color w:val="003768"/>
          <w:lang w:val="nl-BE"/>
        </w:rPr>
        <w:t>-</w:t>
      </w:r>
      <w:proofErr w:type="spellStart"/>
      <w:r w:rsidRPr="00792DBF">
        <w:rPr>
          <w:rFonts w:cs="Arial"/>
          <w:color w:val="003768"/>
          <w:lang w:val="nl-BE"/>
        </w:rPr>
        <w:t>to</w:t>
      </w:r>
      <w:proofErr w:type="spellEnd"/>
      <w:r w:rsidRPr="00792DBF">
        <w:rPr>
          <w:rFonts w:cs="Arial"/>
          <w:color w:val="003768"/>
          <w:lang w:val="nl-BE"/>
        </w:rPr>
        <w:t>-marketwaarderingen van afgeleide instrumenten gebruikt voor balansbeheer, tegenover een positieve 250 miljoen euro voor de eerste negen maanden van 2013.</w:t>
      </w:r>
    </w:p>
    <w:p w:rsidR="00792DBF" w:rsidRPr="00792DBF"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De netto gerealiseerde winst uit voor verkoop beschikbare financiële activa bedroeg voor de betrokken periode 127 miljoen euro, in vergelijking met 183 miljoen euro voor de eerste negen maanden van vorig jaar. Die winst was voor 43% afkomstig uit de verkoop van obligaties en voor 57% uit de verkoop van aandelen.</w:t>
      </w:r>
    </w:p>
    <w:p w:rsidR="00792DBF"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 xml:space="preserve">De </w:t>
      </w:r>
      <w:proofErr w:type="spellStart"/>
      <w:r w:rsidRPr="00792DBF">
        <w:rPr>
          <w:rFonts w:cs="Arial"/>
          <w:color w:val="003768"/>
          <w:lang w:val="nl-BE"/>
        </w:rPr>
        <w:t>nettoprovisie</w:t>
      </w:r>
      <w:proofErr w:type="spellEnd"/>
      <w:r w:rsidRPr="00792DBF">
        <w:rPr>
          <w:rFonts w:cs="Arial"/>
          <w:color w:val="003768"/>
          <w:lang w:val="nl-BE"/>
        </w:rPr>
        <w:t>-inkomsten bedroegen 1 171 miljoen euro, dat is 6% meer dan vorig jaar (ook op vergelijkbare basis). Het beheerd vermogen bedroeg 180 miljard euro, een stijging met 13% sinds eind september 2013 door prijseffecten (9%) en netto-instroom (4%).</w:t>
      </w:r>
    </w:p>
    <w:p w:rsidR="00792DBF" w:rsidRDefault="00792DBF">
      <w:pPr>
        <w:spacing w:after="0" w:line="240" w:lineRule="auto"/>
        <w:rPr>
          <w:rFonts w:cs="Arial"/>
          <w:color w:val="003768"/>
          <w:lang w:val="nl-BE"/>
        </w:rPr>
      </w:pPr>
      <w:r>
        <w:rPr>
          <w:rFonts w:cs="Arial"/>
          <w:color w:val="003768"/>
          <w:lang w:val="nl-BE"/>
        </w:rPr>
        <w:br w:type="page"/>
      </w:r>
    </w:p>
    <w:p w:rsidR="00186A5F" w:rsidRDefault="00186A5F" w:rsidP="00186A5F">
      <w:pPr>
        <w:pStyle w:val="ListParagraph"/>
        <w:autoSpaceDE w:val="0"/>
        <w:autoSpaceDN w:val="0"/>
        <w:adjustRightInd w:val="0"/>
        <w:spacing w:after="120" w:line="240" w:lineRule="auto"/>
        <w:ind w:left="1442" w:right="6"/>
        <w:contextualSpacing w:val="0"/>
        <w:jc w:val="both"/>
        <w:rPr>
          <w:rFonts w:cs="Arial"/>
          <w:color w:val="003768"/>
          <w:lang w:val="nl-BE"/>
        </w:rPr>
      </w:pPr>
    </w:p>
    <w:p w:rsidR="00792DBF" w:rsidRPr="00792DBF"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 xml:space="preserve">De overige netto-inkomsten bedroegen -8 miljoen euro, terwijl dat voor dezelfde periode vorig jaar 296 miljoen euro was. Dat cijfer werd sterk beïnvloed door de voorzieningen die in het tweede kwartaal van 2014 werden aangelegd voor de nieuwe Hongaarse wet op kredieten aan particulieren, de zogenaamde 'Regeling van vragen met betrekking tot de uniformiteitsbeslissing van het Hooggerechtshof (de </w:t>
      </w:r>
      <w:proofErr w:type="spellStart"/>
      <w:r w:rsidRPr="00792DBF">
        <w:rPr>
          <w:rFonts w:cs="Arial"/>
          <w:color w:val="003768"/>
          <w:lang w:val="nl-BE"/>
        </w:rPr>
        <w:t>Curia</w:t>
      </w:r>
      <w:proofErr w:type="spellEnd"/>
      <w:r w:rsidRPr="00792DBF">
        <w:rPr>
          <w:rFonts w:cs="Arial"/>
          <w:color w:val="003768"/>
          <w:lang w:val="nl-BE"/>
        </w:rPr>
        <w:t xml:space="preserve">) over kredieten aan particulieren verleend door financiële instellingen' </w:t>
      </w:r>
      <w:r w:rsidR="00CB1F58">
        <w:rPr>
          <w:rFonts w:cs="Arial"/>
          <w:color w:val="003768"/>
          <w:lang w:val="nl-BE"/>
        </w:rPr>
        <w:t xml:space="preserve">                 </w:t>
      </w:r>
      <w:r w:rsidRPr="00792DBF">
        <w:rPr>
          <w:rFonts w:cs="Arial"/>
          <w:color w:val="003768"/>
          <w:lang w:val="nl-BE"/>
        </w:rPr>
        <w:t>(-231 miljoen euro).</w:t>
      </w:r>
    </w:p>
    <w:p w:rsidR="00792DBF" w:rsidRPr="00792DBF" w:rsidRDefault="00792DBF" w:rsidP="00792DBF">
      <w:pPr>
        <w:autoSpaceDE w:val="0"/>
        <w:autoSpaceDN w:val="0"/>
        <w:adjustRightInd w:val="0"/>
        <w:spacing w:after="120" w:line="240" w:lineRule="auto"/>
        <w:ind w:left="992" w:right="6"/>
        <w:jc w:val="both"/>
        <w:rPr>
          <w:rFonts w:cs="Arial"/>
          <w:color w:val="003768"/>
          <w:lang w:val="nl-BE"/>
        </w:rPr>
      </w:pPr>
    </w:p>
    <w:p w:rsidR="00792DBF" w:rsidRPr="00792DBF" w:rsidRDefault="00792DBF" w:rsidP="00792DBF">
      <w:pPr>
        <w:autoSpaceDE w:val="0"/>
        <w:autoSpaceDN w:val="0"/>
        <w:adjustRightInd w:val="0"/>
        <w:spacing w:after="120" w:line="240" w:lineRule="auto"/>
        <w:ind w:left="992" w:right="6"/>
        <w:jc w:val="both"/>
        <w:rPr>
          <w:rFonts w:cs="Arial"/>
          <w:b/>
          <w:color w:val="003768"/>
          <w:lang w:val="nl-BE"/>
        </w:rPr>
      </w:pPr>
      <w:r w:rsidRPr="00792DBF">
        <w:rPr>
          <w:rFonts w:cs="Arial"/>
          <w:b/>
          <w:color w:val="003768"/>
          <w:lang w:val="nl-BE"/>
        </w:rPr>
        <w:t>Exploitatiekosten (aangepast nettoresultaat)</w:t>
      </w:r>
    </w:p>
    <w:p w:rsidR="00792DBF" w:rsidRPr="00792DBF"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 xml:space="preserve">Voor de eerste negen maanden van 2014 bedroegen de exploitatiekosten 2 789 miljoen euro, een daling met 2% ten opzichte van een jaar eerder. Op vergelijkbare basis daalden de kosten met 1%. </w:t>
      </w:r>
      <w:r w:rsidR="00CB1F58">
        <w:rPr>
          <w:rFonts w:cs="Arial"/>
          <w:color w:val="003768"/>
          <w:lang w:val="nl-BE"/>
        </w:rPr>
        <w:t xml:space="preserve">            </w:t>
      </w:r>
      <w:r w:rsidRPr="00792DBF">
        <w:rPr>
          <w:rFonts w:cs="Arial"/>
          <w:color w:val="003768"/>
          <w:lang w:val="nl-BE"/>
        </w:rPr>
        <w:t xml:space="preserve">De hogere bankenheffing in België en Hongarije en de hogere personeelskosten en algemene beheerskosten in Ierland werden gecompenseerd door lagere exploitatiekosten in het Groepscenter en een positief wisselkoerseffect. De </w:t>
      </w:r>
      <w:proofErr w:type="spellStart"/>
      <w:r w:rsidRPr="00792DBF">
        <w:rPr>
          <w:rFonts w:cs="Arial"/>
          <w:color w:val="003768"/>
          <w:lang w:val="nl-BE"/>
        </w:rPr>
        <w:t>year</w:t>
      </w:r>
      <w:proofErr w:type="spellEnd"/>
      <w:r w:rsidRPr="00792DBF">
        <w:rPr>
          <w:rFonts w:cs="Arial"/>
          <w:color w:val="003768"/>
          <w:lang w:val="nl-BE"/>
        </w:rPr>
        <w:t>-</w:t>
      </w:r>
      <w:proofErr w:type="spellStart"/>
      <w:r w:rsidRPr="00792DBF">
        <w:rPr>
          <w:rFonts w:cs="Arial"/>
          <w:color w:val="003768"/>
          <w:lang w:val="nl-BE"/>
        </w:rPr>
        <w:t>to</w:t>
      </w:r>
      <w:proofErr w:type="spellEnd"/>
      <w:r w:rsidRPr="00792DBF">
        <w:rPr>
          <w:rFonts w:cs="Arial"/>
          <w:color w:val="003768"/>
          <w:lang w:val="nl-BE"/>
        </w:rPr>
        <w:t xml:space="preserve">-date kosten-inkomstenratio bedroeg een relatief hoge 59%, maar dat was in de eerste plaats een gevolg van het feit dat de noemer (totale opbrengsten) werd beïnvloed door negatieve </w:t>
      </w:r>
      <w:proofErr w:type="spellStart"/>
      <w:r w:rsidRPr="00792DBF">
        <w:rPr>
          <w:rFonts w:cs="Arial"/>
          <w:color w:val="003768"/>
          <w:lang w:val="nl-BE"/>
        </w:rPr>
        <w:t>marked</w:t>
      </w:r>
      <w:proofErr w:type="spellEnd"/>
      <w:r w:rsidRPr="00792DBF">
        <w:rPr>
          <w:rFonts w:cs="Arial"/>
          <w:color w:val="003768"/>
          <w:lang w:val="nl-BE"/>
        </w:rPr>
        <w:t>-</w:t>
      </w:r>
      <w:proofErr w:type="spellStart"/>
      <w:r w:rsidRPr="00792DBF">
        <w:rPr>
          <w:rFonts w:cs="Arial"/>
          <w:color w:val="003768"/>
          <w:lang w:val="nl-BE"/>
        </w:rPr>
        <w:t>to</w:t>
      </w:r>
      <w:proofErr w:type="spellEnd"/>
      <w:r w:rsidRPr="00792DBF">
        <w:rPr>
          <w:rFonts w:cs="Arial"/>
          <w:color w:val="003768"/>
          <w:lang w:val="nl-BE"/>
        </w:rPr>
        <w:t xml:space="preserve">-marketwaarderingen van ALM-derivaten en het effect van de nieuwe wet op particuliere kredieten in Hongarije. Aangepast voor specifieke items bedroeg de </w:t>
      </w:r>
      <w:r w:rsidR="00CB1F58">
        <w:rPr>
          <w:rFonts w:cs="Arial"/>
          <w:color w:val="003768"/>
          <w:lang w:val="nl-BE"/>
        </w:rPr>
        <w:t xml:space="preserve">       </w:t>
      </w:r>
      <w:r w:rsidRPr="00792DBF">
        <w:rPr>
          <w:rFonts w:cs="Arial"/>
          <w:color w:val="003768"/>
          <w:lang w:val="nl-BE"/>
        </w:rPr>
        <w:t xml:space="preserve">kosten-inkomstenratio 54%. </w:t>
      </w:r>
    </w:p>
    <w:p w:rsidR="00792DBF" w:rsidRPr="00792DBF" w:rsidRDefault="00792DBF" w:rsidP="00792DBF">
      <w:pPr>
        <w:autoSpaceDE w:val="0"/>
        <w:autoSpaceDN w:val="0"/>
        <w:adjustRightInd w:val="0"/>
        <w:spacing w:after="120" w:line="240" w:lineRule="auto"/>
        <w:ind w:left="992" w:right="6"/>
        <w:jc w:val="both"/>
        <w:rPr>
          <w:rFonts w:cs="Arial"/>
          <w:color w:val="003768"/>
          <w:lang w:val="nl-BE"/>
        </w:rPr>
      </w:pPr>
    </w:p>
    <w:p w:rsidR="00792DBF" w:rsidRPr="00792DBF" w:rsidRDefault="00792DBF" w:rsidP="00792DBF">
      <w:pPr>
        <w:autoSpaceDE w:val="0"/>
        <w:autoSpaceDN w:val="0"/>
        <w:adjustRightInd w:val="0"/>
        <w:spacing w:after="120" w:line="240" w:lineRule="auto"/>
        <w:ind w:left="992" w:right="6"/>
        <w:jc w:val="both"/>
        <w:rPr>
          <w:rFonts w:cs="Arial"/>
          <w:b/>
          <w:color w:val="003768"/>
          <w:lang w:val="nl-BE"/>
        </w:rPr>
      </w:pPr>
      <w:r w:rsidRPr="00792DBF">
        <w:rPr>
          <w:rFonts w:cs="Arial"/>
          <w:b/>
          <w:color w:val="003768"/>
          <w:lang w:val="nl-BE"/>
        </w:rPr>
        <w:t>Waardeverminderingen (aangepast nettoresultaat)</w:t>
      </w:r>
    </w:p>
    <w:p w:rsidR="00792DBF" w:rsidRPr="00792DBF"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 xml:space="preserve">Voor de eerste negen maanden van 2014 bedroegen de waardeverminderingen op kredieten </w:t>
      </w:r>
      <w:r w:rsidR="00CB1F58">
        <w:rPr>
          <w:rFonts w:cs="Arial"/>
          <w:color w:val="003768"/>
          <w:lang w:val="nl-BE"/>
        </w:rPr>
        <w:t xml:space="preserve">                     </w:t>
      </w:r>
      <w:r w:rsidRPr="00792DBF">
        <w:rPr>
          <w:rFonts w:cs="Arial"/>
          <w:color w:val="003768"/>
          <w:lang w:val="nl-BE"/>
        </w:rPr>
        <w:t xml:space="preserve">398 miljoen euro, een aanzienlijke daling ten opzichte van de 693 miljoen euro van een jaar geleden. De kredietkostenratio op jaarbasis bedroeg 0,41% </w:t>
      </w:r>
      <w:proofErr w:type="spellStart"/>
      <w:r w:rsidRPr="00792DBF">
        <w:rPr>
          <w:rFonts w:cs="Arial"/>
          <w:color w:val="003768"/>
          <w:lang w:val="nl-BE"/>
        </w:rPr>
        <w:t>year</w:t>
      </w:r>
      <w:proofErr w:type="spellEnd"/>
      <w:r w:rsidRPr="00792DBF">
        <w:rPr>
          <w:rFonts w:cs="Arial"/>
          <w:color w:val="003768"/>
          <w:lang w:val="nl-BE"/>
        </w:rPr>
        <w:t>-</w:t>
      </w:r>
      <w:proofErr w:type="spellStart"/>
      <w:r w:rsidRPr="00792DBF">
        <w:rPr>
          <w:rFonts w:cs="Arial"/>
          <w:color w:val="003768"/>
          <w:lang w:val="nl-BE"/>
        </w:rPr>
        <w:t>to</w:t>
      </w:r>
      <w:proofErr w:type="spellEnd"/>
      <w:r w:rsidRPr="00792DBF">
        <w:rPr>
          <w:rFonts w:cs="Arial"/>
          <w:color w:val="003768"/>
          <w:lang w:val="nl-BE"/>
        </w:rPr>
        <w:t xml:space="preserve">-date. Dat cijfer is samengesteld uit 0,20% voor de divisie België (gedaald ten opzichte van 0,37% voor boekjaar 2013), 0,13% voor de divisie Tsjechië (tegenover 0,26% voor boekjaar 2013) en 1,09% voor de divisie Internationale Markten (gedaald ten opzichte van 4,48% voor boekjaar 2013). </w:t>
      </w:r>
    </w:p>
    <w:p w:rsidR="00792DBF" w:rsidRPr="00792DBF"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 xml:space="preserve">De overige waardeverminderingen bedroegen 26 miljoen euro en hadden betrekking op waardeverminderingen op voor verkoop beschikbare financiële activa en op andere items. </w:t>
      </w:r>
    </w:p>
    <w:p w:rsidR="00792DBF" w:rsidRPr="00792DBF" w:rsidRDefault="00792DBF" w:rsidP="00792DBF">
      <w:pPr>
        <w:autoSpaceDE w:val="0"/>
        <w:autoSpaceDN w:val="0"/>
        <w:adjustRightInd w:val="0"/>
        <w:spacing w:after="120" w:line="240" w:lineRule="auto"/>
        <w:ind w:left="992" w:right="6"/>
        <w:jc w:val="both"/>
        <w:rPr>
          <w:rFonts w:cs="Arial"/>
          <w:color w:val="003768"/>
          <w:lang w:val="nl-BE"/>
        </w:rPr>
      </w:pPr>
    </w:p>
    <w:p w:rsidR="00792DBF" w:rsidRPr="00792DBF" w:rsidRDefault="00792DBF" w:rsidP="00792DBF">
      <w:pPr>
        <w:autoSpaceDE w:val="0"/>
        <w:autoSpaceDN w:val="0"/>
        <w:adjustRightInd w:val="0"/>
        <w:spacing w:after="120" w:line="240" w:lineRule="auto"/>
        <w:ind w:left="992" w:right="6"/>
        <w:jc w:val="both"/>
        <w:rPr>
          <w:rFonts w:cs="Arial"/>
          <w:b/>
          <w:color w:val="003768"/>
          <w:lang w:val="nl-BE"/>
        </w:rPr>
      </w:pPr>
      <w:r w:rsidRPr="00792DBF">
        <w:rPr>
          <w:rFonts w:cs="Arial"/>
          <w:b/>
          <w:color w:val="003768"/>
          <w:lang w:val="nl-BE"/>
        </w:rPr>
        <w:t>Winstbelasting</w:t>
      </w:r>
    </w:p>
    <w:p w:rsidR="00792DBF" w:rsidRPr="00792DBF"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De winstbelasting bedroeg 469 miljoen euro voor de eerste negen maanden van 2014.</w:t>
      </w:r>
    </w:p>
    <w:p w:rsidR="00792DBF" w:rsidRPr="00792DBF" w:rsidRDefault="00792DBF" w:rsidP="00792DBF">
      <w:pPr>
        <w:autoSpaceDE w:val="0"/>
        <w:autoSpaceDN w:val="0"/>
        <w:adjustRightInd w:val="0"/>
        <w:spacing w:after="120" w:line="240" w:lineRule="auto"/>
        <w:ind w:left="992" w:right="6"/>
        <w:jc w:val="both"/>
        <w:rPr>
          <w:rFonts w:cs="Arial"/>
          <w:color w:val="003768"/>
          <w:lang w:val="nl-BE"/>
        </w:rPr>
      </w:pPr>
    </w:p>
    <w:p w:rsidR="00792DBF" w:rsidRPr="00792DBF" w:rsidRDefault="00792DBF" w:rsidP="00792DBF">
      <w:pPr>
        <w:autoSpaceDE w:val="0"/>
        <w:autoSpaceDN w:val="0"/>
        <w:adjustRightInd w:val="0"/>
        <w:spacing w:after="120" w:line="240" w:lineRule="auto"/>
        <w:ind w:left="992" w:right="6"/>
        <w:jc w:val="both"/>
        <w:rPr>
          <w:rFonts w:cs="Arial"/>
          <w:b/>
          <w:color w:val="003768"/>
          <w:lang w:val="nl-BE"/>
        </w:rPr>
      </w:pPr>
      <w:r w:rsidRPr="00792DBF">
        <w:rPr>
          <w:rFonts w:cs="Arial"/>
          <w:b/>
          <w:color w:val="003768"/>
          <w:lang w:val="nl-BE"/>
        </w:rPr>
        <w:t xml:space="preserve">Invloed van de </w:t>
      </w:r>
      <w:proofErr w:type="spellStart"/>
      <w:r w:rsidRPr="00792DBF">
        <w:rPr>
          <w:rFonts w:cs="Arial"/>
          <w:b/>
          <w:color w:val="003768"/>
          <w:lang w:val="nl-BE"/>
        </w:rPr>
        <w:t>legacy</w:t>
      </w:r>
      <w:proofErr w:type="spellEnd"/>
      <w:r w:rsidRPr="00792DBF">
        <w:rPr>
          <w:rFonts w:cs="Arial"/>
          <w:b/>
          <w:color w:val="003768"/>
          <w:lang w:val="nl-BE"/>
        </w:rPr>
        <w:t>-activiteiten en de waardering van het eigen kredietrisico op het resultaat:</w:t>
      </w:r>
    </w:p>
    <w:p w:rsidR="00792DBF" w:rsidRPr="00792DBF"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proofErr w:type="spellStart"/>
      <w:r w:rsidRPr="00792DBF">
        <w:rPr>
          <w:rFonts w:cs="Arial"/>
          <w:color w:val="003768"/>
          <w:lang w:val="nl-BE"/>
        </w:rPr>
        <w:t>CDO’s</w:t>
      </w:r>
      <w:proofErr w:type="spellEnd"/>
      <w:r w:rsidRPr="00792DBF">
        <w:rPr>
          <w:rFonts w:cs="Arial"/>
          <w:color w:val="003768"/>
          <w:lang w:val="nl-BE"/>
        </w:rPr>
        <w:t xml:space="preserve">: tijdens de eerste negen maanden van 2014 </w:t>
      </w:r>
      <w:proofErr w:type="spellStart"/>
      <w:r w:rsidRPr="00792DBF">
        <w:rPr>
          <w:rFonts w:cs="Arial"/>
          <w:color w:val="003768"/>
          <w:lang w:val="nl-BE"/>
        </w:rPr>
        <w:t>collapste</w:t>
      </w:r>
      <w:proofErr w:type="spellEnd"/>
      <w:r w:rsidRPr="00792DBF">
        <w:rPr>
          <w:rFonts w:cs="Arial"/>
          <w:color w:val="003768"/>
          <w:lang w:val="nl-BE"/>
        </w:rPr>
        <w:t xml:space="preserve"> KBC de resterende </w:t>
      </w:r>
      <w:proofErr w:type="spellStart"/>
      <w:r w:rsidRPr="00792DBF">
        <w:rPr>
          <w:rFonts w:cs="Arial"/>
          <w:color w:val="003768"/>
          <w:lang w:val="nl-BE"/>
        </w:rPr>
        <w:t>CDO's</w:t>
      </w:r>
      <w:proofErr w:type="spellEnd"/>
      <w:r w:rsidRPr="00792DBF">
        <w:rPr>
          <w:rFonts w:cs="Arial"/>
          <w:color w:val="003768"/>
          <w:lang w:val="nl-BE"/>
        </w:rPr>
        <w:t xml:space="preserve"> in zijn portefeuille. Als we rekening houden met de invloed van de vergoeding voor de CDO-garantieregeling met de Belgische overheid, de beweging van de credit spreads op bedrijfsobligaties en ABS, de verlaging van de </w:t>
      </w:r>
      <w:proofErr w:type="spellStart"/>
      <w:r w:rsidRPr="00792DBF">
        <w:rPr>
          <w:rFonts w:cs="Arial"/>
          <w:color w:val="003768"/>
          <w:lang w:val="nl-BE"/>
        </w:rPr>
        <w:t>nettorisicopositie</w:t>
      </w:r>
      <w:proofErr w:type="spellEnd"/>
      <w:r w:rsidRPr="00792DBF">
        <w:rPr>
          <w:rFonts w:cs="Arial"/>
          <w:color w:val="003768"/>
          <w:lang w:val="nl-BE"/>
        </w:rPr>
        <w:t xml:space="preserve"> van de </w:t>
      </w:r>
      <w:proofErr w:type="spellStart"/>
      <w:r w:rsidRPr="00792DBF">
        <w:rPr>
          <w:rFonts w:cs="Arial"/>
          <w:color w:val="003768"/>
          <w:lang w:val="nl-BE"/>
        </w:rPr>
        <w:t>legacy-CDO's</w:t>
      </w:r>
      <w:proofErr w:type="spellEnd"/>
      <w:r w:rsidRPr="00792DBF">
        <w:rPr>
          <w:rFonts w:cs="Arial"/>
          <w:color w:val="003768"/>
          <w:lang w:val="nl-BE"/>
        </w:rPr>
        <w:t xml:space="preserve"> en de kosten van de beëindiging daarvan, bedroeg het effect op de winst-en-verliesrekening van KBC voor de eerste negen maanden van 2014 een positieve 23 miljoen euro (na belastingen).</w:t>
      </w:r>
    </w:p>
    <w:p w:rsidR="00792DBF" w:rsidRPr="00792DBF"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 xml:space="preserve">Resterende desinvesteringen: voor de eerste negen maanden van 2014 was er een positief effect van in totaal 131 miljoen euro na belastingen. Dat was voornamelijk het gevolg van een terugname van de waardevermindering op het belang in Antwerpse Diamantbank in 2012 en 2013. </w:t>
      </w:r>
    </w:p>
    <w:p w:rsidR="00792DBF" w:rsidRPr="00792DBF"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 xml:space="preserve">Invloed van de waardering van het eigen kredietrisico: doordat de credit spread van KBC eind september 2014 vergelijkbaar was met die van eind december 2013, was er nagenoeg geen </w:t>
      </w:r>
      <w:proofErr w:type="spellStart"/>
      <w:r w:rsidRPr="00792DBF">
        <w:rPr>
          <w:rFonts w:cs="Arial"/>
          <w:color w:val="003768"/>
          <w:lang w:val="nl-BE"/>
        </w:rPr>
        <w:t>marked</w:t>
      </w:r>
      <w:proofErr w:type="spellEnd"/>
      <w:r w:rsidRPr="00792DBF">
        <w:rPr>
          <w:rFonts w:cs="Arial"/>
          <w:color w:val="003768"/>
          <w:lang w:val="nl-BE"/>
        </w:rPr>
        <w:t>-</w:t>
      </w:r>
      <w:proofErr w:type="spellStart"/>
      <w:r w:rsidRPr="00792DBF">
        <w:rPr>
          <w:rFonts w:cs="Arial"/>
          <w:color w:val="003768"/>
          <w:lang w:val="nl-BE"/>
        </w:rPr>
        <w:t>to</w:t>
      </w:r>
      <w:proofErr w:type="spellEnd"/>
      <w:r w:rsidRPr="00792DBF">
        <w:rPr>
          <w:rFonts w:cs="Arial"/>
          <w:color w:val="003768"/>
          <w:lang w:val="nl-BE"/>
        </w:rPr>
        <w:t>-marketaanpassing voor de eerste negen maanden van 2014.</w:t>
      </w:r>
    </w:p>
    <w:p w:rsidR="00792DBF" w:rsidRDefault="00792DBF">
      <w:pPr>
        <w:spacing w:after="0" w:line="240" w:lineRule="auto"/>
        <w:rPr>
          <w:rFonts w:cs="Arial"/>
          <w:color w:val="003768"/>
          <w:lang w:val="nl-BE"/>
        </w:rPr>
      </w:pPr>
      <w:r>
        <w:rPr>
          <w:rFonts w:cs="Arial"/>
          <w:color w:val="003768"/>
          <w:lang w:val="nl-BE"/>
        </w:rPr>
        <w:br w:type="page"/>
      </w:r>
    </w:p>
    <w:p w:rsidR="00186A5F" w:rsidRDefault="00186A5F" w:rsidP="00792DBF">
      <w:pPr>
        <w:autoSpaceDE w:val="0"/>
        <w:autoSpaceDN w:val="0"/>
        <w:adjustRightInd w:val="0"/>
        <w:spacing w:after="120" w:line="240" w:lineRule="auto"/>
        <w:ind w:left="992" w:right="6"/>
        <w:jc w:val="both"/>
        <w:rPr>
          <w:rFonts w:cs="Arial"/>
          <w:b/>
          <w:color w:val="003768"/>
          <w:lang w:val="nl-BE"/>
        </w:rPr>
      </w:pPr>
    </w:p>
    <w:p w:rsidR="00792DBF" w:rsidRPr="00792DBF" w:rsidRDefault="00792DBF" w:rsidP="00792DBF">
      <w:pPr>
        <w:autoSpaceDE w:val="0"/>
        <w:autoSpaceDN w:val="0"/>
        <w:adjustRightInd w:val="0"/>
        <w:spacing w:after="120" w:line="240" w:lineRule="auto"/>
        <w:ind w:left="992" w:right="6"/>
        <w:jc w:val="both"/>
        <w:rPr>
          <w:rFonts w:cs="Arial"/>
          <w:b/>
          <w:color w:val="003768"/>
          <w:lang w:val="nl-BE"/>
        </w:rPr>
      </w:pPr>
      <w:r w:rsidRPr="00792DBF">
        <w:rPr>
          <w:rFonts w:cs="Arial"/>
          <w:b/>
          <w:color w:val="003768"/>
          <w:lang w:val="nl-BE"/>
        </w:rPr>
        <w:t>Eigen vermogen en solvabiliteit</w:t>
      </w:r>
    </w:p>
    <w:p w:rsidR="00792DBF" w:rsidRPr="00CB1F58"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CB1F58">
        <w:rPr>
          <w:rFonts w:cs="Arial"/>
          <w:color w:val="003768"/>
          <w:lang w:val="nl-BE"/>
        </w:rPr>
        <w:t xml:space="preserve">Eind september 2014 bedroeg het totale eigen vermogen 16,2 miljard euro, een stijging met </w:t>
      </w:r>
      <w:r w:rsidR="00CB1F58" w:rsidRPr="00CB1F58">
        <w:rPr>
          <w:rFonts w:cs="Arial"/>
          <w:color w:val="003768"/>
          <w:lang w:val="nl-BE"/>
        </w:rPr>
        <w:t xml:space="preserve">                        </w:t>
      </w:r>
      <w:r w:rsidRPr="00CB1F58">
        <w:rPr>
          <w:rFonts w:cs="Arial"/>
          <w:color w:val="003768"/>
          <w:lang w:val="nl-BE"/>
        </w:rPr>
        <w:t xml:space="preserve">1,7 miljard euro tegenover het begin van het jaar, voornamelijk omdat het </w:t>
      </w:r>
      <w:proofErr w:type="spellStart"/>
      <w:r w:rsidRPr="00CB1F58">
        <w:rPr>
          <w:rFonts w:cs="Arial"/>
          <w:color w:val="003768"/>
          <w:lang w:val="nl-BE"/>
        </w:rPr>
        <w:t>Additional</w:t>
      </w:r>
      <w:proofErr w:type="spellEnd"/>
      <w:r w:rsidRPr="00CB1F58">
        <w:rPr>
          <w:rFonts w:cs="Arial"/>
          <w:color w:val="003768"/>
          <w:lang w:val="nl-BE"/>
        </w:rPr>
        <w:t xml:space="preserve"> Tier 1-instrument (+1,4 miljard euro) dat in maart werd uitgegeven daarin is opgenomen. Andere factoren die in de eerste negen maanden van 2014 een invloed hadden op het totale eigen vermogen waren de terugbetaling van 0,5 miljard euro (inclusief de premie van 50%) aan de Vlaamse overheid, de opname van de resultaten van de eerste negen maanden van 2014 (+1,3 miljard euro) en de inkoop van '</w:t>
      </w:r>
      <w:proofErr w:type="spellStart"/>
      <w:r w:rsidRPr="00CB1F58">
        <w:rPr>
          <w:rFonts w:cs="Arial"/>
          <w:color w:val="003768"/>
          <w:lang w:val="nl-BE"/>
        </w:rPr>
        <w:t>funding</w:t>
      </w:r>
      <w:proofErr w:type="spellEnd"/>
      <w:r w:rsidRPr="00CB1F58">
        <w:rPr>
          <w:rFonts w:cs="Arial"/>
          <w:color w:val="003768"/>
          <w:lang w:val="nl-BE"/>
        </w:rPr>
        <w:t xml:space="preserve"> trust </w:t>
      </w:r>
      <w:proofErr w:type="spellStart"/>
      <w:r w:rsidRPr="00CB1F58">
        <w:rPr>
          <w:rFonts w:cs="Arial"/>
          <w:color w:val="003768"/>
          <w:lang w:val="nl-BE"/>
        </w:rPr>
        <w:t>securities</w:t>
      </w:r>
      <w:proofErr w:type="spellEnd"/>
      <w:r w:rsidRPr="00CB1F58">
        <w:rPr>
          <w:rFonts w:cs="Arial"/>
          <w:color w:val="003768"/>
          <w:lang w:val="nl-BE"/>
        </w:rPr>
        <w:t>' (-0,4 miljard euro in belangen van derden).</w:t>
      </w:r>
    </w:p>
    <w:p w:rsidR="00792DBF" w:rsidRPr="00792DBF"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 xml:space="preserve">De common </w:t>
      </w:r>
      <w:proofErr w:type="spellStart"/>
      <w:r w:rsidRPr="00792DBF">
        <w:rPr>
          <w:rFonts w:cs="Arial"/>
          <w:color w:val="003768"/>
          <w:lang w:val="nl-BE"/>
        </w:rPr>
        <w:t>equity</w:t>
      </w:r>
      <w:proofErr w:type="spellEnd"/>
      <w:r w:rsidRPr="00792DBF">
        <w:rPr>
          <w:rFonts w:cs="Arial"/>
          <w:color w:val="003768"/>
          <w:lang w:val="nl-BE"/>
        </w:rPr>
        <w:t xml:space="preserve"> ratio van de groep (</w:t>
      </w:r>
      <w:proofErr w:type="spellStart"/>
      <w:r w:rsidRPr="00792DBF">
        <w:rPr>
          <w:rFonts w:cs="Arial"/>
          <w:color w:val="003768"/>
          <w:lang w:val="nl-BE"/>
        </w:rPr>
        <w:t>Basel</w:t>
      </w:r>
      <w:proofErr w:type="spellEnd"/>
      <w:r w:rsidRPr="00792DBF">
        <w:rPr>
          <w:rFonts w:cs="Arial"/>
          <w:color w:val="003768"/>
          <w:lang w:val="nl-BE"/>
        </w:rPr>
        <w:t xml:space="preserve"> III, </w:t>
      </w:r>
      <w:proofErr w:type="spellStart"/>
      <w:r w:rsidRPr="00792DBF">
        <w:rPr>
          <w:rFonts w:cs="Arial"/>
          <w:color w:val="003768"/>
          <w:lang w:val="nl-BE"/>
        </w:rPr>
        <w:t>fully</w:t>
      </w:r>
      <w:proofErr w:type="spellEnd"/>
      <w:r w:rsidRPr="00792DBF">
        <w:rPr>
          <w:rFonts w:cs="Arial"/>
          <w:color w:val="003768"/>
          <w:lang w:val="nl-BE"/>
        </w:rPr>
        <w:t xml:space="preserve"> </w:t>
      </w:r>
      <w:proofErr w:type="spellStart"/>
      <w:r w:rsidRPr="00792DBF">
        <w:rPr>
          <w:rFonts w:cs="Arial"/>
          <w:color w:val="003768"/>
          <w:lang w:val="nl-BE"/>
        </w:rPr>
        <w:t>loaded</w:t>
      </w:r>
      <w:proofErr w:type="spellEnd"/>
      <w:r w:rsidRPr="00792DBF">
        <w:rPr>
          <w:rFonts w:cs="Arial"/>
          <w:color w:val="003768"/>
          <w:lang w:val="nl-BE"/>
        </w:rPr>
        <w:t xml:space="preserve">, volgens de Deense compromismethode, inclusief de resterende steun van de Vlaamse overheid) bedroeg op 30 september 2014 een stevige 13,7%. </w:t>
      </w:r>
    </w:p>
    <w:p w:rsidR="00792DBF" w:rsidRPr="00792DBF"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De solvabiliteitsratio van KBC Verzekeringen bedroeg op 30 september 2014 een uitstekende 329%, een verdere stijging tegenover de al erg hoge 281% aan het einde van 2013.</w:t>
      </w:r>
    </w:p>
    <w:p w:rsidR="00792DBF" w:rsidRPr="00792DBF" w:rsidRDefault="00792DBF" w:rsidP="00792DBF">
      <w:pPr>
        <w:autoSpaceDE w:val="0"/>
        <w:autoSpaceDN w:val="0"/>
        <w:adjustRightInd w:val="0"/>
        <w:spacing w:after="120" w:line="240" w:lineRule="auto"/>
        <w:ind w:left="992" w:right="6"/>
        <w:jc w:val="both"/>
        <w:rPr>
          <w:rFonts w:cs="Arial"/>
          <w:b/>
          <w:color w:val="003768"/>
          <w:lang w:val="nl-BE"/>
        </w:rPr>
      </w:pPr>
    </w:p>
    <w:p w:rsidR="00792DBF" w:rsidRPr="00792DBF" w:rsidRDefault="00792DBF" w:rsidP="00792DBF">
      <w:pPr>
        <w:autoSpaceDE w:val="0"/>
        <w:autoSpaceDN w:val="0"/>
        <w:adjustRightInd w:val="0"/>
        <w:spacing w:after="120" w:line="240" w:lineRule="auto"/>
        <w:ind w:left="992" w:right="6"/>
        <w:jc w:val="both"/>
        <w:rPr>
          <w:rFonts w:cs="Arial"/>
          <w:b/>
          <w:color w:val="003768"/>
          <w:lang w:val="nl-BE"/>
        </w:rPr>
      </w:pPr>
      <w:r w:rsidRPr="00792DBF">
        <w:rPr>
          <w:rFonts w:cs="Arial"/>
          <w:b/>
          <w:color w:val="003768"/>
          <w:lang w:val="nl-BE"/>
        </w:rPr>
        <w:t>Liquiditeit</w:t>
      </w:r>
    </w:p>
    <w:p w:rsidR="00792DBF" w:rsidRPr="00792DBF" w:rsidRDefault="00792DBF" w:rsidP="00792DBF">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792DBF">
        <w:rPr>
          <w:rFonts w:cs="Arial"/>
          <w:color w:val="003768"/>
          <w:lang w:val="nl-BE"/>
        </w:rPr>
        <w:t>De liquiditeit van de groep bleef uitstekend, wat zich uit in een LCR-ratio van 120% en een NSFR-ratio van 109% op het einde van het derde kwartaal van 2014.</w:t>
      </w:r>
    </w:p>
    <w:p w:rsidR="00792DBF" w:rsidRPr="00715235" w:rsidRDefault="00792DBF">
      <w:pPr>
        <w:spacing w:after="0" w:line="240" w:lineRule="auto"/>
        <w:rPr>
          <w:rFonts w:cs="Arial"/>
          <w:color w:val="003768"/>
          <w:lang w:val="nl-BE"/>
        </w:rPr>
      </w:pPr>
      <w:r w:rsidRPr="00715235">
        <w:rPr>
          <w:rFonts w:cs="Arial"/>
          <w:color w:val="003768"/>
          <w:lang w:val="nl-BE"/>
        </w:rPr>
        <w:br w:type="page"/>
      </w:r>
    </w:p>
    <w:p w:rsidR="003C1B2C" w:rsidRDefault="003C1B2C" w:rsidP="00B744CA">
      <w:pPr>
        <w:autoSpaceDE w:val="0"/>
        <w:autoSpaceDN w:val="0"/>
        <w:adjustRightInd w:val="0"/>
        <w:spacing w:after="120" w:line="240" w:lineRule="auto"/>
        <w:ind w:left="992" w:right="6"/>
        <w:jc w:val="both"/>
        <w:rPr>
          <w:rFonts w:cs="Arial"/>
          <w:color w:val="003768"/>
        </w:rPr>
      </w:pPr>
      <w:r>
        <w:rPr>
          <w:rFonts w:cs="Arial"/>
          <w:bCs/>
          <w:noProof/>
          <w:color w:val="003768"/>
          <w:lang w:val="nl-BE" w:eastAsia="nl-BE"/>
        </w:rPr>
        <w:lastRenderedPageBreak/>
        <w:drawing>
          <wp:inline distT="0" distB="0" distL="0" distR="0" wp14:anchorId="27DF31ED" wp14:editId="388B29AA">
            <wp:extent cx="6451200" cy="500400"/>
            <wp:effectExtent l="0" t="0" r="6985" b="0"/>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1200" cy="500400"/>
                    </a:xfrm>
                    <a:prstGeom prst="rect">
                      <a:avLst/>
                    </a:prstGeom>
                    <a:noFill/>
                  </pic:spPr>
                </pic:pic>
              </a:graphicData>
            </a:graphic>
          </wp:inline>
        </w:drawing>
      </w:r>
    </w:p>
    <w:p w:rsidR="001E3011" w:rsidRDefault="001E3011" w:rsidP="00B744CA">
      <w:pPr>
        <w:autoSpaceDE w:val="0"/>
        <w:autoSpaceDN w:val="0"/>
        <w:adjustRightInd w:val="0"/>
        <w:spacing w:after="120" w:line="240" w:lineRule="auto"/>
        <w:ind w:left="992" w:right="6"/>
        <w:jc w:val="both"/>
        <w:rPr>
          <w:rFonts w:cs="Arial"/>
          <w:color w:val="003768"/>
        </w:rPr>
      </w:pPr>
    </w:p>
    <w:tbl>
      <w:tblPr>
        <w:tblW w:w="9492" w:type="dxa"/>
        <w:tblInd w:w="1242" w:type="dxa"/>
        <w:tblLook w:val="01E0" w:firstRow="1" w:lastRow="1" w:firstColumn="1" w:lastColumn="1" w:noHBand="0" w:noVBand="0"/>
      </w:tblPr>
      <w:tblGrid>
        <w:gridCol w:w="3170"/>
        <w:gridCol w:w="794"/>
        <w:gridCol w:w="794"/>
        <w:gridCol w:w="794"/>
        <w:gridCol w:w="794"/>
        <w:gridCol w:w="794"/>
        <w:gridCol w:w="794"/>
        <w:gridCol w:w="764"/>
        <w:gridCol w:w="794"/>
      </w:tblGrid>
      <w:tr w:rsidR="003C1B2C" w:rsidRPr="003C1B2C" w:rsidTr="001E3011">
        <w:tc>
          <w:tcPr>
            <w:tcW w:w="3170" w:type="dxa"/>
            <w:shd w:val="clear" w:color="auto" w:fill="365F91" w:themeFill="accent1" w:themeFillShade="BF"/>
            <w:vAlign w:val="center"/>
          </w:tcPr>
          <w:p w:rsidR="003C1B2C" w:rsidRPr="003C1B2C" w:rsidRDefault="003C1B2C" w:rsidP="003C1B2C">
            <w:pPr>
              <w:spacing w:after="0" w:line="240" w:lineRule="auto"/>
              <w:rPr>
                <w:rFonts w:ascii="Arial" w:eastAsia="Times New Roman" w:hAnsi="Arial"/>
                <w:b/>
                <w:snapToGrid w:val="0"/>
                <w:color w:val="FFFFFF" w:themeColor="background1"/>
                <w:sz w:val="20"/>
                <w:szCs w:val="24"/>
                <w:lang w:val="nl-BE"/>
              </w:rPr>
            </w:pPr>
            <w:r w:rsidRPr="003C1B2C">
              <w:rPr>
                <w:rFonts w:ascii="Arial" w:eastAsia="Times New Roman" w:hAnsi="Arial"/>
                <w:snapToGrid w:val="0"/>
                <w:color w:val="FFFFFF" w:themeColor="background1"/>
                <w:sz w:val="14"/>
                <w:szCs w:val="24"/>
                <w:lang w:val="nl-BE"/>
              </w:rPr>
              <w:t>Hoofdlijnen van de geconsolideerde balans *</w:t>
            </w:r>
            <w:r w:rsidRPr="003C1B2C">
              <w:rPr>
                <w:rFonts w:ascii="Arial" w:eastAsia="Times New Roman" w:hAnsi="Arial"/>
                <w:snapToGrid w:val="0"/>
                <w:color w:val="FFFFFF" w:themeColor="background1"/>
                <w:sz w:val="14"/>
                <w:szCs w:val="24"/>
                <w:lang w:val="nl-BE"/>
              </w:rPr>
              <w:br/>
              <w:t>van KBC-groep (in miljoenen euro)</w:t>
            </w:r>
          </w:p>
        </w:tc>
        <w:tc>
          <w:tcPr>
            <w:tcW w:w="794" w:type="dxa"/>
            <w:shd w:val="clear" w:color="auto" w:fill="365F91" w:themeFill="accent1" w:themeFillShade="BF"/>
            <w:vAlign w:val="center"/>
          </w:tcPr>
          <w:p w:rsidR="003C1B2C" w:rsidRPr="003C1B2C" w:rsidRDefault="003C1B2C" w:rsidP="003C1B2C">
            <w:pPr>
              <w:spacing w:after="0" w:line="240" w:lineRule="auto"/>
              <w:jc w:val="right"/>
              <w:rPr>
                <w:rFonts w:ascii="Arial" w:eastAsia="Times New Roman" w:hAnsi="Arial"/>
                <w:bCs/>
                <w:snapToGrid w:val="0"/>
                <w:color w:val="FFFFFF" w:themeColor="background1"/>
                <w:sz w:val="14"/>
                <w:szCs w:val="14"/>
                <w:lang w:val="en-GB"/>
              </w:rPr>
            </w:pPr>
            <w:r w:rsidRPr="003C1B2C">
              <w:rPr>
                <w:rFonts w:ascii="Arial" w:eastAsia="Times New Roman" w:hAnsi="Arial"/>
                <w:bCs/>
                <w:snapToGrid w:val="0"/>
                <w:color w:val="FFFFFF" w:themeColor="background1"/>
                <w:sz w:val="14"/>
                <w:szCs w:val="14"/>
                <w:lang w:val="en-GB"/>
              </w:rPr>
              <w:t>31-03-2013</w:t>
            </w:r>
          </w:p>
        </w:tc>
        <w:tc>
          <w:tcPr>
            <w:tcW w:w="794" w:type="dxa"/>
            <w:shd w:val="clear" w:color="auto" w:fill="365F91" w:themeFill="accent1" w:themeFillShade="BF"/>
            <w:vAlign w:val="center"/>
          </w:tcPr>
          <w:p w:rsidR="003C1B2C" w:rsidRPr="003C1B2C" w:rsidRDefault="003C1B2C" w:rsidP="003C1B2C">
            <w:pPr>
              <w:spacing w:after="0" w:line="240" w:lineRule="auto"/>
              <w:jc w:val="right"/>
              <w:rPr>
                <w:rFonts w:ascii="Arial" w:eastAsia="Times New Roman" w:hAnsi="Arial"/>
                <w:bCs/>
                <w:snapToGrid w:val="0"/>
                <w:color w:val="FFFFFF" w:themeColor="background1"/>
                <w:sz w:val="14"/>
                <w:szCs w:val="14"/>
                <w:lang w:val="en-GB"/>
              </w:rPr>
            </w:pPr>
            <w:r w:rsidRPr="003C1B2C">
              <w:rPr>
                <w:rFonts w:ascii="Arial" w:eastAsia="Times New Roman" w:hAnsi="Arial"/>
                <w:bCs/>
                <w:snapToGrid w:val="0"/>
                <w:color w:val="FFFFFF" w:themeColor="background1"/>
                <w:sz w:val="14"/>
                <w:szCs w:val="14"/>
                <w:lang w:val="en-GB"/>
              </w:rPr>
              <w:t>30-06-2013</w:t>
            </w:r>
          </w:p>
        </w:tc>
        <w:tc>
          <w:tcPr>
            <w:tcW w:w="794" w:type="dxa"/>
            <w:shd w:val="clear" w:color="auto" w:fill="365F91" w:themeFill="accent1" w:themeFillShade="BF"/>
            <w:vAlign w:val="center"/>
          </w:tcPr>
          <w:p w:rsidR="003C1B2C" w:rsidRPr="003C1B2C" w:rsidRDefault="003C1B2C" w:rsidP="003C1B2C">
            <w:pPr>
              <w:spacing w:after="0" w:line="240" w:lineRule="auto"/>
              <w:jc w:val="right"/>
              <w:rPr>
                <w:rFonts w:ascii="Arial" w:eastAsia="Times New Roman" w:hAnsi="Arial"/>
                <w:bCs/>
                <w:snapToGrid w:val="0"/>
                <w:color w:val="FFFFFF" w:themeColor="background1"/>
                <w:sz w:val="14"/>
                <w:szCs w:val="14"/>
                <w:lang w:val="en-GB"/>
              </w:rPr>
            </w:pPr>
            <w:r w:rsidRPr="003C1B2C">
              <w:rPr>
                <w:rFonts w:ascii="Arial" w:eastAsia="Times New Roman" w:hAnsi="Arial"/>
                <w:bCs/>
                <w:snapToGrid w:val="0"/>
                <w:color w:val="FFFFFF" w:themeColor="background1"/>
                <w:sz w:val="14"/>
                <w:szCs w:val="14"/>
                <w:lang w:val="en-GB"/>
              </w:rPr>
              <w:t>30-09-2013</w:t>
            </w:r>
          </w:p>
        </w:tc>
        <w:tc>
          <w:tcPr>
            <w:tcW w:w="794" w:type="dxa"/>
            <w:shd w:val="clear" w:color="auto" w:fill="365F91" w:themeFill="accent1" w:themeFillShade="BF"/>
            <w:vAlign w:val="center"/>
          </w:tcPr>
          <w:p w:rsidR="003C1B2C" w:rsidRPr="003C1B2C" w:rsidRDefault="003C1B2C" w:rsidP="003C1B2C">
            <w:pPr>
              <w:spacing w:after="0" w:line="240" w:lineRule="auto"/>
              <w:jc w:val="right"/>
              <w:rPr>
                <w:rFonts w:ascii="Arial" w:eastAsia="Times New Roman" w:hAnsi="Arial"/>
                <w:bCs/>
                <w:snapToGrid w:val="0"/>
                <w:color w:val="FFFFFF" w:themeColor="background1"/>
                <w:sz w:val="14"/>
                <w:szCs w:val="14"/>
                <w:lang w:val="en-GB"/>
              </w:rPr>
            </w:pPr>
            <w:r w:rsidRPr="003C1B2C">
              <w:rPr>
                <w:rFonts w:ascii="Arial" w:eastAsia="Times New Roman" w:hAnsi="Arial"/>
                <w:bCs/>
                <w:snapToGrid w:val="0"/>
                <w:color w:val="FFFFFF" w:themeColor="background1"/>
                <w:sz w:val="14"/>
                <w:szCs w:val="14"/>
                <w:lang w:val="en-GB"/>
              </w:rPr>
              <w:t>31-12-2013</w:t>
            </w:r>
          </w:p>
        </w:tc>
        <w:tc>
          <w:tcPr>
            <w:tcW w:w="794" w:type="dxa"/>
            <w:shd w:val="clear" w:color="auto" w:fill="365F91" w:themeFill="accent1" w:themeFillShade="BF"/>
            <w:vAlign w:val="center"/>
          </w:tcPr>
          <w:p w:rsidR="003C1B2C" w:rsidRPr="003C1B2C" w:rsidRDefault="003C1B2C" w:rsidP="003C1B2C">
            <w:pPr>
              <w:spacing w:after="0" w:line="240" w:lineRule="auto"/>
              <w:jc w:val="right"/>
              <w:rPr>
                <w:rFonts w:ascii="Arial" w:eastAsia="Times New Roman" w:hAnsi="Arial"/>
                <w:bCs/>
                <w:snapToGrid w:val="0"/>
                <w:color w:val="FFFFFF" w:themeColor="background1"/>
                <w:sz w:val="14"/>
                <w:szCs w:val="14"/>
                <w:lang w:val="en-GB"/>
              </w:rPr>
            </w:pPr>
            <w:r w:rsidRPr="003C1B2C">
              <w:rPr>
                <w:rFonts w:ascii="Arial" w:eastAsia="Times New Roman" w:hAnsi="Arial"/>
                <w:bCs/>
                <w:snapToGrid w:val="0"/>
                <w:color w:val="FFFFFF" w:themeColor="background1"/>
                <w:sz w:val="14"/>
                <w:szCs w:val="14"/>
                <w:lang w:val="en-GB"/>
              </w:rPr>
              <w:t>31-03-2014</w:t>
            </w:r>
          </w:p>
        </w:tc>
        <w:tc>
          <w:tcPr>
            <w:tcW w:w="794" w:type="dxa"/>
            <w:shd w:val="clear" w:color="auto" w:fill="365F91" w:themeFill="accent1" w:themeFillShade="BF"/>
            <w:vAlign w:val="center"/>
          </w:tcPr>
          <w:p w:rsidR="003C1B2C" w:rsidRPr="003C1B2C" w:rsidRDefault="003C1B2C" w:rsidP="003C1B2C">
            <w:pPr>
              <w:spacing w:after="0" w:line="240" w:lineRule="auto"/>
              <w:jc w:val="right"/>
              <w:rPr>
                <w:rFonts w:ascii="Arial" w:eastAsia="Times New Roman" w:hAnsi="Arial"/>
                <w:bCs/>
                <w:snapToGrid w:val="0"/>
                <w:color w:val="FFFFFF" w:themeColor="background1"/>
                <w:sz w:val="14"/>
                <w:szCs w:val="14"/>
                <w:lang w:val="en-GB"/>
              </w:rPr>
            </w:pPr>
            <w:r w:rsidRPr="003C1B2C">
              <w:rPr>
                <w:rFonts w:ascii="Arial" w:eastAsia="Times New Roman" w:hAnsi="Arial"/>
                <w:bCs/>
                <w:snapToGrid w:val="0"/>
                <w:color w:val="FFFFFF" w:themeColor="background1"/>
                <w:sz w:val="14"/>
                <w:szCs w:val="14"/>
                <w:lang w:val="en-GB"/>
              </w:rPr>
              <w:t>30-06-2014</w:t>
            </w:r>
          </w:p>
        </w:tc>
        <w:tc>
          <w:tcPr>
            <w:tcW w:w="764" w:type="dxa"/>
            <w:shd w:val="clear" w:color="auto" w:fill="365F91" w:themeFill="accent1" w:themeFillShade="BF"/>
            <w:vAlign w:val="center"/>
          </w:tcPr>
          <w:p w:rsidR="003C1B2C" w:rsidRPr="003C1B2C" w:rsidRDefault="003C1B2C" w:rsidP="003C1B2C">
            <w:pPr>
              <w:spacing w:after="0" w:line="240" w:lineRule="auto"/>
              <w:jc w:val="right"/>
              <w:rPr>
                <w:rFonts w:ascii="Arial" w:eastAsia="Times New Roman" w:hAnsi="Arial"/>
                <w:bCs/>
                <w:snapToGrid w:val="0"/>
                <w:color w:val="FFFFFF" w:themeColor="background1"/>
                <w:sz w:val="14"/>
                <w:szCs w:val="14"/>
                <w:lang w:val="en-GB"/>
              </w:rPr>
            </w:pPr>
            <w:r w:rsidRPr="003C1B2C">
              <w:rPr>
                <w:rFonts w:ascii="Arial" w:eastAsia="Times New Roman" w:hAnsi="Arial"/>
                <w:bCs/>
                <w:snapToGrid w:val="0"/>
                <w:color w:val="FFFFFF" w:themeColor="background1"/>
                <w:sz w:val="14"/>
                <w:szCs w:val="14"/>
                <w:lang w:val="en-GB"/>
              </w:rPr>
              <w:t>30-09-2014</w:t>
            </w:r>
          </w:p>
        </w:tc>
        <w:tc>
          <w:tcPr>
            <w:tcW w:w="794" w:type="dxa"/>
            <w:shd w:val="clear" w:color="auto" w:fill="365F91" w:themeFill="accent1" w:themeFillShade="BF"/>
            <w:vAlign w:val="center"/>
          </w:tcPr>
          <w:p w:rsidR="003C1B2C" w:rsidRPr="003C1B2C" w:rsidRDefault="003C1B2C" w:rsidP="003C1B2C">
            <w:pPr>
              <w:spacing w:after="0" w:line="240" w:lineRule="auto"/>
              <w:jc w:val="right"/>
              <w:rPr>
                <w:rFonts w:ascii="Arial" w:eastAsia="Times New Roman" w:hAnsi="Arial"/>
                <w:bCs/>
                <w:snapToGrid w:val="0"/>
                <w:color w:val="FFFFFF" w:themeColor="background1"/>
                <w:sz w:val="14"/>
                <w:szCs w:val="14"/>
                <w:lang w:val="en-GB"/>
              </w:rPr>
            </w:pPr>
            <w:r w:rsidRPr="003C1B2C">
              <w:rPr>
                <w:rFonts w:ascii="Arial" w:eastAsia="Times New Roman" w:hAnsi="Arial"/>
                <w:bCs/>
                <w:snapToGrid w:val="0"/>
                <w:color w:val="FFFFFF" w:themeColor="background1"/>
                <w:sz w:val="14"/>
                <w:szCs w:val="14"/>
                <w:lang w:val="en-GB"/>
              </w:rPr>
              <w:t>31-12-2014</w:t>
            </w:r>
          </w:p>
        </w:tc>
      </w:tr>
      <w:tr w:rsidR="003C1B2C" w:rsidRPr="003C1B2C" w:rsidTr="001E3011">
        <w:trPr>
          <w:trHeight w:val="284"/>
        </w:trPr>
        <w:tc>
          <w:tcPr>
            <w:tcW w:w="3170" w:type="dxa"/>
            <w:vAlign w:val="center"/>
          </w:tcPr>
          <w:p w:rsidR="003C1B2C" w:rsidRPr="003C1B2C" w:rsidRDefault="003C1B2C" w:rsidP="003C1B2C">
            <w:pPr>
              <w:spacing w:after="0" w:line="240" w:lineRule="auto"/>
              <w:rPr>
                <w:rFonts w:ascii="Arial" w:eastAsia="Times New Roman" w:hAnsi="Arial"/>
                <w:b/>
                <w:snapToGrid w:val="0"/>
                <w:sz w:val="20"/>
                <w:szCs w:val="24"/>
                <w:lang w:val="nl-BE"/>
              </w:rPr>
            </w:pPr>
            <w:r w:rsidRPr="003C1B2C">
              <w:rPr>
                <w:rFonts w:ascii="Arial" w:eastAsia="Times New Roman" w:hAnsi="Arial"/>
                <w:snapToGrid w:val="0"/>
                <w:sz w:val="14"/>
                <w:szCs w:val="24"/>
                <w:lang w:val="nl-BE"/>
              </w:rPr>
              <w:t>Totaal activa</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255 753</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250 557</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247 530</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238 686</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246 179</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252 768</w:t>
            </w:r>
          </w:p>
        </w:tc>
        <w:tc>
          <w:tcPr>
            <w:tcW w:w="764" w:type="dxa"/>
            <w:shd w:val="clear" w:color="auto" w:fill="DBE5F1" w:themeFill="accent1" w:themeFillTint="33"/>
            <w:vAlign w:val="center"/>
          </w:tcPr>
          <w:p w:rsidR="003C1B2C" w:rsidRPr="003C1B2C" w:rsidRDefault="003C1B2C" w:rsidP="003C1B2C">
            <w:pPr>
              <w:spacing w:after="0" w:line="240" w:lineRule="auto"/>
              <w:jc w:val="center"/>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251 612</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w:t>
            </w:r>
          </w:p>
        </w:tc>
      </w:tr>
      <w:tr w:rsidR="003C1B2C" w:rsidRPr="003C1B2C" w:rsidTr="001E3011">
        <w:trPr>
          <w:trHeight w:val="284"/>
        </w:trPr>
        <w:tc>
          <w:tcPr>
            <w:tcW w:w="3170" w:type="dxa"/>
            <w:vAlign w:val="center"/>
          </w:tcPr>
          <w:p w:rsidR="003C1B2C" w:rsidRPr="003C1B2C" w:rsidRDefault="003C1B2C" w:rsidP="003C1B2C">
            <w:pPr>
              <w:spacing w:after="0" w:line="240" w:lineRule="auto"/>
              <w:rPr>
                <w:rFonts w:ascii="Arial" w:eastAsia="Times New Roman" w:hAnsi="Arial"/>
                <w:b/>
                <w:snapToGrid w:val="0"/>
                <w:sz w:val="20"/>
                <w:szCs w:val="24"/>
                <w:lang w:val="nl-BE"/>
              </w:rPr>
            </w:pPr>
            <w:r w:rsidRPr="003C1B2C">
              <w:rPr>
                <w:rFonts w:ascii="Arial" w:eastAsia="Times New Roman" w:hAnsi="Arial"/>
                <w:snapToGrid w:val="0"/>
                <w:sz w:val="14"/>
                <w:szCs w:val="24"/>
                <w:lang w:val="nl-BE"/>
              </w:rPr>
              <w:t>Leningen en voorschotten aan cliënten</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127 112</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129 179</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125 795</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120 371</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120 810</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124 661</w:t>
            </w:r>
          </w:p>
        </w:tc>
        <w:tc>
          <w:tcPr>
            <w:tcW w:w="764" w:type="dxa"/>
            <w:shd w:val="clear" w:color="auto" w:fill="DBE5F1" w:themeFill="accent1" w:themeFillTint="33"/>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125 898</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w:t>
            </w:r>
          </w:p>
        </w:tc>
      </w:tr>
      <w:tr w:rsidR="003C1B2C" w:rsidRPr="003C1B2C" w:rsidTr="001E3011">
        <w:trPr>
          <w:trHeight w:val="284"/>
        </w:trPr>
        <w:tc>
          <w:tcPr>
            <w:tcW w:w="3170" w:type="dxa"/>
            <w:vAlign w:val="center"/>
          </w:tcPr>
          <w:p w:rsidR="003C1B2C" w:rsidRPr="003C1B2C" w:rsidRDefault="003C1B2C" w:rsidP="003C1B2C">
            <w:pPr>
              <w:spacing w:after="0" w:line="240" w:lineRule="auto"/>
              <w:rPr>
                <w:rFonts w:ascii="Arial" w:eastAsia="Times New Roman" w:hAnsi="Arial"/>
                <w:b/>
                <w:snapToGrid w:val="0"/>
                <w:sz w:val="20"/>
                <w:szCs w:val="24"/>
                <w:lang w:val="nl-BE"/>
              </w:rPr>
            </w:pPr>
            <w:r w:rsidRPr="003C1B2C">
              <w:rPr>
                <w:rFonts w:ascii="Arial" w:eastAsia="Times New Roman" w:hAnsi="Arial"/>
                <w:snapToGrid w:val="0"/>
                <w:sz w:val="14"/>
                <w:szCs w:val="24"/>
                <w:lang w:val="nl-BE"/>
              </w:rPr>
              <w:t>Effecten (eigenvermogens- en schuldinstrumenten)</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64 777</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65 435</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63 854</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64 904</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66 313</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68 380</w:t>
            </w:r>
          </w:p>
        </w:tc>
        <w:tc>
          <w:tcPr>
            <w:tcW w:w="764" w:type="dxa"/>
            <w:shd w:val="clear" w:color="auto" w:fill="DBE5F1" w:themeFill="accent1" w:themeFillTint="33"/>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69 530</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w:t>
            </w:r>
          </w:p>
        </w:tc>
      </w:tr>
      <w:tr w:rsidR="003C1B2C" w:rsidRPr="003C1B2C" w:rsidTr="001E3011">
        <w:trPr>
          <w:trHeight w:val="284"/>
        </w:trPr>
        <w:tc>
          <w:tcPr>
            <w:tcW w:w="3170" w:type="dxa"/>
            <w:vAlign w:val="center"/>
          </w:tcPr>
          <w:p w:rsidR="003C1B2C" w:rsidRPr="003C1B2C" w:rsidRDefault="003C1B2C" w:rsidP="003C1B2C">
            <w:pPr>
              <w:spacing w:after="0" w:line="240" w:lineRule="auto"/>
              <w:rPr>
                <w:rFonts w:ascii="Arial" w:eastAsia="Times New Roman" w:hAnsi="Arial"/>
                <w:b/>
                <w:snapToGrid w:val="0"/>
                <w:sz w:val="20"/>
                <w:szCs w:val="24"/>
                <w:lang w:val="nl-BE"/>
              </w:rPr>
            </w:pPr>
            <w:r w:rsidRPr="003C1B2C">
              <w:rPr>
                <w:rFonts w:ascii="Arial" w:eastAsia="Times New Roman" w:hAnsi="Arial"/>
                <w:snapToGrid w:val="0"/>
                <w:sz w:val="14"/>
                <w:szCs w:val="24"/>
                <w:lang w:val="nl-BE"/>
              </w:rPr>
              <w:t>Deposito’s van cliënten en schuldpapier</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164 766</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164 213</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166 223</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161 135</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163 838</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166 407</w:t>
            </w:r>
          </w:p>
        </w:tc>
        <w:tc>
          <w:tcPr>
            <w:tcW w:w="764" w:type="dxa"/>
            <w:shd w:val="clear" w:color="auto" w:fill="DBE5F1" w:themeFill="accent1" w:themeFillTint="33"/>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166 843</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w:t>
            </w:r>
          </w:p>
        </w:tc>
      </w:tr>
      <w:tr w:rsidR="003C1B2C" w:rsidRPr="003C1B2C" w:rsidTr="001E3011">
        <w:trPr>
          <w:trHeight w:val="74"/>
        </w:trPr>
        <w:tc>
          <w:tcPr>
            <w:tcW w:w="3170" w:type="dxa"/>
            <w:vAlign w:val="center"/>
          </w:tcPr>
          <w:p w:rsidR="003C1B2C" w:rsidRPr="003C1B2C" w:rsidRDefault="003C1B2C" w:rsidP="003C1B2C">
            <w:pPr>
              <w:spacing w:before="120" w:after="0" w:line="240" w:lineRule="auto"/>
              <w:rPr>
                <w:rFonts w:ascii="Arial" w:eastAsia="Times New Roman" w:hAnsi="Arial"/>
                <w:b/>
                <w:snapToGrid w:val="0"/>
                <w:sz w:val="20"/>
                <w:szCs w:val="24"/>
                <w:lang w:val="nl-BE"/>
              </w:rPr>
            </w:pPr>
            <w:r w:rsidRPr="003C1B2C">
              <w:rPr>
                <w:rFonts w:ascii="Arial" w:eastAsia="Times New Roman" w:hAnsi="Arial"/>
                <w:snapToGrid w:val="0"/>
                <w:sz w:val="14"/>
                <w:szCs w:val="24"/>
                <w:lang w:val="nl-BE"/>
              </w:rPr>
              <w:t>Technische voorzieningen, vóór herverzekering</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18 836</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18 805</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18 803</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18 701</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18 941</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19 007</w:t>
            </w:r>
          </w:p>
        </w:tc>
        <w:tc>
          <w:tcPr>
            <w:tcW w:w="764" w:type="dxa"/>
            <w:shd w:val="clear" w:color="auto" w:fill="DBE5F1" w:themeFill="accent1" w:themeFillTint="33"/>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19 065</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w:t>
            </w:r>
          </w:p>
        </w:tc>
      </w:tr>
      <w:tr w:rsidR="003C1B2C" w:rsidRPr="003C1B2C" w:rsidTr="001E3011">
        <w:trPr>
          <w:trHeight w:val="284"/>
        </w:trPr>
        <w:tc>
          <w:tcPr>
            <w:tcW w:w="3170" w:type="dxa"/>
            <w:vAlign w:val="center"/>
          </w:tcPr>
          <w:p w:rsidR="003C1B2C" w:rsidRPr="003C1B2C" w:rsidRDefault="003C1B2C" w:rsidP="003C1B2C">
            <w:pPr>
              <w:spacing w:before="120" w:after="0" w:line="240" w:lineRule="auto"/>
              <w:rPr>
                <w:rFonts w:ascii="Arial" w:eastAsia="Times New Roman" w:hAnsi="Arial"/>
                <w:b/>
                <w:snapToGrid w:val="0"/>
                <w:sz w:val="20"/>
                <w:szCs w:val="24"/>
                <w:lang w:val="nl-BE"/>
              </w:rPr>
            </w:pPr>
            <w:r w:rsidRPr="003C1B2C">
              <w:rPr>
                <w:rFonts w:ascii="Arial" w:eastAsia="Times New Roman" w:hAnsi="Arial"/>
                <w:snapToGrid w:val="0"/>
                <w:sz w:val="14"/>
                <w:szCs w:val="24"/>
                <w:lang w:val="nl-BE"/>
              </w:rPr>
              <w:t>Schulden m.b.t. beleggingscontracten, verzekeringen</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11 664</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11 606</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11 684</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11 787</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11 976</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12 322</w:t>
            </w:r>
          </w:p>
        </w:tc>
        <w:tc>
          <w:tcPr>
            <w:tcW w:w="764" w:type="dxa"/>
            <w:shd w:val="clear" w:color="auto" w:fill="DBE5F1" w:themeFill="accent1" w:themeFillTint="33"/>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12 540</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w:t>
            </w:r>
          </w:p>
        </w:tc>
      </w:tr>
      <w:tr w:rsidR="003C1B2C" w:rsidRPr="003C1B2C" w:rsidTr="001E3011">
        <w:trPr>
          <w:trHeight w:val="284"/>
        </w:trPr>
        <w:tc>
          <w:tcPr>
            <w:tcW w:w="3170" w:type="dxa"/>
            <w:vAlign w:val="center"/>
          </w:tcPr>
          <w:p w:rsidR="003C1B2C" w:rsidRPr="003C1B2C" w:rsidRDefault="003C1B2C" w:rsidP="003C1B2C">
            <w:pPr>
              <w:spacing w:before="120" w:after="0" w:line="240" w:lineRule="auto"/>
              <w:rPr>
                <w:rFonts w:ascii="Arial" w:eastAsia="Times New Roman" w:hAnsi="Arial"/>
                <w:b/>
                <w:snapToGrid w:val="0"/>
                <w:sz w:val="20"/>
                <w:szCs w:val="24"/>
                <w:lang w:val="nl-BE"/>
              </w:rPr>
            </w:pPr>
            <w:r w:rsidRPr="003C1B2C">
              <w:rPr>
                <w:rFonts w:ascii="Arial" w:eastAsia="Times New Roman" w:hAnsi="Arial"/>
                <w:snapToGrid w:val="0"/>
                <w:sz w:val="14"/>
                <w:szCs w:val="24"/>
                <w:lang w:val="nl-BE"/>
              </w:rPr>
              <w:t>Eigen vermogen van de aandeelhouders</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12 505</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12 119</w:t>
            </w:r>
          </w:p>
        </w:tc>
        <w:tc>
          <w:tcPr>
            <w:tcW w:w="794" w:type="dxa"/>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11 895</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11 826</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11 968</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12 318</w:t>
            </w:r>
          </w:p>
        </w:tc>
        <w:tc>
          <w:tcPr>
            <w:tcW w:w="764" w:type="dxa"/>
            <w:shd w:val="clear" w:color="auto" w:fill="DBE5F1" w:themeFill="accent1" w:themeFillTint="33"/>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12 840</w:t>
            </w:r>
          </w:p>
        </w:tc>
        <w:tc>
          <w:tcPr>
            <w:tcW w:w="794" w:type="dxa"/>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w:t>
            </w:r>
          </w:p>
        </w:tc>
      </w:tr>
      <w:tr w:rsidR="003C1B2C" w:rsidRPr="003C1B2C" w:rsidTr="001E3011">
        <w:trPr>
          <w:trHeight w:val="284"/>
        </w:trPr>
        <w:tc>
          <w:tcPr>
            <w:tcW w:w="3170" w:type="dxa"/>
            <w:tcBorders>
              <w:bottom w:val="single" w:sz="8" w:space="0" w:color="1F497D" w:themeColor="text2"/>
            </w:tcBorders>
            <w:vAlign w:val="center"/>
          </w:tcPr>
          <w:p w:rsidR="003C1B2C" w:rsidRPr="003C1B2C" w:rsidRDefault="003C1B2C" w:rsidP="003C1B2C">
            <w:pPr>
              <w:spacing w:before="120" w:after="0" w:line="240" w:lineRule="auto"/>
              <w:rPr>
                <w:rFonts w:ascii="Arial" w:eastAsia="Times New Roman" w:hAnsi="Arial"/>
                <w:b/>
                <w:snapToGrid w:val="0"/>
                <w:sz w:val="20"/>
                <w:szCs w:val="24"/>
                <w:lang w:val="nl-BE"/>
              </w:rPr>
            </w:pPr>
            <w:r w:rsidRPr="003C1B2C">
              <w:rPr>
                <w:rFonts w:ascii="Arial" w:eastAsia="Times New Roman" w:hAnsi="Arial"/>
                <w:snapToGrid w:val="0"/>
                <w:sz w:val="14"/>
                <w:szCs w:val="24"/>
                <w:lang w:val="nl-BE"/>
              </w:rPr>
              <w:t>Niet-</w:t>
            </w:r>
            <w:proofErr w:type="spellStart"/>
            <w:r w:rsidRPr="003C1B2C">
              <w:rPr>
                <w:rFonts w:ascii="Arial" w:eastAsia="Times New Roman" w:hAnsi="Arial"/>
                <w:snapToGrid w:val="0"/>
                <w:sz w:val="14"/>
                <w:szCs w:val="24"/>
                <w:lang w:val="nl-BE"/>
              </w:rPr>
              <w:t>stemrechtverlenende</w:t>
            </w:r>
            <w:proofErr w:type="spellEnd"/>
            <w:r w:rsidRPr="003C1B2C">
              <w:rPr>
                <w:rFonts w:ascii="Arial" w:eastAsia="Times New Roman" w:hAnsi="Arial"/>
                <w:snapToGrid w:val="0"/>
                <w:sz w:val="14"/>
                <w:szCs w:val="24"/>
                <w:lang w:val="nl-BE"/>
              </w:rPr>
              <w:t xml:space="preserve"> kernkapitaaleffecten</w:t>
            </w:r>
          </w:p>
        </w:tc>
        <w:tc>
          <w:tcPr>
            <w:tcW w:w="794" w:type="dxa"/>
            <w:tcBorders>
              <w:bottom w:val="single" w:sz="8" w:space="0" w:color="1F497D" w:themeColor="text2"/>
            </w:tcBorders>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3 500</w:t>
            </w:r>
          </w:p>
        </w:tc>
        <w:tc>
          <w:tcPr>
            <w:tcW w:w="794" w:type="dxa"/>
            <w:tcBorders>
              <w:bottom w:val="single" w:sz="8" w:space="0" w:color="1F497D" w:themeColor="text2"/>
            </w:tcBorders>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3 500</w:t>
            </w:r>
          </w:p>
        </w:tc>
        <w:tc>
          <w:tcPr>
            <w:tcW w:w="794" w:type="dxa"/>
            <w:tcBorders>
              <w:bottom w:val="single" w:sz="8" w:space="0" w:color="1F497D" w:themeColor="text2"/>
            </w:tcBorders>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2 333</w:t>
            </w:r>
          </w:p>
        </w:tc>
        <w:tc>
          <w:tcPr>
            <w:tcW w:w="794" w:type="dxa"/>
            <w:tcBorders>
              <w:bottom w:val="single" w:sz="8" w:space="0" w:color="1F497D" w:themeColor="text2"/>
            </w:tcBorders>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2 333</w:t>
            </w:r>
          </w:p>
        </w:tc>
        <w:tc>
          <w:tcPr>
            <w:tcW w:w="794" w:type="dxa"/>
            <w:tcBorders>
              <w:bottom w:val="single" w:sz="8" w:space="0" w:color="1F497D" w:themeColor="text2"/>
            </w:tcBorders>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2 000</w:t>
            </w:r>
          </w:p>
        </w:tc>
        <w:tc>
          <w:tcPr>
            <w:tcW w:w="794" w:type="dxa"/>
            <w:tcBorders>
              <w:bottom w:val="single" w:sz="8" w:space="0" w:color="1F497D" w:themeColor="text2"/>
            </w:tcBorders>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2 000</w:t>
            </w:r>
          </w:p>
        </w:tc>
        <w:tc>
          <w:tcPr>
            <w:tcW w:w="764" w:type="dxa"/>
            <w:tcBorders>
              <w:bottom w:val="single" w:sz="8" w:space="0" w:color="1F497D" w:themeColor="text2"/>
            </w:tcBorders>
            <w:shd w:val="clear" w:color="auto" w:fill="DBE5F1" w:themeFill="accent1" w:themeFillTint="33"/>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2 000</w:t>
            </w:r>
          </w:p>
        </w:tc>
        <w:tc>
          <w:tcPr>
            <w:tcW w:w="794" w:type="dxa"/>
            <w:tcBorders>
              <w:bottom w:val="single" w:sz="8" w:space="0" w:color="1F497D" w:themeColor="text2"/>
            </w:tcBorders>
            <w:shd w:val="clear" w:color="auto" w:fill="auto"/>
            <w:vAlign w:val="center"/>
          </w:tcPr>
          <w:p w:rsidR="003C1B2C" w:rsidRPr="003C1B2C" w:rsidRDefault="003C1B2C" w:rsidP="003C1B2C">
            <w:pPr>
              <w:spacing w:after="0" w:line="240" w:lineRule="auto"/>
              <w:jc w:val="right"/>
              <w:rPr>
                <w:rFonts w:ascii="Arial" w:eastAsia="Times New Roman" w:hAnsi="Arial"/>
                <w:bCs/>
                <w:snapToGrid w:val="0"/>
                <w:sz w:val="14"/>
                <w:szCs w:val="14"/>
                <w:lang w:val="en-GB"/>
              </w:rPr>
            </w:pPr>
            <w:r w:rsidRPr="003C1B2C">
              <w:rPr>
                <w:rFonts w:ascii="Arial" w:eastAsia="Times New Roman" w:hAnsi="Arial"/>
                <w:bCs/>
                <w:snapToGrid w:val="0"/>
                <w:sz w:val="14"/>
                <w:szCs w:val="14"/>
                <w:lang w:val="en-GB"/>
              </w:rPr>
              <w:t>-</w:t>
            </w:r>
          </w:p>
        </w:tc>
      </w:tr>
      <w:tr w:rsidR="003C1B2C" w:rsidRPr="00715235" w:rsidTr="001E3011">
        <w:trPr>
          <w:trHeight w:val="339"/>
        </w:trPr>
        <w:tc>
          <w:tcPr>
            <w:tcW w:w="9492" w:type="dxa"/>
            <w:gridSpan w:val="9"/>
            <w:tcBorders>
              <w:top w:val="single" w:sz="8" w:space="0" w:color="1F497D" w:themeColor="text2"/>
            </w:tcBorders>
            <w:vAlign w:val="center"/>
          </w:tcPr>
          <w:p w:rsidR="003C1B2C" w:rsidRPr="00715235" w:rsidRDefault="003C1B2C" w:rsidP="001E3011">
            <w:pPr>
              <w:autoSpaceDE w:val="0"/>
              <w:autoSpaceDN w:val="0"/>
              <w:adjustRightInd w:val="0"/>
              <w:spacing w:after="120" w:line="240" w:lineRule="auto"/>
              <w:ind w:right="6"/>
              <w:jc w:val="both"/>
              <w:rPr>
                <w:rFonts w:cs="Arial"/>
                <w:color w:val="003768"/>
                <w:sz w:val="16"/>
                <w:szCs w:val="16"/>
                <w:lang w:val="nl-BE"/>
              </w:rPr>
            </w:pPr>
            <w:r w:rsidRPr="003C1B2C">
              <w:rPr>
                <w:rFonts w:cs="Arial"/>
                <w:color w:val="003768"/>
                <w:sz w:val="16"/>
                <w:szCs w:val="16"/>
                <w:lang w:val="nl-BE"/>
              </w:rPr>
              <w:t xml:space="preserve">* De referentiecijfers voor 2013 zijn licht aangepast ingevolge de toepassing van de nieuwe IFRS 11-norm. </w:t>
            </w:r>
            <w:r w:rsidRPr="00715235">
              <w:rPr>
                <w:rFonts w:cs="Arial"/>
                <w:color w:val="003768"/>
                <w:sz w:val="16"/>
                <w:szCs w:val="16"/>
                <w:lang w:val="nl-BE"/>
              </w:rPr>
              <w:t>Die norm bepaalt dat gemeenschappelijke ondernemingen worden geconsolideerd volgens de vermogensmutatiemethode en niet meer volgens de proportionele methode. Voor KBC geldt dat voor ČMSS, een gemeenschappelijke onderneming van ČSOB in Tsjechië. Die wijziging heeft geen gevolgen voor het vermogen, maar beïnvloedt wel verschillende posten van de geconsolideerde balans. Daarnaast zijn in overeenstemming met IFRS 5 de activa en passiva van een aantal desinvesteringen verplaatst naar Vaste activa aangehouden voor verkoop en groepen activa die worden afgestoten en Verplichtingen i.v.m. groepen activa die worden afgestoten, waardoor de vergelijking tussen periodes een licht vertekend beeld geeft.</w:t>
            </w:r>
          </w:p>
          <w:p w:rsidR="003C1B2C" w:rsidRPr="00715235" w:rsidRDefault="003C1B2C" w:rsidP="001E3011">
            <w:pPr>
              <w:autoSpaceDE w:val="0"/>
              <w:autoSpaceDN w:val="0"/>
              <w:adjustRightInd w:val="0"/>
              <w:spacing w:after="0" w:line="240" w:lineRule="auto"/>
              <w:ind w:left="992" w:right="6"/>
              <w:outlineLvl w:val="8"/>
              <w:rPr>
                <w:rFonts w:cs="Arial"/>
                <w:color w:val="003768"/>
                <w:sz w:val="16"/>
                <w:szCs w:val="16"/>
                <w:lang w:val="nl-BE"/>
              </w:rPr>
            </w:pPr>
          </w:p>
        </w:tc>
      </w:tr>
    </w:tbl>
    <w:p w:rsidR="003C1B2C" w:rsidRDefault="001E3011" w:rsidP="00B744CA">
      <w:pPr>
        <w:autoSpaceDE w:val="0"/>
        <w:autoSpaceDN w:val="0"/>
        <w:adjustRightInd w:val="0"/>
        <w:spacing w:after="120" w:line="240" w:lineRule="auto"/>
        <w:ind w:left="992" w:right="6"/>
        <w:jc w:val="both"/>
        <w:rPr>
          <w:rFonts w:cs="Arial"/>
          <w:color w:val="003768"/>
          <w:lang w:val="nl-BE"/>
        </w:rPr>
      </w:pPr>
      <w:r>
        <w:rPr>
          <w:rFonts w:cs="Arial"/>
          <w:noProof/>
          <w:color w:val="003768"/>
          <w:lang w:val="nl-BE" w:eastAsia="nl-BE"/>
        </w:rPr>
        <w:drawing>
          <wp:inline distT="0" distB="0" distL="0" distR="0" wp14:anchorId="31C2ED7F">
            <wp:extent cx="6450330" cy="499745"/>
            <wp:effectExtent l="0" t="0" r="762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0330" cy="499745"/>
                    </a:xfrm>
                    <a:prstGeom prst="rect">
                      <a:avLst/>
                    </a:prstGeom>
                    <a:noFill/>
                  </pic:spPr>
                </pic:pic>
              </a:graphicData>
            </a:graphic>
          </wp:inline>
        </w:drawing>
      </w:r>
    </w:p>
    <w:tbl>
      <w:tblPr>
        <w:tblpPr w:leftFromText="141" w:rightFromText="141" w:vertAnchor="text" w:horzAnchor="page" w:tblpX="1377" w:tblpY="149"/>
        <w:tblW w:w="10023" w:type="dxa"/>
        <w:tblLook w:val="01E0" w:firstRow="1" w:lastRow="1" w:firstColumn="1" w:lastColumn="1" w:noHBand="0" w:noVBand="0"/>
      </w:tblPr>
      <w:tblGrid>
        <w:gridCol w:w="5912"/>
        <w:gridCol w:w="1843"/>
        <w:gridCol w:w="1134"/>
        <w:gridCol w:w="1134"/>
      </w:tblGrid>
      <w:tr w:rsidR="001E3011" w:rsidRPr="001E3011" w:rsidTr="001E3011">
        <w:tc>
          <w:tcPr>
            <w:tcW w:w="5912" w:type="dxa"/>
            <w:shd w:val="clear" w:color="auto" w:fill="1F497D" w:themeFill="text2"/>
            <w:vAlign w:val="center"/>
          </w:tcPr>
          <w:p w:rsidR="001E3011" w:rsidRPr="001E3011" w:rsidRDefault="001E3011" w:rsidP="001E3011">
            <w:pPr>
              <w:spacing w:after="0" w:line="240" w:lineRule="auto"/>
              <w:rPr>
                <w:rFonts w:ascii="Arial" w:eastAsia="Times New Roman" w:hAnsi="Arial"/>
                <w:snapToGrid w:val="0"/>
                <w:color w:val="FFFFFF" w:themeColor="background1"/>
                <w:sz w:val="14"/>
                <w:szCs w:val="24"/>
                <w:lang w:val="nl-BE"/>
              </w:rPr>
            </w:pPr>
            <w:r w:rsidRPr="001E3011">
              <w:rPr>
                <w:rFonts w:ascii="Arial" w:eastAsia="Times New Roman" w:hAnsi="Arial"/>
                <w:snapToGrid w:val="0"/>
                <w:color w:val="FFFFFF" w:themeColor="background1"/>
                <w:sz w:val="14"/>
                <w:szCs w:val="24"/>
                <w:lang w:val="nl-BE"/>
              </w:rPr>
              <w:t>Geselecteerde ratio’s</w:t>
            </w:r>
          </w:p>
          <w:p w:rsidR="001E3011" w:rsidRPr="001E3011" w:rsidRDefault="001E3011" w:rsidP="001E3011">
            <w:pPr>
              <w:spacing w:after="0" w:line="240" w:lineRule="auto"/>
              <w:rPr>
                <w:rFonts w:ascii="Arial" w:eastAsia="Times New Roman" w:hAnsi="Arial"/>
                <w:b/>
                <w:snapToGrid w:val="0"/>
                <w:color w:val="FFFFFF" w:themeColor="background1"/>
                <w:sz w:val="20"/>
                <w:szCs w:val="24"/>
                <w:lang w:val="nl-BE"/>
              </w:rPr>
            </w:pPr>
            <w:r w:rsidRPr="001E3011">
              <w:rPr>
                <w:rFonts w:ascii="Arial" w:eastAsia="Times New Roman" w:hAnsi="Arial"/>
                <w:snapToGrid w:val="0"/>
                <w:color w:val="FFFFFF" w:themeColor="background1"/>
                <w:sz w:val="14"/>
                <w:szCs w:val="24"/>
                <w:lang w:val="nl-BE"/>
              </w:rPr>
              <w:t>KBC-groep (geconsolideerd)</w:t>
            </w:r>
          </w:p>
        </w:tc>
        <w:tc>
          <w:tcPr>
            <w:tcW w:w="1843" w:type="dxa"/>
            <w:shd w:val="clear" w:color="auto" w:fill="1F497D" w:themeFill="text2"/>
            <w:vAlign w:val="center"/>
          </w:tcPr>
          <w:p w:rsidR="001E3011" w:rsidRPr="001E3011" w:rsidRDefault="001E3011" w:rsidP="001E3011">
            <w:pPr>
              <w:spacing w:after="0" w:line="240" w:lineRule="auto"/>
              <w:jc w:val="right"/>
              <w:rPr>
                <w:rFonts w:ascii="Arial" w:eastAsia="Times New Roman" w:hAnsi="Arial"/>
                <w:bCs/>
                <w:snapToGrid w:val="0"/>
                <w:color w:val="FFFFFF" w:themeColor="background1"/>
                <w:sz w:val="14"/>
                <w:szCs w:val="14"/>
                <w:lang w:val="nl-BE"/>
              </w:rPr>
            </w:pPr>
          </w:p>
        </w:tc>
        <w:tc>
          <w:tcPr>
            <w:tcW w:w="1134" w:type="dxa"/>
            <w:shd w:val="clear" w:color="auto" w:fill="1F497D" w:themeFill="text2"/>
            <w:vAlign w:val="center"/>
          </w:tcPr>
          <w:p w:rsidR="001E3011" w:rsidRPr="001E3011" w:rsidRDefault="001E3011" w:rsidP="001E3011">
            <w:pPr>
              <w:spacing w:after="0" w:line="240" w:lineRule="auto"/>
              <w:jc w:val="right"/>
              <w:rPr>
                <w:rFonts w:ascii="Arial" w:eastAsia="Times New Roman" w:hAnsi="Arial"/>
                <w:bCs/>
                <w:snapToGrid w:val="0"/>
                <w:color w:val="FFFFFF" w:themeColor="background1"/>
                <w:sz w:val="14"/>
                <w:szCs w:val="14"/>
                <w:lang w:val="en-GB"/>
              </w:rPr>
            </w:pPr>
            <w:r w:rsidRPr="001E3011">
              <w:rPr>
                <w:rFonts w:ascii="Arial" w:eastAsia="Times New Roman" w:hAnsi="Arial"/>
                <w:bCs/>
                <w:snapToGrid w:val="0"/>
                <w:color w:val="FFFFFF" w:themeColor="background1"/>
                <w:sz w:val="14"/>
                <w:szCs w:val="14"/>
                <w:lang w:val="en-GB"/>
              </w:rPr>
              <w:t>FY2013</w:t>
            </w:r>
          </w:p>
        </w:tc>
        <w:tc>
          <w:tcPr>
            <w:tcW w:w="1134" w:type="dxa"/>
            <w:shd w:val="clear" w:color="auto" w:fill="1F497D" w:themeFill="text2"/>
            <w:vAlign w:val="center"/>
          </w:tcPr>
          <w:p w:rsidR="001E3011" w:rsidRPr="001E3011" w:rsidRDefault="001E3011" w:rsidP="001E3011">
            <w:pPr>
              <w:spacing w:after="0" w:line="240" w:lineRule="auto"/>
              <w:jc w:val="right"/>
              <w:rPr>
                <w:rFonts w:ascii="Arial" w:eastAsia="Times New Roman" w:hAnsi="Arial"/>
                <w:bCs/>
                <w:snapToGrid w:val="0"/>
                <w:color w:val="FFFFFF" w:themeColor="background1"/>
                <w:sz w:val="14"/>
                <w:szCs w:val="14"/>
                <w:lang w:val="en-GB"/>
              </w:rPr>
            </w:pPr>
            <w:r w:rsidRPr="001E3011">
              <w:rPr>
                <w:rFonts w:ascii="Arial" w:eastAsia="Times New Roman" w:hAnsi="Arial"/>
                <w:bCs/>
                <w:snapToGrid w:val="0"/>
                <w:color w:val="FFFFFF" w:themeColor="background1"/>
                <w:sz w:val="14"/>
                <w:szCs w:val="14"/>
                <w:lang w:val="en-GB"/>
              </w:rPr>
              <w:t>9M2014</w:t>
            </w:r>
          </w:p>
        </w:tc>
      </w:tr>
      <w:tr w:rsidR="001E3011" w:rsidRPr="00715235" w:rsidTr="001E3011">
        <w:trPr>
          <w:trHeight w:val="227"/>
        </w:trPr>
        <w:tc>
          <w:tcPr>
            <w:tcW w:w="5912" w:type="dxa"/>
            <w:tcBorders>
              <w:bottom w:val="single" w:sz="8" w:space="0" w:color="365F91" w:themeColor="accent1" w:themeShade="BF"/>
            </w:tcBorders>
            <w:vAlign w:val="center"/>
          </w:tcPr>
          <w:p w:rsidR="001E3011" w:rsidRPr="001E3011" w:rsidRDefault="001E3011" w:rsidP="001E3011">
            <w:pPr>
              <w:spacing w:after="0" w:line="240" w:lineRule="auto"/>
              <w:rPr>
                <w:rFonts w:ascii="Arial" w:eastAsia="Times New Roman" w:hAnsi="Arial"/>
                <w:b/>
                <w:snapToGrid w:val="0"/>
                <w:sz w:val="20"/>
                <w:szCs w:val="24"/>
                <w:lang w:val="nl-BE"/>
              </w:rPr>
            </w:pPr>
            <w:r w:rsidRPr="001E3011">
              <w:rPr>
                <w:rFonts w:ascii="Arial" w:eastAsia="Times New Roman" w:hAnsi="Arial"/>
                <w:snapToGrid w:val="0"/>
                <w:sz w:val="14"/>
                <w:szCs w:val="24"/>
                <w:lang w:val="nl-BE"/>
              </w:rPr>
              <w:t>Winstgevendheid en efficiëntie (op basis van de aangepaste resultaten)</w:t>
            </w:r>
          </w:p>
        </w:tc>
        <w:tc>
          <w:tcPr>
            <w:tcW w:w="1843" w:type="dxa"/>
            <w:tcBorders>
              <w:bottom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nl-BE"/>
              </w:rPr>
            </w:pPr>
          </w:p>
        </w:tc>
        <w:tc>
          <w:tcPr>
            <w:tcW w:w="1134" w:type="dxa"/>
            <w:tcBorders>
              <w:bottom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nl-BE"/>
              </w:rPr>
            </w:pPr>
          </w:p>
        </w:tc>
        <w:tc>
          <w:tcPr>
            <w:tcW w:w="1134" w:type="dxa"/>
            <w:tcBorders>
              <w:bottom w:val="single" w:sz="8" w:space="0" w:color="365F91" w:themeColor="accent1" w:themeShade="BF"/>
            </w:tcBorders>
            <w:shd w:val="clear" w:color="auto" w:fill="DBE5F1" w:themeFill="accent1" w:themeFillTint="33"/>
            <w:vAlign w:val="center"/>
          </w:tcPr>
          <w:p w:rsidR="001E3011" w:rsidRPr="001E3011" w:rsidRDefault="001E3011" w:rsidP="001E3011">
            <w:pPr>
              <w:spacing w:after="0" w:line="240" w:lineRule="auto"/>
              <w:jc w:val="right"/>
              <w:rPr>
                <w:rFonts w:ascii="Arial" w:eastAsia="Times New Roman" w:hAnsi="Arial"/>
                <w:bCs/>
                <w:snapToGrid w:val="0"/>
                <w:sz w:val="14"/>
                <w:szCs w:val="14"/>
                <w:lang w:val="nl-BE"/>
              </w:rPr>
            </w:pPr>
          </w:p>
        </w:tc>
      </w:tr>
      <w:tr w:rsidR="001E3011" w:rsidRPr="001E3011" w:rsidTr="001E3011">
        <w:trPr>
          <w:trHeight w:val="227"/>
        </w:trPr>
        <w:tc>
          <w:tcPr>
            <w:tcW w:w="5912" w:type="dxa"/>
            <w:tcBorders>
              <w:top w:val="single" w:sz="8" w:space="0" w:color="365F91" w:themeColor="accent1" w:themeShade="BF"/>
            </w:tcBorders>
            <w:vAlign w:val="center"/>
          </w:tcPr>
          <w:p w:rsidR="001E3011" w:rsidRPr="001E3011" w:rsidRDefault="001E3011" w:rsidP="001E3011">
            <w:pPr>
              <w:spacing w:after="0" w:line="240" w:lineRule="auto"/>
              <w:rPr>
                <w:rFonts w:ascii="Arial" w:eastAsia="Times New Roman" w:hAnsi="Arial"/>
                <w:b/>
                <w:snapToGrid w:val="0"/>
                <w:sz w:val="20"/>
                <w:szCs w:val="24"/>
                <w:lang w:val="nl-BE"/>
              </w:rPr>
            </w:pPr>
            <w:r w:rsidRPr="001E3011">
              <w:rPr>
                <w:rFonts w:ascii="Arial" w:eastAsia="Times New Roman" w:hAnsi="Arial"/>
                <w:snapToGrid w:val="0"/>
                <w:sz w:val="14"/>
                <w:szCs w:val="24"/>
                <w:lang w:val="nl-BE"/>
              </w:rPr>
              <w:t xml:space="preserve">    Rendement op eigen vermogen*  </w:t>
            </w:r>
          </w:p>
        </w:tc>
        <w:tc>
          <w:tcPr>
            <w:tcW w:w="1843" w:type="dxa"/>
            <w:tcBorders>
              <w:top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p>
        </w:tc>
        <w:tc>
          <w:tcPr>
            <w:tcW w:w="1134" w:type="dxa"/>
            <w:tcBorders>
              <w:top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r w:rsidRPr="001E3011">
              <w:rPr>
                <w:rFonts w:ascii="Arial" w:eastAsia="Times New Roman" w:hAnsi="Arial"/>
                <w:bCs/>
                <w:snapToGrid w:val="0"/>
                <w:sz w:val="14"/>
                <w:szCs w:val="14"/>
                <w:lang w:val="en-GB"/>
              </w:rPr>
              <w:t>9%</w:t>
            </w:r>
          </w:p>
        </w:tc>
        <w:tc>
          <w:tcPr>
            <w:tcW w:w="1134" w:type="dxa"/>
            <w:tcBorders>
              <w:top w:val="single" w:sz="8" w:space="0" w:color="365F91" w:themeColor="accent1" w:themeShade="BF"/>
            </w:tcBorders>
            <w:shd w:val="clear" w:color="auto" w:fill="DBE5F1" w:themeFill="accent1" w:themeFillTint="33"/>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r w:rsidRPr="001E3011">
              <w:rPr>
                <w:rFonts w:ascii="Arial" w:eastAsia="Times New Roman" w:hAnsi="Arial"/>
                <w:bCs/>
                <w:snapToGrid w:val="0"/>
                <w:sz w:val="14"/>
                <w:szCs w:val="14"/>
                <w:lang w:val="en-GB"/>
              </w:rPr>
              <w:t>12%</w:t>
            </w:r>
          </w:p>
        </w:tc>
      </w:tr>
      <w:tr w:rsidR="001E3011" w:rsidRPr="001E3011" w:rsidTr="001E3011">
        <w:trPr>
          <w:trHeight w:val="227"/>
        </w:trPr>
        <w:tc>
          <w:tcPr>
            <w:tcW w:w="5912" w:type="dxa"/>
            <w:vAlign w:val="center"/>
          </w:tcPr>
          <w:p w:rsidR="001E3011" w:rsidRPr="001E3011" w:rsidRDefault="001E3011" w:rsidP="001E3011">
            <w:pPr>
              <w:spacing w:after="0" w:line="240" w:lineRule="auto"/>
              <w:rPr>
                <w:rFonts w:ascii="Arial" w:eastAsia="Times New Roman" w:hAnsi="Arial"/>
                <w:b/>
                <w:snapToGrid w:val="0"/>
                <w:sz w:val="20"/>
                <w:szCs w:val="24"/>
                <w:lang w:val="nl-BE"/>
              </w:rPr>
            </w:pPr>
            <w:r w:rsidRPr="001E3011">
              <w:rPr>
                <w:rFonts w:ascii="Arial" w:eastAsia="Times New Roman" w:hAnsi="Arial"/>
                <w:snapToGrid w:val="0"/>
                <w:sz w:val="14"/>
                <w:szCs w:val="24"/>
                <w:lang w:val="nl-BE"/>
              </w:rPr>
              <w:t xml:space="preserve">    Kosten-inkomstenratio bankactiviteiten</w:t>
            </w:r>
          </w:p>
        </w:tc>
        <w:tc>
          <w:tcPr>
            <w:tcW w:w="1843" w:type="dxa"/>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p>
        </w:tc>
        <w:tc>
          <w:tcPr>
            <w:tcW w:w="1134" w:type="dxa"/>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r w:rsidRPr="001E3011">
              <w:rPr>
                <w:rFonts w:ascii="Arial" w:eastAsia="Times New Roman" w:hAnsi="Arial"/>
                <w:bCs/>
                <w:snapToGrid w:val="0"/>
                <w:sz w:val="14"/>
                <w:szCs w:val="14"/>
                <w:lang w:val="en-GB"/>
              </w:rPr>
              <w:t>52%</w:t>
            </w:r>
          </w:p>
        </w:tc>
        <w:tc>
          <w:tcPr>
            <w:tcW w:w="1134" w:type="dxa"/>
            <w:shd w:val="clear" w:color="auto" w:fill="DBE5F1" w:themeFill="accent1" w:themeFillTint="33"/>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r w:rsidRPr="001E3011">
              <w:rPr>
                <w:rFonts w:ascii="Arial" w:eastAsia="Times New Roman" w:hAnsi="Arial"/>
                <w:bCs/>
                <w:snapToGrid w:val="0"/>
                <w:sz w:val="14"/>
                <w:szCs w:val="14"/>
                <w:lang w:val="en-GB"/>
              </w:rPr>
              <w:t>59%</w:t>
            </w:r>
          </w:p>
        </w:tc>
      </w:tr>
      <w:tr w:rsidR="001E3011" w:rsidRPr="001E3011" w:rsidTr="001E3011">
        <w:trPr>
          <w:trHeight w:val="227"/>
        </w:trPr>
        <w:tc>
          <w:tcPr>
            <w:tcW w:w="5912" w:type="dxa"/>
            <w:tcBorders>
              <w:bottom w:val="single" w:sz="8" w:space="0" w:color="365F91" w:themeColor="accent1" w:themeShade="BF"/>
            </w:tcBorders>
            <w:vAlign w:val="center"/>
          </w:tcPr>
          <w:p w:rsidR="001E3011" w:rsidRPr="001E3011" w:rsidRDefault="001E3011" w:rsidP="001E3011">
            <w:pPr>
              <w:spacing w:after="0" w:line="240" w:lineRule="auto"/>
              <w:rPr>
                <w:rFonts w:ascii="Arial" w:eastAsia="Times New Roman" w:hAnsi="Arial"/>
                <w:b/>
                <w:snapToGrid w:val="0"/>
                <w:sz w:val="20"/>
                <w:szCs w:val="24"/>
                <w:lang w:val="nl-BE"/>
              </w:rPr>
            </w:pPr>
            <w:r w:rsidRPr="001E3011">
              <w:rPr>
                <w:rFonts w:ascii="Arial" w:eastAsia="Times New Roman" w:hAnsi="Arial"/>
                <w:snapToGrid w:val="0"/>
                <w:sz w:val="14"/>
                <w:szCs w:val="24"/>
                <w:lang w:val="nl-BE"/>
              </w:rPr>
              <w:t xml:space="preserve">    Gecombineerde ratio schadeverzekeringsactiviteiten</w:t>
            </w:r>
          </w:p>
        </w:tc>
        <w:tc>
          <w:tcPr>
            <w:tcW w:w="1843" w:type="dxa"/>
            <w:tcBorders>
              <w:bottom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p>
        </w:tc>
        <w:tc>
          <w:tcPr>
            <w:tcW w:w="1134" w:type="dxa"/>
            <w:tcBorders>
              <w:bottom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r w:rsidRPr="001E3011">
              <w:rPr>
                <w:rFonts w:ascii="Arial" w:eastAsia="Times New Roman" w:hAnsi="Arial"/>
                <w:bCs/>
                <w:snapToGrid w:val="0"/>
                <w:sz w:val="14"/>
                <w:szCs w:val="14"/>
                <w:lang w:val="en-GB"/>
              </w:rPr>
              <w:t>94%</w:t>
            </w:r>
          </w:p>
        </w:tc>
        <w:tc>
          <w:tcPr>
            <w:tcW w:w="1134" w:type="dxa"/>
            <w:tcBorders>
              <w:bottom w:val="single" w:sz="8" w:space="0" w:color="365F91" w:themeColor="accent1" w:themeShade="BF"/>
            </w:tcBorders>
            <w:shd w:val="clear" w:color="auto" w:fill="DBE5F1" w:themeFill="accent1" w:themeFillTint="33"/>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r w:rsidRPr="001E3011">
              <w:rPr>
                <w:rFonts w:ascii="Arial" w:eastAsia="Times New Roman" w:hAnsi="Arial"/>
                <w:bCs/>
                <w:snapToGrid w:val="0"/>
                <w:sz w:val="14"/>
                <w:szCs w:val="14"/>
                <w:lang w:val="en-GB"/>
              </w:rPr>
              <w:t>93%</w:t>
            </w:r>
          </w:p>
        </w:tc>
      </w:tr>
      <w:tr w:rsidR="001E3011" w:rsidRPr="001E3011" w:rsidTr="001E3011">
        <w:trPr>
          <w:trHeight w:val="227"/>
        </w:trPr>
        <w:tc>
          <w:tcPr>
            <w:tcW w:w="5912" w:type="dxa"/>
            <w:tcBorders>
              <w:top w:val="single" w:sz="8" w:space="0" w:color="365F91" w:themeColor="accent1" w:themeShade="BF"/>
              <w:bottom w:val="single" w:sz="8" w:space="0" w:color="365F91" w:themeColor="accent1" w:themeShade="BF"/>
            </w:tcBorders>
            <w:vAlign w:val="center"/>
          </w:tcPr>
          <w:p w:rsidR="001E3011" w:rsidRPr="001E3011" w:rsidRDefault="001E3011" w:rsidP="001E3011">
            <w:pPr>
              <w:spacing w:after="0" w:line="240" w:lineRule="auto"/>
              <w:rPr>
                <w:rFonts w:ascii="Arial" w:eastAsia="Times New Roman" w:hAnsi="Arial"/>
                <w:b/>
                <w:snapToGrid w:val="0"/>
                <w:sz w:val="20"/>
                <w:szCs w:val="24"/>
                <w:lang w:val="nl-BE"/>
              </w:rPr>
            </w:pPr>
            <w:r w:rsidRPr="001E3011">
              <w:rPr>
                <w:rFonts w:ascii="Arial" w:eastAsia="Times New Roman" w:hAnsi="Arial"/>
                <w:snapToGrid w:val="0"/>
                <w:sz w:val="14"/>
                <w:szCs w:val="24"/>
                <w:lang w:val="nl-BE"/>
              </w:rPr>
              <w:t>Solvabiliteit</w:t>
            </w:r>
          </w:p>
        </w:tc>
        <w:tc>
          <w:tcPr>
            <w:tcW w:w="1843" w:type="dxa"/>
            <w:tcBorders>
              <w:top w:val="single" w:sz="8" w:space="0" w:color="365F91" w:themeColor="accent1" w:themeShade="BF"/>
              <w:bottom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p>
        </w:tc>
        <w:tc>
          <w:tcPr>
            <w:tcW w:w="1134" w:type="dxa"/>
            <w:tcBorders>
              <w:top w:val="single" w:sz="8" w:space="0" w:color="365F91" w:themeColor="accent1" w:themeShade="BF"/>
              <w:bottom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p>
        </w:tc>
        <w:tc>
          <w:tcPr>
            <w:tcW w:w="1134" w:type="dxa"/>
            <w:tcBorders>
              <w:top w:val="single" w:sz="8" w:space="0" w:color="365F91" w:themeColor="accent1" w:themeShade="BF"/>
              <w:bottom w:val="single" w:sz="8" w:space="0" w:color="365F91" w:themeColor="accent1" w:themeShade="BF"/>
            </w:tcBorders>
            <w:shd w:val="clear" w:color="auto" w:fill="DBE5F1" w:themeFill="accent1" w:themeFillTint="33"/>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p>
        </w:tc>
      </w:tr>
      <w:tr w:rsidR="001E3011" w:rsidRPr="001E3011" w:rsidTr="001E3011">
        <w:trPr>
          <w:trHeight w:val="227"/>
        </w:trPr>
        <w:tc>
          <w:tcPr>
            <w:tcW w:w="5912" w:type="dxa"/>
            <w:tcBorders>
              <w:top w:val="single" w:sz="8" w:space="0" w:color="365F91" w:themeColor="accent1" w:themeShade="BF"/>
            </w:tcBorders>
            <w:vAlign w:val="center"/>
          </w:tcPr>
          <w:p w:rsidR="001E3011" w:rsidRPr="001E3011" w:rsidRDefault="001E3011" w:rsidP="001E3011">
            <w:pPr>
              <w:spacing w:after="0" w:line="240" w:lineRule="auto"/>
              <w:rPr>
                <w:rFonts w:ascii="Arial" w:eastAsia="Times New Roman" w:hAnsi="Arial"/>
                <w:b/>
                <w:snapToGrid w:val="0"/>
                <w:sz w:val="20"/>
                <w:szCs w:val="24"/>
              </w:rPr>
            </w:pPr>
            <w:r w:rsidRPr="001E3011">
              <w:rPr>
                <w:rFonts w:ascii="Arial" w:eastAsia="Times New Roman" w:hAnsi="Arial"/>
                <w:snapToGrid w:val="0"/>
                <w:sz w:val="14"/>
                <w:szCs w:val="24"/>
              </w:rPr>
              <w:t xml:space="preserve">    Common equity ratio (Basel III, </w:t>
            </w:r>
            <w:r w:rsidRPr="001E3011">
              <w:rPr>
                <w:rFonts w:ascii="Arial" w:eastAsia="Times New Roman" w:hAnsi="Arial"/>
                <w:i/>
                <w:snapToGrid w:val="0"/>
                <w:sz w:val="14"/>
                <w:szCs w:val="24"/>
              </w:rPr>
              <w:t>fully loaded</w:t>
            </w:r>
            <w:r w:rsidRPr="001E3011">
              <w:rPr>
                <w:rFonts w:ascii="Arial" w:eastAsia="Times New Roman" w:hAnsi="Arial"/>
                <w:snapToGrid w:val="0"/>
                <w:sz w:val="14"/>
                <w:szCs w:val="24"/>
              </w:rPr>
              <w:t xml:space="preserve">, </w:t>
            </w:r>
            <w:proofErr w:type="spellStart"/>
            <w:r w:rsidRPr="001E3011">
              <w:rPr>
                <w:rFonts w:ascii="Arial" w:eastAsia="Times New Roman" w:hAnsi="Arial"/>
                <w:snapToGrid w:val="0"/>
                <w:sz w:val="14"/>
                <w:szCs w:val="24"/>
              </w:rPr>
              <w:t>inclusief</w:t>
            </w:r>
            <w:proofErr w:type="spellEnd"/>
            <w:r w:rsidRPr="001E3011">
              <w:rPr>
                <w:rFonts w:ascii="Arial" w:eastAsia="Times New Roman" w:hAnsi="Arial"/>
                <w:snapToGrid w:val="0"/>
                <w:sz w:val="14"/>
                <w:szCs w:val="24"/>
              </w:rPr>
              <w:t xml:space="preserve"> </w:t>
            </w:r>
            <w:proofErr w:type="spellStart"/>
            <w:r w:rsidRPr="001E3011">
              <w:rPr>
                <w:rFonts w:ascii="Arial" w:eastAsia="Times New Roman" w:hAnsi="Arial"/>
                <w:snapToGrid w:val="0"/>
                <w:sz w:val="14"/>
                <w:szCs w:val="24"/>
              </w:rPr>
              <w:t>resterende</w:t>
            </w:r>
            <w:proofErr w:type="spellEnd"/>
            <w:r w:rsidRPr="001E3011">
              <w:rPr>
                <w:rFonts w:ascii="Arial" w:eastAsia="Times New Roman" w:hAnsi="Arial"/>
                <w:snapToGrid w:val="0"/>
                <w:sz w:val="14"/>
                <w:szCs w:val="24"/>
              </w:rPr>
              <w:t xml:space="preserve"> </w:t>
            </w:r>
            <w:proofErr w:type="spellStart"/>
            <w:r w:rsidRPr="001E3011">
              <w:rPr>
                <w:rFonts w:ascii="Arial" w:eastAsia="Times New Roman" w:hAnsi="Arial"/>
                <w:snapToGrid w:val="0"/>
                <w:sz w:val="14"/>
                <w:szCs w:val="24"/>
              </w:rPr>
              <w:t>overheidssteun</w:t>
            </w:r>
            <w:proofErr w:type="spellEnd"/>
            <w:r w:rsidRPr="001E3011">
              <w:rPr>
                <w:rFonts w:ascii="Arial" w:eastAsia="Times New Roman" w:hAnsi="Arial"/>
                <w:snapToGrid w:val="0"/>
                <w:sz w:val="14"/>
                <w:szCs w:val="24"/>
              </w:rPr>
              <w:t>)</w:t>
            </w:r>
          </w:p>
        </w:tc>
        <w:tc>
          <w:tcPr>
            <w:tcW w:w="1843" w:type="dxa"/>
            <w:tcBorders>
              <w:top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p>
        </w:tc>
        <w:tc>
          <w:tcPr>
            <w:tcW w:w="1134" w:type="dxa"/>
            <w:tcBorders>
              <w:top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r w:rsidRPr="001E3011">
              <w:rPr>
                <w:rFonts w:ascii="Arial" w:eastAsia="Times New Roman" w:hAnsi="Arial"/>
                <w:bCs/>
                <w:snapToGrid w:val="0"/>
                <w:sz w:val="14"/>
                <w:szCs w:val="14"/>
                <w:lang w:val="en-GB"/>
              </w:rPr>
              <w:t>12,8%</w:t>
            </w:r>
          </w:p>
        </w:tc>
        <w:tc>
          <w:tcPr>
            <w:tcW w:w="1134" w:type="dxa"/>
            <w:tcBorders>
              <w:top w:val="single" w:sz="8" w:space="0" w:color="365F91" w:themeColor="accent1" w:themeShade="BF"/>
            </w:tcBorders>
            <w:shd w:val="clear" w:color="auto" w:fill="DBE5F1" w:themeFill="accent1" w:themeFillTint="33"/>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r w:rsidRPr="001E3011">
              <w:rPr>
                <w:rFonts w:ascii="Arial" w:eastAsia="Times New Roman" w:hAnsi="Arial"/>
                <w:bCs/>
                <w:snapToGrid w:val="0"/>
                <w:sz w:val="14"/>
                <w:szCs w:val="14"/>
                <w:lang w:val="en-GB"/>
              </w:rPr>
              <w:t>13,7%</w:t>
            </w:r>
          </w:p>
        </w:tc>
      </w:tr>
      <w:tr w:rsidR="001E3011" w:rsidRPr="001E3011" w:rsidTr="001E3011">
        <w:trPr>
          <w:trHeight w:val="227"/>
        </w:trPr>
        <w:tc>
          <w:tcPr>
            <w:tcW w:w="5912" w:type="dxa"/>
            <w:tcBorders>
              <w:top w:val="single" w:sz="8" w:space="0" w:color="365F91" w:themeColor="accent1" w:themeShade="BF"/>
              <w:bottom w:val="single" w:sz="8" w:space="0" w:color="365F91" w:themeColor="accent1" w:themeShade="BF"/>
            </w:tcBorders>
            <w:vAlign w:val="center"/>
          </w:tcPr>
          <w:p w:rsidR="001E3011" w:rsidRPr="001E3011" w:rsidRDefault="001E3011" w:rsidP="001E3011">
            <w:pPr>
              <w:spacing w:after="0" w:line="240" w:lineRule="auto"/>
              <w:rPr>
                <w:rFonts w:ascii="Arial" w:eastAsia="Times New Roman" w:hAnsi="Arial"/>
                <w:b/>
                <w:snapToGrid w:val="0"/>
                <w:sz w:val="20"/>
                <w:szCs w:val="24"/>
                <w:lang w:val="nl-BE"/>
              </w:rPr>
            </w:pPr>
            <w:r w:rsidRPr="001E3011">
              <w:rPr>
                <w:rFonts w:ascii="Arial" w:eastAsia="Times New Roman" w:hAnsi="Arial"/>
                <w:snapToGrid w:val="0"/>
                <w:sz w:val="14"/>
                <w:szCs w:val="24"/>
                <w:lang w:val="nl-BE"/>
              </w:rPr>
              <w:t>Kredietrisico</w:t>
            </w:r>
          </w:p>
        </w:tc>
        <w:tc>
          <w:tcPr>
            <w:tcW w:w="1843" w:type="dxa"/>
            <w:tcBorders>
              <w:top w:val="single" w:sz="8" w:space="0" w:color="365F91" w:themeColor="accent1" w:themeShade="BF"/>
              <w:bottom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p>
        </w:tc>
        <w:tc>
          <w:tcPr>
            <w:tcW w:w="1134" w:type="dxa"/>
            <w:tcBorders>
              <w:top w:val="single" w:sz="8" w:space="0" w:color="365F91" w:themeColor="accent1" w:themeShade="BF"/>
              <w:bottom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p>
        </w:tc>
        <w:tc>
          <w:tcPr>
            <w:tcW w:w="1134" w:type="dxa"/>
            <w:tcBorders>
              <w:top w:val="single" w:sz="8" w:space="0" w:color="365F91" w:themeColor="accent1" w:themeShade="BF"/>
              <w:bottom w:val="single" w:sz="8" w:space="0" w:color="365F91" w:themeColor="accent1" w:themeShade="BF"/>
            </w:tcBorders>
            <w:shd w:val="clear" w:color="auto" w:fill="DBE5F1" w:themeFill="accent1" w:themeFillTint="33"/>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p>
        </w:tc>
      </w:tr>
      <w:tr w:rsidR="001E3011" w:rsidRPr="001E3011" w:rsidTr="001E3011">
        <w:trPr>
          <w:trHeight w:val="227"/>
        </w:trPr>
        <w:tc>
          <w:tcPr>
            <w:tcW w:w="5912" w:type="dxa"/>
            <w:tcBorders>
              <w:top w:val="single" w:sz="8" w:space="0" w:color="365F91" w:themeColor="accent1" w:themeShade="BF"/>
            </w:tcBorders>
            <w:vAlign w:val="center"/>
          </w:tcPr>
          <w:p w:rsidR="001E3011" w:rsidRPr="001E3011" w:rsidRDefault="001E3011" w:rsidP="001E3011">
            <w:pPr>
              <w:spacing w:after="0" w:line="240" w:lineRule="auto"/>
              <w:rPr>
                <w:rFonts w:ascii="Arial" w:eastAsia="Times New Roman" w:hAnsi="Arial"/>
                <w:b/>
                <w:snapToGrid w:val="0"/>
                <w:sz w:val="20"/>
                <w:szCs w:val="24"/>
                <w:lang w:val="nl-BE"/>
              </w:rPr>
            </w:pPr>
            <w:r w:rsidRPr="001E3011">
              <w:rPr>
                <w:rFonts w:ascii="Arial" w:eastAsia="Times New Roman" w:hAnsi="Arial"/>
                <w:snapToGrid w:val="0"/>
                <w:sz w:val="14"/>
                <w:szCs w:val="24"/>
                <w:lang w:val="nl-BE"/>
              </w:rPr>
              <w:t xml:space="preserve">    Kredietkostenratio</w:t>
            </w:r>
          </w:p>
        </w:tc>
        <w:tc>
          <w:tcPr>
            <w:tcW w:w="1843" w:type="dxa"/>
            <w:tcBorders>
              <w:top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p>
        </w:tc>
        <w:tc>
          <w:tcPr>
            <w:tcW w:w="1134" w:type="dxa"/>
            <w:tcBorders>
              <w:top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r w:rsidRPr="001E3011">
              <w:rPr>
                <w:rFonts w:ascii="Arial" w:eastAsia="Times New Roman" w:hAnsi="Arial"/>
                <w:bCs/>
                <w:snapToGrid w:val="0"/>
                <w:sz w:val="14"/>
                <w:szCs w:val="14"/>
                <w:lang w:val="en-GB"/>
              </w:rPr>
              <w:t>1,21%</w:t>
            </w:r>
          </w:p>
        </w:tc>
        <w:tc>
          <w:tcPr>
            <w:tcW w:w="1134" w:type="dxa"/>
            <w:tcBorders>
              <w:top w:val="single" w:sz="8" w:space="0" w:color="365F91" w:themeColor="accent1" w:themeShade="BF"/>
            </w:tcBorders>
            <w:shd w:val="clear" w:color="auto" w:fill="DBE5F1" w:themeFill="accent1" w:themeFillTint="33"/>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r w:rsidRPr="001E3011">
              <w:rPr>
                <w:rFonts w:ascii="Arial" w:eastAsia="Times New Roman" w:hAnsi="Arial"/>
                <w:bCs/>
                <w:snapToGrid w:val="0"/>
                <w:sz w:val="14"/>
                <w:szCs w:val="14"/>
                <w:lang w:val="en-GB"/>
              </w:rPr>
              <w:t>0,41%</w:t>
            </w:r>
          </w:p>
        </w:tc>
      </w:tr>
      <w:tr w:rsidR="001E3011" w:rsidRPr="001E3011" w:rsidTr="001E3011">
        <w:trPr>
          <w:trHeight w:val="227"/>
        </w:trPr>
        <w:tc>
          <w:tcPr>
            <w:tcW w:w="5912" w:type="dxa"/>
            <w:vAlign w:val="center"/>
          </w:tcPr>
          <w:p w:rsidR="001E3011" w:rsidRPr="001E3011" w:rsidRDefault="001E3011" w:rsidP="001E3011">
            <w:pPr>
              <w:spacing w:after="0" w:line="240" w:lineRule="auto"/>
              <w:rPr>
                <w:rFonts w:ascii="Arial" w:eastAsia="Times New Roman" w:hAnsi="Arial"/>
                <w:b/>
                <w:snapToGrid w:val="0"/>
                <w:sz w:val="20"/>
                <w:szCs w:val="24"/>
                <w:lang w:val="nl-BE"/>
              </w:rPr>
            </w:pPr>
            <w:r w:rsidRPr="001E3011">
              <w:rPr>
                <w:rFonts w:ascii="Arial" w:eastAsia="Times New Roman" w:hAnsi="Arial"/>
                <w:snapToGrid w:val="0"/>
                <w:sz w:val="14"/>
                <w:szCs w:val="24"/>
                <w:lang w:val="nl-BE"/>
              </w:rPr>
              <w:t xml:space="preserve">    </w:t>
            </w:r>
            <w:proofErr w:type="spellStart"/>
            <w:r w:rsidRPr="001E3011">
              <w:rPr>
                <w:rFonts w:ascii="Arial" w:eastAsia="Times New Roman" w:hAnsi="Arial"/>
                <w:snapToGrid w:val="0"/>
                <w:sz w:val="14"/>
                <w:szCs w:val="24"/>
                <w:lang w:val="nl-BE"/>
              </w:rPr>
              <w:t>Impaired</w:t>
            </w:r>
            <w:proofErr w:type="spellEnd"/>
            <w:r w:rsidRPr="001E3011">
              <w:rPr>
                <w:rFonts w:ascii="Arial" w:eastAsia="Times New Roman" w:hAnsi="Arial"/>
                <w:snapToGrid w:val="0"/>
                <w:sz w:val="14"/>
                <w:szCs w:val="24"/>
                <w:lang w:val="nl-BE"/>
              </w:rPr>
              <w:t xml:space="preserve"> kredieten ratio</w:t>
            </w:r>
          </w:p>
        </w:tc>
        <w:tc>
          <w:tcPr>
            <w:tcW w:w="1843" w:type="dxa"/>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p>
        </w:tc>
        <w:tc>
          <w:tcPr>
            <w:tcW w:w="1134" w:type="dxa"/>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r w:rsidRPr="001E3011">
              <w:rPr>
                <w:rFonts w:ascii="Arial" w:eastAsia="Times New Roman" w:hAnsi="Arial"/>
                <w:bCs/>
                <w:snapToGrid w:val="0"/>
                <w:sz w:val="14"/>
                <w:szCs w:val="14"/>
                <w:lang w:val="en-GB"/>
              </w:rPr>
              <w:t>10,2%</w:t>
            </w:r>
          </w:p>
        </w:tc>
        <w:tc>
          <w:tcPr>
            <w:tcW w:w="1134" w:type="dxa"/>
            <w:shd w:val="clear" w:color="auto" w:fill="DBE5F1" w:themeFill="accent1" w:themeFillTint="33"/>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r w:rsidRPr="001E3011">
              <w:rPr>
                <w:rFonts w:ascii="Arial" w:eastAsia="Times New Roman" w:hAnsi="Arial"/>
                <w:bCs/>
                <w:snapToGrid w:val="0"/>
                <w:sz w:val="14"/>
                <w:szCs w:val="14"/>
                <w:lang w:val="en-GB"/>
              </w:rPr>
              <w:t>10,3%</w:t>
            </w:r>
          </w:p>
        </w:tc>
      </w:tr>
      <w:tr w:rsidR="001E3011" w:rsidRPr="001E3011" w:rsidTr="001E3011">
        <w:trPr>
          <w:trHeight w:val="227"/>
        </w:trPr>
        <w:tc>
          <w:tcPr>
            <w:tcW w:w="5912" w:type="dxa"/>
            <w:tcBorders>
              <w:bottom w:val="single" w:sz="8" w:space="0" w:color="365F91" w:themeColor="accent1" w:themeShade="BF"/>
            </w:tcBorders>
            <w:vAlign w:val="center"/>
          </w:tcPr>
          <w:p w:rsidR="001E3011" w:rsidRPr="001E3011" w:rsidRDefault="001E3011" w:rsidP="001E3011">
            <w:pPr>
              <w:spacing w:after="0" w:line="240" w:lineRule="auto"/>
              <w:rPr>
                <w:rFonts w:ascii="Arial" w:eastAsia="Times New Roman" w:hAnsi="Arial"/>
                <w:snapToGrid w:val="0"/>
                <w:sz w:val="14"/>
                <w:szCs w:val="24"/>
                <w:lang w:val="nl-BE"/>
              </w:rPr>
            </w:pPr>
            <w:r w:rsidRPr="001E3011">
              <w:rPr>
                <w:rFonts w:ascii="Arial" w:eastAsia="Times New Roman" w:hAnsi="Arial"/>
                <w:snapToGrid w:val="0"/>
                <w:sz w:val="14"/>
                <w:szCs w:val="24"/>
                <w:lang w:val="nl-BE"/>
              </w:rPr>
              <w:t xml:space="preserve">          Waarvan </w:t>
            </w:r>
            <w:proofErr w:type="spellStart"/>
            <w:r w:rsidRPr="001E3011">
              <w:rPr>
                <w:rFonts w:ascii="Arial" w:eastAsia="Times New Roman" w:hAnsi="Arial"/>
                <w:snapToGrid w:val="0"/>
                <w:sz w:val="14"/>
                <w:szCs w:val="24"/>
                <w:lang w:val="nl-BE"/>
              </w:rPr>
              <w:t>impaired</w:t>
            </w:r>
            <w:proofErr w:type="spellEnd"/>
            <w:r w:rsidRPr="001E3011">
              <w:rPr>
                <w:rFonts w:ascii="Arial" w:eastAsia="Times New Roman" w:hAnsi="Arial"/>
                <w:snapToGrid w:val="0"/>
                <w:sz w:val="14"/>
                <w:szCs w:val="24"/>
                <w:lang w:val="nl-BE"/>
              </w:rPr>
              <w:t xml:space="preserve"> kredieten die meer dan 90 dagen achterstallig zijn</w:t>
            </w:r>
          </w:p>
        </w:tc>
        <w:tc>
          <w:tcPr>
            <w:tcW w:w="1843" w:type="dxa"/>
            <w:tcBorders>
              <w:bottom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nl-BE"/>
              </w:rPr>
            </w:pPr>
          </w:p>
        </w:tc>
        <w:tc>
          <w:tcPr>
            <w:tcW w:w="1134" w:type="dxa"/>
            <w:tcBorders>
              <w:bottom w:val="single" w:sz="8" w:space="0" w:color="365F91" w:themeColor="accent1" w:themeShade="BF"/>
            </w:tcBorders>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r w:rsidRPr="001E3011">
              <w:rPr>
                <w:rFonts w:ascii="Arial" w:eastAsia="Times New Roman" w:hAnsi="Arial"/>
                <w:bCs/>
                <w:snapToGrid w:val="0"/>
                <w:sz w:val="14"/>
                <w:szCs w:val="14"/>
                <w:lang w:val="en-GB"/>
              </w:rPr>
              <w:t>5,9%</w:t>
            </w:r>
          </w:p>
        </w:tc>
        <w:tc>
          <w:tcPr>
            <w:tcW w:w="1134" w:type="dxa"/>
            <w:tcBorders>
              <w:bottom w:val="single" w:sz="8" w:space="0" w:color="365F91" w:themeColor="accent1" w:themeShade="BF"/>
            </w:tcBorders>
            <w:shd w:val="clear" w:color="auto" w:fill="DBE5F1" w:themeFill="accent1" w:themeFillTint="33"/>
            <w:vAlign w:val="center"/>
          </w:tcPr>
          <w:p w:rsidR="001E3011" w:rsidRPr="001E3011" w:rsidRDefault="001E3011" w:rsidP="001E3011">
            <w:pPr>
              <w:spacing w:after="0" w:line="240" w:lineRule="auto"/>
              <w:jc w:val="right"/>
              <w:rPr>
                <w:rFonts w:ascii="Arial" w:eastAsia="Times New Roman" w:hAnsi="Arial"/>
                <w:bCs/>
                <w:snapToGrid w:val="0"/>
                <w:sz w:val="14"/>
                <w:szCs w:val="14"/>
                <w:lang w:val="en-GB"/>
              </w:rPr>
            </w:pPr>
            <w:r w:rsidRPr="001E3011">
              <w:rPr>
                <w:rFonts w:ascii="Arial" w:eastAsia="Times New Roman" w:hAnsi="Arial"/>
                <w:bCs/>
                <w:snapToGrid w:val="0"/>
                <w:sz w:val="14"/>
                <w:szCs w:val="14"/>
                <w:lang w:val="en-GB"/>
              </w:rPr>
              <w:t>6,0%</w:t>
            </w:r>
          </w:p>
        </w:tc>
      </w:tr>
      <w:tr w:rsidR="001E3011" w:rsidRPr="00715235" w:rsidTr="001E3011">
        <w:trPr>
          <w:trHeight w:val="217"/>
        </w:trPr>
        <w:tc>
          <w:tcPr>
            <w:tcW w:w="10023" w:type="dxa"/>
            <w:gridSpan w:val="4"/>
            <w:tcBorders>
              <w:top w:val="single" w:sz="8" w:space="0" w:color="365F91" w:themeColor="accent1" w:themeShade="BF"/>
            </w:tcBorders>
            <w:vAlign w:val="center"/>
          </w:tcPr>
          <w:p w:rsidR="001E3011" w:rsidRPr="00715235" w:rsidRDefault="001E3011" w:rsidP="001E3011">
            <w:pPr>
              <w:autoSpaceDE w:val="0"/>
              <w:autoSpaceDN w:val="0"/>
              <w:adjustRightInd w:val="0"/>
              <w:spacing w:after="0" w:line="240" w:lineRule="auto"/>
              <w:ind w:right="6"/>
              <w:jc w:val="both"/>
              <w:rPr>
                <w:rFonts w:cs="Arial"/>
                <w:color w:val="003768"/>
                <w:sz w:val="16"/>
                <w:szCs w:val="16"/>
                <w:lang w:val="nl-BE"/>
              </w:rPr>
            </w:pPr>
            <w:r w:rsidRPr="00715235">
              <w:rPr>
                <w:rFonts w:cs="Arial"/>
                <w:color w:val="003768"/>
                <w:sz w:val="16"/>
                <w:szCs w:val="16"/>
                <w:lang w:val="nl-BE"/>
              </w:rPr>
              <w:t>* Als er een coupon wordt betaald op de kernkapitaaleffecten verkocht aan de Belgische en de Vlaamse overheid en de Additional Tier 1-instrumenten opgenomen in het eigen vermogen, dan wordt die (pro rata) van de teller afgetrokken.</w:t>
            </w:r>
          </w:p>
          <w:p w:rsidR="001E3011" w:rsidRPr="00715235" w:rsidRDefault="001E3011" w:rsidP="001E3011">
            <w:pPr>
              <w:autoSpaceDE w:val="0"/>
              <w:autoSpaceDN w:val="0"/>
              <w:adjustRightInd w:val="0"/>
              <w:spacing w:after="120" w:line="240" w:lineRule="auto"/>
              <w:ind w:right="6"/>
              <w:jc w:val="both"/>
              <w:rPr>
                <w:rFonts w:cs="Arial"/>
                <w:color w:val="003768"/>
                <w:sz w:val="16"/>
                <w:szCs w:val="16"/>
                <w:lang w:val="nl-BE"/>
              </w:rPr>
            </w:pPr>
            <w:r w:rsidRPr="00715235">
              <w:rPr>
                <w:rFonts w:cs="Arial"/>
                <w:color w:val="003768"/>
                <w:sz w:val="16"/>
                <w:szCs w:val="16"/>
                <w:lang w:val="nl-BE"/>
              </w:rPr>
              <w:t>Opmerking: een aantal ratio's is gewijzigd (met retroactieve toepassing) door de toepassing van IFRS 11 en Basel III en door de afschaffing van de carve-out in verband met de nulweging voor binnenlandse overheidsobligaties.</w:t>
            </w:r>
          </w:p>
          <w:p w:rsidR="001E3011" w:rsidRPr="001E3011" w:rsidRDefault="001E3011" w:rsidP="001E3011">
            <w:pPr>
              <w:keepNext/>
              <w:spacing w:after="0" w:line="240" w:lineRule="auto"/>
              <w:ind w:left="88" w:right="-290" w:hanging="88"/>
              <w:outlineLvl w:val="3"/>
              <w:rPr>
                <w:rFonts w:ascii="Arial" w:eastAsia="Times New Roman" w:hAnsi="Arial"/>
                <w:bCs/>
                <w:snapToGrid w:val="0"/>
                <w:sz w:val="12"/>
                <w:szCs w:val="12"/>
                <w:lang w:val="nl-BE"/>
              </w:rPr>
            </w:pPr>
          </w:p>
        </w:tc>
      </w:tr>
    </w:tbl>
    <w:p w:rsidR="001E3011" w:rsidRPr="003C1B2C" w:rsidRDefault="001E3011" w:rsidP="00B744CA">
      <w:pPr>
        <w:autoSpaceDE w:val="0"/>
        <w:autoSpaceDN w:val="0"/>
        <w:adjustRightInd w:val="0"/>
        <w:spacing w:after="120" w:line="240" w:lineRule="auto"/>
        <w:ind w:left="992" w:right="6"/>
        <w:jc w:val="both"/>
        <w:rPr>
          <w:rFonts w:cs="Arial"/>
          <w:color w:val="003768"/>
          <w:lang w:val="nl-BE"/>
        </w:rPr>
      </w:pPr>
    </w:p>
    <w:p w:rsidR="003C1B2C" w:rsidRDefault="003C1B2C" w:rsidP="00B744CA">
      <w:pPr>
        <w:autoSpaceDE w:val="0"/>
        <w:autoSpaceDN w:val="0"/>
        <w:adjustRightInd w:val="0"/>
        <w:spacing w:after="120" w:line="240" w:lineRule="auto"/>
        <w:ind w:left="992" w:right="6"/>
        <w:jc w:val="both"/>
        <w:rPr>
          <w:rFonts w:cs="Arial"/>
          <w:color w:val="003768"/>
          <w:lang w:val="nl-BE"/>
        </w:rPr>
      </w:pPr>
    </w:p>
    <w:p w:rsidR="001E3011" w:rsidRDefault="001E3011" w:rsidP="00B744CA">
      <w:pPr>
        <w:autoSpaceDE w:val="0"/>
        <w:autoSpaceDN w:val="0"/>
        <w:adjustRightInd w:val="0"/>
        <w:spacing w:after="120" w:line="240" w:lineRule="auto"/>
        <w:ind w:left="992" w:right="6"/>
        <w:jc w:val="both"/>
        <w:rPr>
          <w:rFonts w:cs="Arial"/>
          <w:color w:val="003768"/>
          <w:lang w:val="nl-BE"/>
        </w:rPr>
      </w:pPr>
    </w:p>
    <w:p w:rsidR="001E3011" w:rsidRPr="003C1B2C" w:rsidRDefault="001E3011" w:rsidP="00B744CA">
      <w:pPr>
        <w:autoSpaceDE w:val="0"/>
        <w:autoSpaceDN w:val="0"/>
        <w:adjustRightInd w:val="0"/>
        <w:spacing w:after="120" w:line="240" w:lineRule="auto"/>
        <w:ind w:left="992" w:right="6"/>
        <w:jc w:val="both"/>
        <w:rPr>
          <w:rFonts w:cs="Arial"/>
          <w:color w:val="003768"/>
          <w:lang w:val="nl-BE"/>
        </w:rPr>
      </w:pPr>
    </w:p>
    <w:p w:rsidR="001E3011" w:rsidRPr="00715235" w:rsidRDefault="001E3011" w:rsidP="00B744CA">
      <w:pPr>
        <w:autoSpaceDE w:val="0"/>
        <w:autoSpaceDN w:val="0"/>
        <w:adjustRightInd w:val="0"/>
        <w:spacing w:after="120" w:line="240" w:lineRule="auto"/>
        <w:ind w:left="992" w:right="6"/>
        <w:jc w:val="both"/>
        <w:rPr>
          <w:rFonts w:cs="Arial"/>
          <w:color w:val="003768"/>
          <w:lang w:val="nl-BE"/>
        </w:rPr>
      </w:pPr>
    </w:p>
    <w:p w:rsidR="001E3011" w:rsidRPr="00715235" w:rsidRDefault="001E3011" w:rsidP="00B744CA">
      <w:pPr>
        <w:autoSpaceDE w:val="0"/>
        <w:autoSpaceDN w:val="0"/>
        <w:adjustRightInd w:val="0"/>
        <w:spacing w:after="120" w:line="240" w:lineRule="auto"/>
        <w:ind w:left="992" w:right="6"/>
        <w:jc w:val="both"/>
        <w:rPr>
          <w:rFonts w:cs="Arial"/>
          <w:color w:val="003768"/>
          <w:lang w:val="nl-BE"/>
        </w:rPr>
      </w:pPr>
    </w:p>
    <w:p w:rsidR="001E3011" w:rsidRPr="00715235" w:rsidRDefault="001E3011" w:rsidP="00B744CA">
      <w:pPr>
        <w:autoSpaceDE w:val="0"/>
        <w:autoSpaceDN w:val="0"/>
        <w:adjustRightInd w:val="0"/>
        <w:spacing w:after="120" w:line="240" w:lineRule="auto"/>
        <w:ind w:left="992" w:right="6"/>
        <w:jc w:val="both"/>
        <w:rPr>
          <w:rFonts w:cs="Arial"/>
          <w:color w:val="003768"/>
          <w:lang w:val="nl-BE"/>
        </w:rPr>
      </w:pPr>
    </w:p>
    <w:p w:rsidR="001E3011" w:rsidRPr="00715235" w:rsidRDefault="001E3011" w:rsidP="00B744CA">
      <w:pPr>
        <w:autoSpaceDE w:val="0"/>
        <w:autoSpaceDN w:val="0"/>
        <w:adjustRightInd w:val="0"/>
        <w:spacing w:after="120" w:line="240" w:lineRule="auto"/>
        <w:ind w:left="992" w:right="6"/>
        <w:jc w:val="both"/>
        <w:rPr>
          <w:rFonts w:cs="Arial"/>
          <w:color w:val="003768"/>
          <w:lang w:val="nl-BE"/>
        </w:rPr>
      </w:pPr>
    </w:p>
    <w:p w:rsidR="001E3011" w:rsidRPr="00715235" w:rsidRDefault="001E3011" w:rsidP="00B744CA">
      <w:pPr>
        <w:autoSpaceDE w:val="0"/>
        <w:autoSpaceDN w:val="0"/>
        <w:adjustRightInd w:val="0"/>
        <w:spacing w:after="120" w:line="240" w:lineRule="auto"/>
        <w:ind w:left="992" w:right="6"/>
        <w:jc w:val="both"/>
        <w:rPr>
          <w:rFonts w:cs="Arial"/>
          <w:color w:val="003768"/>
          <w:lang w:val="nl-BE"/>
        </w:rPr>
      </w:pPr>
    </w:p>
    <w:p w:rsidR="001E3011" w:rsidRPr="00715235" w:rsidRDefault="001E3011" w:rsidP="00B744CA">
      <w:pPr>
        <w:autoSpaceDE w:val="0"/>
        <w:autoSpaceDN w:val="0"/>
        <w:adjustRightInd w:val="0"/>
        <w:spacing w:after="120" w:line="240" w:lineRule="auto"/>
        <w:ind w:left="992" w:right="6"/>
        <w:jc w:val="both"/>
        <w:rPr>
          <w:rFonts w:cs="Arial"/>
          <w:color w:val="003768"/>
          <w:lang w:val="nl-BE"/>
        </w:rPr>
      </w:pPr>
    </w:p>
    <w:p w:rsidR="001E3011" w:rsidRPr="00715235" w:rsidRDefault="001E3011" w:rsidP="00B744CA">
      <w:pPr>
        <w:autoSpaceDE w:val="0"/>
        <w:autoSpaceDN w:val="0"/>
        <w:adjustRightInd w:val="0"/>
        <w:spacing w:after="120" w:line="240" w:lineRule="auto"/>
        <w:ind w:left="992" w:right="6"/>
        <w:jc w:val="both"/>
        <w:rPr>
          <w:rFonts w:cs="Arial"/>
          <w:color w:val="003768"/>
          <w:lang w:val="nl-BE"/>
        </w:rPr>
      </w:pPr>
    </w:p>
    <w:p w:rsidR="001E3011" w:rsidRPr="00715235" w:rsidRDefault="001E3011">
      <w:pPr>
        <w:spacing w:after="0" w:line="240" w:lineRule="auto"/>
        <w:rPr>
          <w:rFonts w:cs="Arial"/>
          <w:color w:val="003768"/>
          <w:lang w:val="nl-BE"/>
        </w:rPr>
      </w:pPr>
      <w:r w:rsidRPr="00715235">
        <w:rPr>
          <w:rFonts w:cs="Arial"/>
          <w:color w:val="003768"/>
          <w:lang w:val="nl-BE"/>
        </w:rPr>
        <w:br w:type="page"/>
      </w:r>
    </w:p>
    <w:p w:rsidR="001E3011" w:rsidRDefault="001E3011" w:rsidP="00B744CA">
      <w:pPr>
        <w:autoSpaceDE w:val="0"/>
        <w:autoSpaceDN w:val="0"/>
        <w:adjustRightInd w:val="0"/>
        <w:spacing w:after="120" w:line="240" w:lineRule="auto"/>
        <w:ind w:left="992" w:right="6"/>
        <w:jc w:val="both"/>
        <w:rPr>
          <w:rFonts w:cs="Arial"/>
          <w:color w:val="003768"/>
        </w:rPr>
      </w:pPr>
      <w:r>
        <w:rPr>
          <w:rFonts w:cs="Arial"/>
          <w:bCs/>
          <w:noProof/>
          <w:color w:val="003768"/>
          <w:lang w:val="nl-BE" w:eastAsia="nl-BE"/>
        </w:rPr>
        <w:lastRenderedPageBreak/>
        <w:drawing>
          <wp:inline distT="0" distB="0" distL="0" distR="0" wp14:anchorId="03D788C4" wp14:editId="7EA67A4D">
            <wp:extent cx="6451200" cy="500400"/>
            <wp:effectExtent l="0" t="0" r="6985" b="0"/>
            <wp:docPr id="13" name="Afbeelding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51200" cy="500400"/>
                    </a:xfrm>
                    <a:prstGeom prst="rect">
                      <a:avLst/>
                    </a:prstGeom>
                    <a:noFill/>
                  </pic:spPr>
                </pic:pic>
              </a:graphicData>
            </a:graphic>
          </wp:inline>
        </w:drawing>
      </w:r>
    </w:p>
    <w:p w:rsidR="005C78AD" w:rsidRDefault="005C78AD" w:rsidP="001E3011">
      <w:pPr>
        <w:autoSpaceDE w:val="0"/>
        <w:autoSpaceDN w:val="0"/>
        <w:adjustRightInd w:val="0"/>
        <w:spacing w:after="120" w:line="240" w:lineRule="auto"/>
        <w:ind w:left="992" w:right="6"/>
        <w:jc w:val="both"/>
        <w:rPr>
          <w:rFonts w:cs="Arial"/>
          <w:b/>
          <w:color w:val="003768"/>
          <w:lang w:val="nl-BE"/>
        </w:rPr>
      </w:pPr>
    </w:p>
    <w:p w:rsidR="001E3011" w:rsidRDefault="001E3011" w:rsidP="001E3011">
      <w:pPr>
        <w:autoSpaceDE w:val="0"/>
        <w:autoSpaceDN w:val="0"/>
        <w:adjustRightInd w:val="0"/>
        <w:spacing w:after="120" w:line="240" w:lineRule="auto"/>
        <w:ind w:left="992" w:right="6"/>
        <w:jc w:val="both"/>
        <w:rPr>
          <w:rFonts w:cs="Arial"/>
          <w:b/>
          <w:color w:val="003768"/>
          <w:lang w:val="nl-BE"/>
        </w:rPr>
      </w:pPr>
      <w:r w:rsidRPr="001E3011">
        <w:rPr>
          <w:rFonts w:cs="Arial"/>
          <w:b/>
          <w:color w:val="003768"/>
          <w:lang w:val="nl-BE"/>
        </w:rPr>
        <w:t xml:space="preserve">Strategie en hoofdlijnen (derde kwartaal tot nu toe) </w:t>
      </w:r>
    </w:p>
    <w:p w:rsidR="005C78AD" w:rsidRDefault="005C78AD" w:rsidP="001E3011">
      <w:pPr>
        <w:autoSpaceDE w:val="0"/>
        <w:autoSpaceDN w:val="0"/>
        <w:adjustRightInd w:val="0"/>
        <w:spacing w:after="120" w:line="240" w:lineRule="auto"/>
        <w:ind w:left="992" w:right="6"/>
        <w:jc w:val="both"/>
        <w:rPr>
          <w:rFonts w:cs="Arial"/>
          <w:b/>
          <w:color w:val="003768"/>
          <w:lang w:val="nl-BE"/>
        </w:rPr>
      </w:pP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De kernstrategie van KBC blijft gefocust op het aanbieden van bankverzekeringsproducten en -diensten aan particulieren, </w:t>
      </w:r>
      <w:proofErr w:type="spellStart"/>
      <w:r w:rsidRPr="001E3011">
        <w:rPr>
          <w:rFonts w:cs="Arial"/>
          <w:color w:val="003768"/>
          <w:lang w:val="nl-BE"/>
        </w:rPr>
        <w:t>kmo's</w:t>
      </w:r>
      <w:proofErr w:type="spellEnd"/>
      <w:r w:rsidRPr="001E3011">
        <w:rPr>
          <w:rFonts w:cs="Arial"/>
          <w:color w:val="003768"/>
          <w:lang w:val="nl-BE"/>
        </w:rPr>
        <w:t xml:space="preserve"> en </w:t>
      </w:r>
      <w:proofErr w:type="spellStart"/>
      <w:r w:rsidRPr="001E3011">
        <w:rPr>
          <w:rFonts w:cs="Arial"/>
          <w:color w:val="003768"/>
          <w:lang w:val="nl-BE"/>
        </w:rPr>
        <w:t>mid</w:t>
      </w:r>
      <w:proofErr w:type="spellEnd"/>
      <w:r w:rsidRPr="001E3011">
        <w:rPr>
          <w:rFonts w:cs="Arial"/>
          <w:color w:val="003768"/>
          <w:lang w:val="nl-BE"/>
        </w:rPr>
        <w:t xml:space="preserve">-caps in België, Tsjechië, Slowakije, Hongarije en Bulgarije. In overeenstemming met zijn strategisch plan heeft de groep zijn desinvesteringsprogramma nu afgerond. </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In juli 2014 bevestigde </w:t>
      </w:r>
      <w:proofErr w:type="spellStart"/>
      <w:r w:rsidRPr="001E3011">
        <w:rPr>
          <w:rFonts w:cs="Arial"/>
          <w:color w:val="003768"/>
          <w:lang w:val="nl-BE"/>
        </w:rPr>
        <w:t>Fitch</w:t>
      </w:r>
      <w:proofErr w:type="spellEnd"/>
      <w:r w:rsidRPr="001E3011">
        <w:rPr>
          <w:rFonts w:cs="Arial"/>
          <w:color w:val="003768"/>
          <w:lang w:val="nl-BE"/>
        </w:rPr>
        <w:t xml:space="preserve"> zijn </w:t>
      </w:r>
      <w:proofErr w:type="spellStart"/>
      <w:r w:rsidRPr="001E3011">
        <w:rPr>
          <w:rFonts w:cs="Arial"/>
          <w:color w:val="003768"/>
          <w:lang w:val="nl-BE"/>
        </w:rPr>
        <w:t>langetermijnrating</w:t>
      </w:r>
      <w:proofErr w:type="spellEnd"/>
      <w:r w:rsidRPr="001E3011">
        <w:rPr>
          <w:rFonts w:cs="Arial"/>
          <w:color w:val="003768"/>
          <w:lang w:val="nl-BE"/>
        </w:rPr>
        <w:t xml:space="preserve"> van A- (met stabiele outlook) voor zowel KBC Bank als KBC Groep. In november 2014 bevestigde het ook dezelfde </w:t>
      </w:r>
      <w:proofErr w:type="spellStart"/>
      <w:r w:rsidRPr="001E3011">
        <w:rPr>
          <w:rFonts w:cs="Arial"/>
          <w:color w:val="003768"/>
          <w:lang w:val="nl-BE"/>
        </w:rPr>
        <w:t>langetermijnratings</w:t>
      </w:r>
      <w:proofErr w:type="spellEnd"/>
      <w:r w:rsidRPr="001E3011">
        <w:rPr>
          <w:rFonts w:cs="Arial"/>
          <w:color w:val="003768"/>
          <w:lang w:val="nl-BE"/>
        </w:rPr>
        <w:t xml:space="preserve"> voor KBC Verzekeringen en KBC Group Re.</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In september 2014 besliste KBC – in uitvoering van de overeenkomst met de Europese Commissie – om de kredietdossiers en activiteiten van Antwerpse Diamantbank (ADB) geleidelijk en op geordende wijze af te bouwen. Dat proces zal verlopen via een fusie door opslorping waarbij ADB opgenomen wordt in KBC. De activiteiten, de portefeuille en de juridische entiteit van ADB zullen dus op termijn volledig uit de scope van KBC verdwijnen.</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In september 2014 rondde KBC de verkoop af van KBC Bank Deutschland AG aan een groep investeerders. Door die deal maakt KBC ongeveer 0,1 miljard euro kapitaal vrij, voornamelijk door een verlaging van de </w:t>
      </w:r>
      <w:proofErr w:type="spellStart"/>
      <w:r w:rsidRPr="001E3011">
        <w:rPr>
          <w:rFonts w:cs="Arial"/>
          <w:color w:val="003768"/>
          <w:lang w:val="nl-BE"/>
        </w:rPr>
        <w:t>risicogewogen</w:t>
      </w:r>
      <w:proofErr w:type="spellEnd"/>
      <w:r w:rsidRPr="001E3011">
        <w:rPr>
          <w:rFonts w:cs="Arial"/>
          <w:color w:val="003768"/>
          <w:lang w:val="nl-BE"/>
        </w:rPr>
        <w:t xml:space="preserve"> activa. </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In september 2014 </w:t>
      </w:r>
      <w:proofErr w:type="spellStart"/>
      <w:r w:rsidRPr="001E3011">
        <w:rPr>
          <w:rFonts w:cs="Arial"/>
          <w:color w:val="003768"/>
          <w:lang w:val="nl-BE"/>
        </w:rPr>
        <w:t>collapste</w:t>
      </w:r>
      <w:proofErr w:type="spellEnd"/>
      <w:r w:rsidRPr="001E3011">
        <w:rPr>
          <w:rFonts w:cs="Arial"/>
          <w:color w:val="003768"/>
          <w:lang w:val="nl-BE"/>
        </w:rPr>
        <w:t xml:space="preserve"> KBC de laatste twee </w:t>
      </w:r>
      <w:proofErr w:type="spellStart"/>
      <w:r w:rsidRPr="001E3011">
        <w:rPr>
          <w:rFonts w:cs="Arial"/>
          <w:color w:val="003768"/>
          <w:lang w:val="nl-BE"/>
        </w:rPr>
        <w:t>CDO's</w:t>
      </w:r>
      <w:proofErr w:type="spellEnd"/>
      <w:r w:rsidRPr="001E3011">
        <w:rPr>
          <w:rFonts w:cs="Arial"/>
          <w:color w:val="003768"/>
          <w:lang w:val="nl-BE"/>
        </w:rPr>
        <w:t xml:space="preserve"> in zijn portefeuille. Dat maakte 0,3 miljard euro aan kapitaal vrij. Door de </w:t>
      </w:r>
      <w:proofErr w:type="spellStart"/>
      <w:r w:rsidRPr="001E3011">
        <w:rPr>
          <w:rFonts w:cs="Arial"/>
          <w:color w:val="003768"/>
          <w:lang w:val="nl-BE"/>
        </w:rPr>
        <w:t>collapsing</w:t>
      </w:r>
      <w:proofErr w:type="spellEnd"/>
      <w:r w:rsidRPr="001E3011">
        <w:rPr>
          <w:rFonts w:cs="Arial"/>
          <w:color w:val="003768"/>
          <w:lang w:val="nl-BE"/>
        </w:rPr>
        <w:t xml:space="preserve"> van die </w:t>
      </w:r>
      <w:proofErr w:type="spellStart"/>
      <w:r w:rsidRPr="001E3011">
        <w:rPr>
          <w:rFonts w:cs="Arial"/>
          <w:color w:val="003768"/>
          <w:lang w:val="nl-BE"/>
        </w:rPr>
        <w:t>CDO’s</w:t>
      </w:r>
      <w:proofErr w:type="spellEnd"/>
      <w:r w:rsidRPr="001E3011">
        <w:rPr>
          <w:rFonts w:cs="Arial"/>
          <w:color w:val="003768"/>
          <w:lang w:val="nl-BE"/>
        </w:rPr>
        <w:t xml:space="preserve"> kon ook de waarborgregeling (‘Portfolio </w:t>
      </w:r>
      <w:proofErr w:type="spellStart"/>
      <w:r w:rsidRPr="001E3011">
        <w:rPr>
          <w:rFonts w:cs="Arial"/>
          <w:color w:val="003768"/>
          <w:lang w:val="nl-BE"/>
        </w:rPr>
        <w:t>Protection</w:t>
      </w:r>
      <w:proofErr w:type="spellEnd"/>
      <w:r w:rsidRPr="001E3011">
        <w:rPr>
          <w:rFonts w:cs="Arial"/>
          <w:color w:val="003768"/>
          <w:lang w:val="nl-BE"/>
        </w:rPr>
        <w:t xml:space="preserve"> Agreement’) voor </w:t>
      </w:r>
      <w:proofErr w:type="spellStart"/>
      <w:r w:rsidRPr="001E3011">
        <w:rPr>
          <w:rFonts w:cs="Arial"/>
          <w:color w:val="003768"/>
          <w:lang w:val="nl-BE"/>
        </w:rPr>
        <w:t>CDO’s</w:t>
      </w:r>
      <w:proofErr w:type="spellEnd"/>
      <w:r w:rsidRPr="001E3011">
        <w:rPr>
          <w:rFonts w:cs="Arial"/>
          <w:color w:val="003768"/>
          <w:lang w:val="nl-BE"/>
        </w:rPr>
        <w:t xml:space="preserve"> die werd afgesloten met de federale overheid worden beëindigd en verdween de blootstelling aan MBIA volledig.</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De bovenstaande operaties waren de laatste die nog moesten worden uitgevoerd ingevolge het desinvesteringsprogramma dat KBC in 2009 overeenkwam met de Europese Commissie.</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In september verwelkomde de groep ook de verlenging van de verankeringsafspraken tussen </w:t>
      </w:r>
      <w:proofErr w:type="spellStart"/>
      <w:r w:rsidRPr="001E3011">
        <w:rPr>
          <w:rFonts w:cs="Arial"/>
          <w:color w:val="003768"/>
          <w:lang w:val="nl-BE"/>
        </w:rPr>
        <w:t>Cera</w:t>
      </w:r>
      <w:proofErr w:type="spellEnd"/>
      <w:r w:rsidRPr="001E3011">
        <w:rPr>
          <w:rFonts w:cs="Arial"/>
          <w:color w:val="003768"/>
          <w:lang w:val="nl-BE"/>
        </w:rPr>
        <w:t xml:space="preserve">, </w:t>
      </w:r>
      <w:r w:rsidR="005C78AD">
        <w:rPr>
          <w:rFonts w:cs="Arial"/>
          <w:color w:val="003768"/>
          <w:lang w:val="nl-BE"/>
        </w:rPr>
        <w:t xml:space="preserve">   </w:t>
      </w:r>
      <w:r w:rsidRPr="001E3011">
        <w:rPr>
          <w:rFonts w:cs="Arial"/>
          <w:color w:val="003768"/>
          <w:lang w:val="nl-BE"/>
        </w:rPr>
        <w:t xml:space="preserve">KBC </w:t>
      </w:r>
      <w:proofErr w:type="spellStart"/>
      <w:r w:rsidRPr="001E3011">
        <w:rPr>
          <w:rFonts w:cs="Arial"/>
          <w:color w:val="003768"/>
          <w:lang w:val="nl-BE"/>
        </w:rPr>
        <w:t>Ancora</w:t>
      </w:r>
      <w:proofErr w:type="spellEnd"/>
      <w:r w:rsidRPr="001E3011">
        <w:rPr>
          <w:rFonts w:cs="Arial"/>
          <w:color w:val="003768"/>
          <w:lang w:val="nl-BE"/>
        </w:rPr>
        <w:t xml:space="preserve">, MRBB en de Andere Vaste Aandeelhouders met betrekking tot  KBC Groep. Samen met MRBB en de Andere Vaste Aandeelhouders bevestigden </w:t>
      </w:r>
      <w:proofErr w:type="spellStart"/>
      <w:r w:rsidRPr="001E3011">
        <w:rPr>
          <w:rFonts w:cs="Arial"/>
          <w:color w:val="003768"/>
          <w:lang w:val="nl-BE"/>
        </w:rPr>
        <w:t>Cera</w:t>
      </w:r>
      <w:proofErr w:type="spellEnd"/>
      <w:r w:rsidRPr="001E3011">
        <w:rPr>
          <w:rFonts w:cs="Arial"/>
          <w:color w:val="003768"/>
          <w:lang w:val="nl-BE"/>
        </w:rPr>
        <w:t xml:space="preserve"> en KBC </w:t>
      </w:r>
      <w:proofErr w:type="spellStart"/>
      <w:r w:rsidRPr="001E3011">
        <w:rPr>
          <w:rFonts w:cs="Arial"/>
          <w:color w:val="003768"/>
          <w:lang w:val="nl-BE"/>
        </w:rPr>
        <w:t>Ancora</w:t>
      </w:r>
      <w:proofErr w:type="spellEnd"/>
      <w:r w:rsidRPr="001E3011">
        <w:rPr>
          <w:rFonts w:cs="Arial"/>
          <w:color w:val="003768"/>
          <w:lang w:val="nl-BE"/>
        </w:rPr>
        <w:t xml:space="preserve"> dat ze ook de volgende tien jaar in onderling overleg willen blijven optreden met betrekking tot KBC Groep. Op die manier verzekeren ze de aandeelhoudersstabiliteit en ondersteunen ze de verdere ontwikkeling van de KBC-groep. </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In oktober 2014 deelden de Europese Centrale Bank (ECB) en de Nationale Bank van België de resultaten mee van de uitgebreide beoordeling die de ECB heeft uitgevoerd. KBC overtrof de drempels van de </w:t>
      </w:r>
      <w:proofErr w:type="spellStart"/>
      <w:r w:rsidRPr="001E3011">
        <w:rPr>
          <w:rFonts w:cs="Arial"/>
          <w:color w:val="003768"/>
          <w:lang w:val="nl-BE"/>
        </w:rPr>
        <w:t>Asset</w:t>
      </w:r>
      <w:proofErr w:type="spellEnd"/>
      <w:r w:rsidRPr="001E3011">
        <w:rPr>
          <w:rFonts w:cs="Arial"/>
          <w:color w:val="003768"/>
          <w:lang w:val="nl-BE"/>
        </w:rPr>
        <w:t xml:space="preserve"> </w:t>
      </w:r>
      <w:proofErr w:type="spellStart"/>
      <w:r w:rsidRPr="001E3011">
        <w:rPr>
          <w:rFonts w:cs="Arial"/>
          <w:color w:val="003768"/>
          <w:lang w:val="nl-BE"/>
        </w:rPr>
        <w:t>Quality</w:t>
      </w:r>
      <w:proofErr w:type="spellEnd"/>
      <w:r w:rsidRPr="001E3011">
        <w:rPr>
          <w:rFonts w:cs="Arial"/>
          <w:color w:val="003768"/>
          <w:lang w:val="nl-BE"/>
        </w:rPr>
        <w:t xml:space="preserve"> Review (AQR) en de stresstests met een ruime marge. De impact van de stresstest volgens het negatieve scenario leidde tot een daling van de Common </w:t>
      </w:r>
      <w:proofErr w:type="spellStart"/>
      <w:r w:rsidRPr="001E3011">
        <w:rPr>
          <w:rFonts w:cs="Arial"/>
          <w:color w:val="003768"/>
          <w:lang w:val="nl-BE"/>
        </w:rPr>
        <w:t>Equity</w:t>
      </w:r>
      <w:proofErr w:type="spellEnd"/>
      <w:r w:rsidRPr="001E3011">
        <w:rPr>
          <w:rFonts w:cs="Arial"/>
          <w:color w:val="003768"/>
          <w:lang w:val="nl-BE"/>
        </w:rPr>
        <w:t xml:space="preserve"> Tier 1-ratio (CET1-ratio) in 2016 met 2,6 procentpunten. De invloed van de </w:t>
      </w:r>
      <w:proofErr w:type="spellStart"/>
      <w:r w:rsidRPr="001E3011">
        <w:rPr>
          <w:rFonts w:cs="Arial"/>
          <w:color w:val="003768"/>
          <w:lang w:val="nl-BE"/>
        </w:rPr>
        <w:t>asset</w:t>
      </w:r>
      <w:proofErr w:type="spellEnd"/>
      <w:r w:rsidRPr="001E3011">
        <w:rPr>
          <w:rFonts w:cs="Arial"/>
          <w:color w:val="003768"/>
          <w:lang w:val="nl-BE"/>
        </w:rPr>
        <w:t xml:space="preserve"> </w:t>
      </w:r>
      <w:proofErr w:type="spellStart"/>
      <w:r w:rsidRPr="001E3011">
        <w:rPr>
          <w:rFonts w:cs="Arial"/>
          <w:color w:val="003768"/>
          <w:lang w:val="nl-BE"/>
        </w:rPr>
        <w:t>quality</w:t>
      </w:r>
      <w:proofErr w:type="spellEnd"/>
      <w:r w:rsidRPr="001E3011">
        <w:rPr>
          <w:rFonts w:cs="Arial"/>
          <w:color w:val="003768"/>
          <w:lang w:val="nl-BE"/>
        </w:rPr>
        <w:t xml:space="preserve"> review was beperkt, met een daling van de CET1-ratio met 0,6 procentpunten. De gezamenlijke invloed van de terugbetaling van de staatssteun die werd overeengekomen met de Europese Commissie, over de horizon van drie jaar van de stresstest (1,8 miljard euro, inclusief premies en coupon), de AQR en de pure stresstest, leidde tot een CET1-ratio van 8,3%. Dat is dus een aanzienlijke buffer van 2,8 procentpunten (2,8 miljard euro) boven de 5,5%-drempel die de ECB oplegt en toont de robuustheid van KBC aan.</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ČSOB ontving de ‘Best Private Bank in the </w:t>
      </w:r>
      <w:proofErr w:type="spellStart"/>
      <w:r w:rsidRPr="001E3011">
        <w:rPr>
          <w:rFonts w:cs="Arial"/>
          <w:color w:val="003768"/>
          <w:lang w:val="nl-BE"/>
        </w:rPr>
        <w:t>Czech</w:t>
      </w:r>
      <w:proofErr w:type="spellEnd"/>
      <w:r w:rsidRPr="001E3011">
        <w:rPr>
          <w:rFonts w:cs="Arial"/>
          <w:color w:val="003768"/>
          <w:lang w:val="nl-BE"/>
        </w:rPr>
        <w:t xml:space="preserve"> </w:t>
      </w:r>
      <w:proofErr w:type="spellStart"/>
      <w:r w:rsidRPr="001E3011">
        <w:rPr>
          <w:rFonts w:cs="Arial"/>
          <w:color w:val="003768"/>
          <w:lang w:val="nl-BE"/>
        </w:rPr>
        <w:t>Republic</w:t>
      </w:r>
      <w:proofErr w:type="spellEnd"/>
      <w:r w:rsidRPr="001E3011">
        <w:rPr>
          <w:rFonts w:cs="Arial"/>
          <w:color w:val="003768"/>
          <w:lang w:val="nl-BE"/>
        </w:rPr>
        <w:t xml:space="preserve">’ prijs van PWM/The </w:t>
      </w:r>
      <w:proofErr w:type="spellStart"/>
      <w:r w:rsidRPr="001E3011">
        <w:rPr>
          <w:rFonts w:cs="Arial"/>
          <w:color w:val="003768"/>
          <w:lang w:val="nl-BE"/>
        </w:rPr>
        <w:t>Banker</w:t>
      </w:r>
      <w:proofErr w:type="spellEnd"/>
      <w:r w:rsidRPr="001E3011">
        <w:rPr>
          <w:rFonts w:cs="Arial"/>
          <w:color w:val="003768"/>
          <w:lang w:val="nl-BE"/>
        </w:rPr>
        <w:t xml:space="preserve">, en  Patria ontving de ‘Investment Bank of the </w:t>
      </w:r>
      <w:proofErr w:type="spellStart"/>
      <w:r w:rsidRPr="001E3011">
        <w:rPr>
          <w:rFonts w:cs="Arial"/>
          <w:color w:val="003768"/>
          <w:lang w:val="nl-BE"/>
        </w:rPr>
        <w:t>Year</w:t>
      </w:r>
      <w:proofErr w:type="spellEnd"/>
      <w:r w:rsidRPr="001E3011">
        <w:rPr>
          <w:rFonts w:cs="Arial"/>
          <w:color w:val="003768"/>
          <w:lang w:val="nl-BE"/>
        </w:rPr>
        <w:t xml:space="preserve">’ prijs van </w:t>
      </w:r>
      <w:proofErr w:type="spellStart"/>
      <w:r w:rsidRPr="001E3011">
        <w:rPr>
          <w:rFonts w:cs="Arial"/>
          <w:color w:val="003768"/>
          <w:lang w:val="nl-BE"/>
        </w:rPr>
        <w:t>Acquisition</w:t>
      </w:r>
      <w:proofErr w:type="spellEnd"/>
      <w:r w:rsidRPr="001E3011">
        <w:rPr>
          <w:rFonts w:cs="Arial"/>
          <w:color w:val="003768"/>
          <w:lang w:val="nl-BE"/>
        </w:rPr>
        <w:t xml:space="preserve"> International.</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KBC ontving vier prijzen in de Marketing </w:t>
      </w:r>
      <w:proofErr w:type="spellStart"/>
      <w:r w:rsidRPr="001E3011">
        <w:rPr>
          <w:rFonts w:cs="Arial"/>
          <w:color w:val="003768"/>
          <w:lang w:val="nl-BE"/>
        </w:rPr>
        <w:t>and</w:t>
      </w:r>
      <w:proofErr w:type="spellEnd"/>
      <w:r w:rsidRPr="001E3011">
        <w:rPr>
          <w:rFonts w:cs="Arial"/>
          <w:color w:val="003768"/>
          <w:lang w:val="nl-BE"/>
        </w:rPr>
        <w:t xml:space="preserve"> Interactive Excellence </w:t>
      </w:r>
      <w:proofErr w:type="spellStart"/>
      <w:r w:rsidRPr="001E3011">
        <w:rPr>
          <w:rFonts w:cs="Arial"/>
          <w:color w:val="003768"/>
          <w:lang w:val="nl-BE"/>
        </w:rPr>
        <w:t>Awards</w:t>
      </w:r>
      <w:proofErr w:type="spellEnd"/>
      <w:r w:rsidRPr="001E3011">
        <w:rPr>
          <w:rFonts w:cs="Arial"/>
          <w:color w:val="003768"/>
          <w:lang w:val="nl-BE"/>
        </w:rPr>
        <w:t xml:space="preserve"> van IAB Belgium en Best of Publishing.</w:t>
      </w:r>
    </w:p>
    <w:p w:rsid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KBC nam ook de prijs voor ‘Best Private Bank in Belgium’ in ontvangst van Professional </w:t>
      </w:r>
      <w:proofErr w:type="spellStart"/>
      <w:r w:rsidRPr="001E3011">
        <w:rPr>
          <w:rFonts w:cs="Arial"/>
          <w:color w:val="003768"/>
          <w:lang w:val="nl-BE"/>
        </w:rPr>
        <w:t>Wealth</w:t>
      </w:r>
      <w:proofErr w:type="spellEnd"/>
      <w:r w:rsidRPr="001E3011">
        <w:rPr>
          <w:rFonts w:cs="Arial"/>
          <w:color w:val="003768"/>
          <w:lang w:val="nl-BE"/>
        </w:rPr>
        <w:t xml:space="preserve"> Magazine.</w:t>
      </w:r>
    </w:p>
    <w:p w:rsidR="00186A5F" w:rsidRPr="001E3011" w:rsidRDefault="00186A5F" w:rsidP="00186A5F">
      <w:pPr>
        <w:pStyle w:val="ListParagraph"/>
        <w:autoSpaceDE w:val="0"/>
        <w:autoSpaceDN w:val="0"/>
        <w:adjustRightInd w:val="0"/>
        <w:spacing w:after="120" w:line="240" w:lineRule="auto"/>
        <w:ind w:left="1442" w:right="6"/>
        <w:contextualSpacing w:val="0"/>
        <w:jc w:val="both"/>
        <w:rPr>
          <w:rFonts w:cs="Arial"/>
          <w:color w:val="003768"/>
          <w:lang w:val="nl-BE"/>
        </w:rPr>
      </w:pP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The International </w:t>
      </w:r>
      <w:proofErr w:type="spellStart"/>
      <w:r w:rsidRPr="001E3011">
        <w:rPr>
          <w:rFonts w:cs="Arial"/>
          <w:color w:val="003768"/>
          <w:lang w:val="nl-BE"/>
        </w:rPr>
        <w:t>Banker</w:t>
      </w:r>
      <w:proofErr w:type="spellEnd"/>
      <w:r w:rsidRPr="001E3011">
        <w:rPr>
          <w:rFonts w:cs="Arial"/>
          <w:color w:val="003768"/>
          <w:lang w:val="nl-BE"/>
        </w:rPr>
        <w:t xml:space="preserve"> riep KBC uit tot ‘Private Bank of the </w:t>
      </w:r>
      <w:proofErr w:type="spellStart"/>
      <w:r w:rsidRPr="001E3011">
        <w:rPr>
          <w:rFonts w:cs="Arial"/>
          <w:color w:val="003768"/>
          <w:lang w:val="nl-BE"/>
        </w:rPr>
        <w:t>Year</w:t>
      </w:r>
      <w:proofErr w:type="spellEnd"/>
      <w:r w:rsidRPr="001E3011">
        <w:rPr>
          <w:rFonts w:cs="Arial"/>
          <w:color w:val="003768"/>
          <w:lang w:val="nl-BE"/>
        </w:rPr>
        <w:t xml:space="preserve"> Belgium’ en kende KBC ook de prijs toe van ‘</w:t>
      </w:r>
      <w:proofErr w:type="spellStart"/>
      <w:r w:rsidRPr="001E3011">
        <w:rPr>
          <w:rFonts w:cs="Arial"/>
          <w:color w:val="003768"/>
          <w:lang w:val="nl-BE"/>
        </w:rPr>
        <w:t>Innovation</w:t>
      </w:r>
      <w:proofErr w:type="spellEnd"/>
      <w:r w:rsidRPr="001E3011">
        <w:rPr>
          <w:rFonts w:cs="Arial"/>
          <w:color w:val="003768"/>
          <w:lang w:val="nl-BE"/>
        </w:rPr>
        <w:t xml:space="preserve"> in Retail Banking Belgium’.</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K&amp;H werd opnieuw uitgeroepen tot ‘</w:t>
      </w:r>
      <w:proofErr w:type="spellStart"/>
      <w:r w:rsidRPr="001E3011">
        <w:rPr>
          <w:rFonts w:cs="Arial"/>
          <w:color w:val="003768"/>
          <w:lang w:val="nl-BE"/>
        </w:rPr>
        <w:t>Insurer</w:t>
      </w:r>
      <w:proofErr w:type="spellEnd"/>
      <w:r w:rsidRPr="001E3011">
        <w:rPr>
          <w:rFonts w:cs="Arial"/>
          <w:color w:val="003768"/>
          <w:lang w:val="nl-BE"/>
        </w:rPr>
        <w:t xml:space="preserve"> of the </w:t>
      </w:r>
      <w:proofErr w:type="spellStart"/>
      <w:r w:rsidRPr="001E3011">
        <w:rPr>
          <w:rFonts w:cs="Arial"/>
          <w:color w:val="003768"/>
          <w:lang w:val="nl-BE"/>
        </w:rPr>
        <w:t>year</w:t>
      </w:r>
      <w:proofErr w:type="spellEnd"/>
      <w:r w:rsidRPr="001E3011">
        <w:rPr>
          <w:rFonts w:cs="Arial"/>
          <w:color w:val="003768"/>
          <w:lang w:val="nl-BE"/>
        </w:rPr>
        <w:t>’ door Biztositas.hu.</w:t>
      </w:r>
    </w:p>
    <w:p w:rsidR="001E3011" w:rsidRDefault="001E3011" w:rsidP="001E3011">
      <w:pPr>
        <w:autoSpaceDE w:val="0"/>
        <w:autoSpaceDN w:val="0"/>
        <w:adjustRightInd w:val="0"/>
        <w:spacing w:after="120" w:line="240" w:lineRule="auto"/>
        <w:ind w:left="992" w:right="6"/>
        <w:jc w:val="both"/>
        <w:rPr>
          <w:rFonts w:cs="Arial"/>
          <w:b/>
          <w:color w:val="003768"/>
          <w:lang w:val="nl-BE"/>
        </w:rPr>
      </w:pPr>
    </w:p>
    <w:p w:rsidR="001E3011" w:rsidRDefault="001E3011" w:rsidP="001E3011">
      <w:pPr>
        <w:autoSpaceDE w:val="0"/>
        <w:autoSpaceDN w:val="0"/>
        <w:adjustRightInd w:val="0"/>
        <w:spacing w:after="120" w:line="240" w:lineRule="auto"/>
        <w:ind w:left="992" w:right="6"/>
        <w:jc w:val="both"/>
        <w:rPr>
          <w:rFonts w:cs="Arial"/>
          <w:b/>
          <w:color w:val="003768"/>
          <w:lang w:val="nl-BE"/>
        </w:rPr>
      </w:pPr>
      <w:r w:rsidRPr="001E3011">
        <w:rPr>
          <w:rFonts w:cs="Arial"/>
          <w:b/>
          <w:color w:val="003768"/>
          <w:lang w:val="nl-BE"/>
        </w:rPr>
        <w:t>Ontwikkelingen op het vlak van Maatschappelijk Verantwoord Ondernemen (derde kwartaal tot nu)</w:t>
      </w:r>
    </w:p>
    <w:p w:rsidR="001E3011" w:rsidRDefault="001E3011" w:rsidP="001E3011">
      <w:pPr>
        <w:autoSpaceDE w:val="0"/>
        <w:autoSpaceDN w:val="0"/>
        <w:adjustRightInd w:val="0"/>
        <w:spacing w:after="120" w:line="240" w:lineRule="auto"/>
        <w:ind w:left="992" w:right="6"/>
        <w:jc w:val="both"/>
        <w:rPr>
          <w:rFonts w:cs="Arial"/>
          <w:b/>
          <w:color w:val="003768"/>
          <w:lang w:val="nl-BE"/>
        </w:rPr>
      </w:pP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Als partner van Leuven Klimaatneutraal, een vzw die ernaar streeft de stad Leuven tegen 2030 klimaatneutraal te maken, nam KBC in augustus deel aan het Klimaatweekend. KBC had er een stand waar de bezoekers een proefritje konden maken met een elektrische fiets en konden deelnemen aan spelen waarmee ze een geschenk konden winnen uit ‘Moeders Preventiewinkel’ van KBC Verzekeringen.  </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K&amp;H organiseerde de zevende editie van ‘ART </w:t>
      </w:r>
      <w:proofErr w:type="spellStart"/>
      <w:r w:rsidRPr="001E3011">
        <w:rPr>
          <w:rFonts w:cs="Arial"/>
          <w:color w:val="003768"/>
          <w:lang w:val="nl-BE"/>
        </w:rPr>
        <w:t>for</w:t>
      </w:r>
      <w:proofErr w:type="spellEnd"/>
      <w:r w:rsidRPr="001E3011">
        <w:rPr>
          <w:rFonts w:cs="Arial"/>
          <w:color w:val="003768"/>
          <w:lang w:val="nl-BE"/>
        </w:rPr>
        <w:t xml:space="preserve"> a </w:t>
      </w:r>
      <w:proofErr w:type="spellStart"/>
      <w:r w:rsidRPr="001E3011">
        <w:rPr>
          <w:rFonts w:cs="Arial"/>
          <w:color w:val="003768"/>
          <w:lang w:val="nl-BE"/>
        </w:rPr>
        <w:t>better</w:t>
      </w:r>
      <w:proofErr w:type="spellEnd"/>
      <w:r w:rsidRPr="001E3011">
        <w:rPr>
          <w:rFonts w:cs="Arial"/>
          <w:color w:val="003768"/>
          <w:lang w:val="nl-BE"/>
        </w:rPr>
        <w:t xml:space="preserve"> </w:t>
      </w:r>
      <w:proofErr w:type="spellStart"/>
      <w:r w:rsidRPr="001E3011">
        <w:rPr>
          <w:rFonts w:cs="Arial"/>
          <w:color w:val="003768"/>
          <w:lang w:val="nl-BE"/>
        </w:rPr>
        <w:t>and</w:t>
      </w:r>
      <w:proofErr w:type="spellEnd"/>
      <w:r w:rsidRPr="001E3011">
        <w:rPr>
          <w:rFonts w:cs="Arial"/>
          <w:color w:val="003768"/>
          <w:lang w:val="nl-BE"/>
        </w:rPr>
        <w:t xml:space="preserve"> more </w:t>
      </w:r>
      <w:proofErr w:type="spellStart"/>
      <w:r w:rsidRPr="001E3011">
        <w:rPr>
          <w:rFonts w:cs="Arial"/>
          <w:color w:val="003768"/>
          <w:lang w:val="nl-BE"/>
        </w:rPr>
        <w:t>meaningful</w:t>
      </w:r>
      <w:proofErr w:type="spellEnd"/>
      <w:r w:rsidRPr="001E3011">
        <w:rPr>
          <w:rFonts w:cs="Arial"/>
          <w:color w:val="003768"/>
          <w:lang w:val="nl-BE"/>
        </w:rPr>
        <w:t xml:space="preserve"> </w:t>
      </w:r>
      <w:proofErr w:type="spellStart"/>
      <w:r w:rsidRPr="001E3011">
        <w:rPr>
          <w:rFonts w:cs="Arial"/>
          <w:color w:val="003768"/>
          <w:lang w:val="nl-BE"/>
        </w:rPr>
        <w:t>world</w:t>
      </w:r>
      <w:proofErr w:type="spellEnd"/>
      <w:r w:rsidRPr="001E3011">
        <w:rPr>
          <w:rFonts w:cs="Arial"/>
          <w:color w:val="003768"/>
          <w:lang w:val="nl-BE"/>
        </w:rPr>
        <w:t xml:space="preserve">’, dat jonge kunstenaars de kans biedt om een beurs te winnen. K&amp;H was een van de eerste bedrijven in Hongarije die zijn kunstcollectie weer begon op te bouwen. Die is nu een van de meest moderne en gestaag groeiende bedrijfscollecties van het land. Het motto  – ‘Art </w:t>
      </w:r>
      <w:proofErr w:type="spellStart"/>
      <w:r w:rsidRPr="001E3011">
        <w:rPr>
          <w:rFonts w:cs="Arial"/>
          <w:color w:val="003768"/>
          <w:lang w:val="nl-BE"/>
        </w:rPr>
        <w:t>for</w:t>
      </w:r>
      <w:proofErr w:type="spellEnd"/>
      <w:r w:rsidRPr="001E3011">
        <w:rPr>
          <w:rFonts w:cs="Arial"/>
          <w:color w:val="003768"/>
          <w:lang w:val="nl-BE"/>
        </w:rPr>
        <w:t xml:space="preserve"> a </w:t>
      </w:r>
      <w:proofErr w:type="spellStart"/>
      <w:r w:rsidRPr="001E3011">
        <w:rPr>
          <w:rFonts w:cs="Arial"/>
          <w:color w:val="003768"/>
          <w:lang w:val="nl-BE"/>
        </w:rPr>
        <w:t>better</w:t>
      </w:r>
      <w:proofErr w:type="spellEnd"/>
      <w:r w:rsidRPr="001E3011">
        <w:rPr>
          <w:rFonts w:cs="Arial"/>
          <w:color w:val="003768"/>
          <w:lang w:val="nl-BE"/>
        </w:rPr>
        <w:t xml:space="preserve"> </w:t>
      </w:r>
      <w:proofErr w:type="spellStart"/>
      <w:r w:rsidRPr="001E3011">
        <w:rPr>
          <w:rFonts w:cs="Arial"/>
          <w:color w:val="003768"/>
          <w:lang w:val="nl-BE"/>
        </w:rPr>
        <w:t>and</w:t>
      </w:r>
      <w:proofErr w:type="spellEnd"/>
      <w:r w:rsidRPr="001E3011">
        <w:rPr>
          <w:rFonts w:cs="Arial"/>
          <w:color w:val="003768"/>
          <w:lang w:val="nl-BE"/>
        </w:rPr>
        <w:t xml:space="preserve"> more </w:t>
      </w:r>
      <w:proofErr w:type="spellStart"/>
      <w:r w:rsidRPr="001E3011">
        <w:rPr>
          <w:rFonts w:cs="Arial"/>
          <w:color w:val="003768"/>
          <w:lang w:val="nl-BE"/>
        </w:rPr>
        <w:t>meaningful</w:t>
      </w:r>
      <w:proofErr w:type="spellEnd"/>
      <w:r w:rsidRPr="001E3011">
        <w:rPr>
          <w:rFonts w:cs="Arial"/>
          <w:color w:val="003768"/>
          <w:lang w:val="nl-BE"/>
        </w:rPr>
        <w:t xml:space="preserve"> </w:t>
      </w:r>
      <w:proofErr w:type="spellStart"/>
      <w:r w:rsidRPr="001E3011">
        <w:rPr>
          <w:rFonts w:cs="Arial"/>
          <w:color w:val="003768"/>
          <w:lang w:val="nl-BE"/>
        </w:rPr>
        <w:t>world</w:t>
      </w:r>
      <w:proofErr w:type="spellEnd"/>
      <w:r w:rsidRPr="001E3011">
        <w:rPr>
          <w:rFonts w:cs="Arial"/>
          <w:color w:val="003768"/>
          <w:lang w:val="nl-BE"/>
        </w:rPr>
        <w:t>' – vat perfect samen aan welke kunsttrends K&amp;H de voorkeur geeft.</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Het ‘K&amp;H </w:t>
      </w:r>
      <w:proofErr w:type="spellStart"/>
      <w:r w:rsidRPr="001E3011">
        <w:rPr>
          <w:rFonts w:cs="Arial"/>
          <w:color w:val="003768"/>
          <w:lang w:val="nl-BE"/>
        </w:rPr>
        <w:t>for</w:t>
      </w:r>
      <w:proofErr w:type="spellEnd"/>
      <w:r w:rsidRPr="001E3011">
        <w:rPr>
          <w:rFonts w:cs="Arial"/>
          <w:color w:val="003768"/>
          <w:lang w:val="nl-BE"/>
        </w:rPr>
        <w:t xml:space="preserve"> the </w:t>
      </w:r>
      <w:proofErr w:type="spellStart"/>
      <w:r w:rsidRPr="001E3011">
        <w:rPr>
          <w:rFonts w:cs="Arial"/>
          <w:color w:val="003768"/>
          <w:lang w:val="nl-BE"/>
        </w:rPr>
        <w:t>underprivileged</w:t>
      </w:r>
      <w:proofErr w:type="spellEnd"/>
      <w:r w:rsidRPr="001E3011">
        <w:rPr>
          <w:rFonts w:cs="Arial"/>
          <w:color w:val="003768"/>
          <w:lang w:val="nl-BE"/>
        </w:rPr>
        <w:t>’-programma ondersteunt de 47 meest benadeelde microregio's op het vlak van gezondheidszorg voor kinderen, uitvoerende kunsten, opleiding voor jongvolwassenen en sport.</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In België blijft KBC aandacht besteden aan mobiliteit. Telewerken is ondertussen stevig ingeburgerd in de bedrijfscultuur en het woon-werkverkeer van KBC België zal in 2014 naar verwachting met </w:t>
      </w:r>
      <w:r w:rsidR="005C78AD">
        <w:rPr>
          <w:rFonts w:cs="Arial"/>
          <w:color w:val="003768"/>
          <w:lang w:val="nl-BE"/>
        </w:rPr>
        <w:t xml:space="preserve">                       </w:t>
      </w:r>
      <w:r w:rsidRPr="001E3011">
        <w:rPr>
          <w:rFonts w:cs="Arial"/>
          <w:color w:val="003768"/>
          <w:lang w:val="nl-BE"/>
        </w:rPr>
        <w:t xml:space="preserve">15 miljoen kilometer dalen.  </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KBC bevestigt zijn notering in de FTSE4Good Index.</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KBC maakt deel uit van de STOXX </w:t>
      </w:r>
      <w:proofErr w:type="spellStart"/>
      <w:r w:rsidRPr="001E3011">
        <w:rPr>
          <w:rFonts w:cs="Arial"/>
          <w:color w:val="003768"/>
          <w:lang w:val="nl-BE"/>
        </w:rPr>
        <w:t>Sustainability</w:t>
      </w:r>
      <w:proofErr w:type="spellEnd"/>
      <w:r w:rsidRPr="001E3011">
        <w:rPr>
          <w:rFonts w:cs="Arial"/>
          <w:color w:val="003768"/>
          <w:lang w:val="nl-BE"/>
        </w:rPr>
        <w:t xml:space="preserve"> Index.</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rPr>
        <w:t xml:space="preserve">KBC is </w:t>
      </w:r>
      <w:proofErr w:type="spellStart"/>
      <w:r w:rsidRPr="001E3011">
        <w:rPr>
          <w:rFonts w:cs="Arial"/>
          <w:color w:val="003768"/>
        </w:rPr>
        <w:t>een</w:t>
      </w:r>
      <w:proofErr w:type="spellEnd"/>
      <w:r w:rsidRPr="001E3011">
        <w:rPr>
          <w:rFonts w:cs="Arial"/>
          <w:color w:val="003768"/>
        </w:rPr>
        <w:t xml:space="preserve"> partner van Horizon 2050: ‘Money makes the world go round!’. </w:t>
      </w:r>
      <w:r w:rsidRPr="001E3011">
        <w:rPr>
          <w:rFonts w:cs="Arial"/>
          <w:color w:val="003768"/>
          <w:lang w:val="nl-BE"/>
        </w:rPr>
        <w:t xml:space="preserve">Horizon 2050 staat voor een reeks lezingen waarmee Argus, </w:t>
      </w:r>
      <w:proofErr w:type="spellStart"/>
      <w:r w:rsidRPr="001E3011">
        <w:rPr>
          <w:rFonts w:cs="Arial"/>
          <w:color w:val="003768"/>
          <w:lang w:val="nl-BE"/>
        </w:rPr>
        <w:t>Cera</w:t>
      </w:r>
      <w:proofErr w:type="spellEnd"/>
      <w:r w:rsidRPr="001E3011">
        <w:rPr>
          <w:rFonts w:cs="Arial"/>
          <w:color w:val="003768"/>
          <w:lang w:val="nl-BE"/>
        </w:rPr>
        <w:t xml:space="preserve"> en KBC inspirerende inzichten willen delen met een brede groep van stakeholders. De eerste sessie ging over de invloed van duurzame beleggers op beursgenoteerde bedrijven.  </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KBC lanceerde een </w:t>
      </w:r>
      <w:proofErr w:type="spellStart"/>
      <w:r w:rsidRPr="001E3011">
        <w:rPr>
          <w:rFonts w:cs="Arial"/>
          <w:color w:val="003768"/>
          <w:lang w:val="nl-BE"/>
        </w:rPr>
        <w:t>crowdfundingplatform</w:t>
      </w:r>
      <w:proofErr w:type="spellEnd"/>
      <w:r w:rsidRPr="001E3011">
        <w:rPr>
          <w:rFonts w:cs="Arial"/>
          <w:color w:val="003768"/>
          <w:lang w:val="nl-BE"/>
        </w:rPr>
        <w:t xml:space="preserve"> om ondernemers en investeerders samen te brengen. Op de website van Bolero, de onlinemakelaar van KBC </w:t>
      </w:r>
      <w:proofErr w:type="spellStart"/>
      <w:r w:rsidRPr="001E3011">
        <w:rPr>
          <w:rFonts w:cs="Arial"/>
          <w:color w:val="003768"/>
          <w:lang w:val="nl-BE"/>
        </w:rPr>
        <w:t>Securities</w:t>
      </w:r>
      <w:proofErr w:type="spellEnd"/>
      <w:r w:rsidRPr="001E3011">
        <w:rPr>
          <w:rFonts w:cs="Arial"/>
          <w:color w:val="003768"/>
          <w:lang w:val="nl-BE"/>
        </w:rPr>
        <w:t>, kunnen (startende) ondernemers een oproep voor financiering lanceren. Geïnteresseerde investeerders kunnen hen dan met relatief kleine bedragen steunen om hun zaak uit te bouwen.</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ČSOB kondigde het steunprogramma '</w:t>
      </w:r>
      <w:proofErr w:type="spellStart"/>
      <w:r w:rsidRPr="001E3011">
        <w:rPr>
          <w:rFonts w:cs="Arial"/>
          <w:color w:val="003768"/>
          <w:lang w:val="nl-BE"/>
        </w:rPr>
        <w:t>Stabilisation</w:t>
      </w:r>
      <w:proofErr w:type="spellEnd"/>
      <w:r w:rsidRPr="001E3011">
        <w:rPr>
          <w:rFonts w:cs="Arial"/>
          <w:color w:val="003768"/>
          <w:lang w:val="nl-BE"/>
        </w:rPr>
        <w:t xml:space="preserve"> of </w:t>
      </w:r>
      <w:proofErr w:type="spellStart"/>
      <w:r w:rsidRPr="001E3011">
        <w:rPr>
          <w:rFonts w:cs="Arial"/>
          <w:color w:val="003768"/>
          <w:lang w:val="nl-BE"/>
        </w:rPr>
        <w:t>Social</w:t>
      </w:r>
      <w:proofErr w:type="spellEnd"/>
      <w:r w:rsidRPr="001E3011">
        <w:rPr>
          <w:rFonts w:cs="Arial"/>
          <w:color w:val="003768"/>
          <w:lang w:val="nl-BE"/>
        </w:rPr>
        <w:t xml:space="preserve"> Enterprises’ aan. In juli 2014 lanceerde het voor de tweede keer zijn jaarlijkse programma dat steun biedt aan sociaal ondernemerschap. Het is een herhaling van het pilootproject van vorig jaar, maar nu omvat het ook een twee dagen durende workshop. Drie tot vijf sociale ondernemingen zullen tot 400 000 Tsjechische kroon financiële steun ontvangen. In de tweede ronde van het programma werden daarvoor 11 ondernemingen geselecteerd (uit 27 kandidaten).</w:t>
      </w:r>
    </w:p>
    <w:p w:rsidR="005C78AD" w:rsidRDefault="005C78AD" w:rsidP="001E3011">
      <w:pPr>
        <w:autoSpaceDE w:val="0"/>
        <w:autoSpaceDN w:val="0"/>
        <w:adjustRightInd w:val="0"/>
        <w:spacing w:after="120" w:line="240" w:lineRule="auto"/>
        <w:ind w:left="992" w:right="6"/>
        <w:jc w:val="both"/>
        <w:rPr>
          <w:rFonts w:cs="Arial"/>
          <w:b/>
          <w:color w:val="003768"/>
          <w:lang w:val="nl-BE"/>
        </w:rPr>
      </w:pPr>
    </w:p>
    <w:p w:rsidR="005C78AD" w:rsidRDefault="005C78AD">
      <w:pPr>
        <w:spacing w:after="0" w:line="240" w:lineRule="auto"/>
        <w:rPr>
          <w:rFonts w:cs="Arial"/>
          <w:b/>
          <w:color w:val="003768"/>
          <w:lang w:val="nl-BE"/>
        </w:rPr>
      </w:pPr>
      <w:r>
        <w:rPr>
          <w:rFonts w:cs="Arial"/>
          <w:b/>
          <w:color w:val="003768"/>
          <w:lang w:val="nl-BE"/>
        </w:rPr>
        <w:br w:type="page"/>
      </w:r>
    </w:p>
    <w:p w:rsidR="005C78AD" w:rsidRDefault="005C78AD" w:rsidP="001E3011">
      <w:pPr>
        <w:autoSpaceDE w:val="0"/>
        <w:autoSpaceDN w:val="0"/>
        <w:adjustRightInd w:val="0"/>
        <w:spacing w:after="120" w:line="240" w:lineRule="auto"/>
        <w:ind w:left="992" w:right="6"/>
        <w:jc w:val="both"/>
        <w:rPr>
          <w:rFonts w:cs="Arial"/>
          <w:b/>
          <w:color w:val="003768"/>
          <w:lang w:val="nl-BE"/>
        </w:rPr>
      </w:pPr>
    </w:p>
    <w:p w:rsidR="001E3011" w:rsidRDefault="001E3011" w:rsidP="001E3011">
      <w:pPr>
        <w:autoSpaceDE w:val="0"/>
        <w:autoSpaceDN w:val="0"/>
        <w:adjustRightInd w:val="0"/>
        <w:spacing w:after="120" w:line="240" w:lineRule="auto"/>
        <w:ind w:left="992" w:right="6"/>
        <w:jc w:val="both"/>
        <w:rPr>
          <w:rFonts w:cs="Arial"/>
          <w:b/>
          <w:color w:val="003768"/>
          <w:lang w:val="nl-BE"/>
        </w:rPr>
      </w:pPr>
      <w:r w:rsidRPr="001E3011">
        <w:rPr>
          <w:rFonts w:cs="Arial"/>
          <w:b/>
          <w:color w:val="003768"/>
          <w:lang w:val="nl-BE"/>
        </w:rPr>
        <w:t>Verklaring met betrekking tot risico</w:t>
      </w:r>
    </w:p>
    <w:p w:rsidR="001E3011" w:rsidRPr="001E3011" w:rsidRDefault="001E3011" w:rsidP="001E3011">
      <w:pPr>
        <w:autoSpaceDE w:val="0"/>
        <w:autoSpaceDN w:val="0"/>
        <w:adjustRightInd w:val="0"/>
        <w:spacing w:after="120" w:line="240" w:lineRule="auto"/>
        <w:ind w:left="992" w:right="6"/>
        <w:jc w:val="both"/>
        <w:rPr>
          <w:rFonts w:cs="Arial"/>
          <w:b/>
          <w:color w:val="003768"/>
          <w:lang w:val="nl-BE"/>
        </w:rPr>
      </w:pP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De KBC-groep is hoofdzakelijk actief als bank-verzekeraar en vermogensbeheerder en loopt daardoor een aantal typische risico’s, zoals – maar zeker niet uitsluitend – kredietrisico, interestrisico, marktrisico, muntrisico, liquiditeitsrisico, risico van aangegane verzekeringsverplichtingen, operationeel risico, risico ten aanzien van opkomende markten, wijzigingen in regelgeving, betwistingen van klanten en de economie in het algemeen. Dat zowel de macro-economische omstandigheden als de lopende desinvesteringsplannen een negatieve invloed kunnen hebben op de waarde van activa of bijkomende kosten kunnen genereren boven de verwachte niveaus maakt deel uit van het bedrijfsrisico. </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U vindt informatie met betrekking tot het risicobeheer in het jaarverslag, de </w:t>
      </w:r>
      <w:proofErr w:type="spellStart"/>
      <w:r w:rsidRPr="001E3011">
        <w:rPr>
          <w:rFonts w:cs="Arial"/>
          <w:color w:val="003768"/>
          <w:lang w:val="nl-BE"/>
        </w:rPr>
        <w:t>extended</w:t>
      </w:r>
      <w:proofErr w:type="spellEnd"/>
      <w:r w:rsidRPr="001E3011">
        <w:rPr>
          <w:rFonts w:cs="Arial"/>
          <w:color w:val="003768"/>
          <w:lang w:val="nl-BE"/>
        </w:rPr>
        <w:t xml:space="preserve"> </w:t>
      </w:r>
      <w:proofErr w:type="spellStart"/>
      <w:r w:rsidRPr="001E3011">
        <w:rPr>
          <w:rFonts w:cs="Arial"/>
          <w:color w:val="003768"/>
          <w:lang w:val="nl-BE"/>
        </w:rPr>
        <w:t>quarterly</w:t>
      </w:r>
      <w:proofErr w:type="spellEnd"/>
      <w:r w:rsidRPr="001E3011">
        <w:rPr>
          <w:rFonts w:cs="Arial"/>
          <w:color w:val="003768"/>
          <w:lang w:val="nl-BE"/>
        </w:rPr>
        <w:t xml:space="preserve"> </w:t>
      </w:r>
      <w:proofErr w:type="spellStart"/>
      <w:r w:rsidRPr="001E3011">
        <w:rPr>
          <w:rFonts w:cs="Arial"/>
          <w:color w:val="003768"/>
          <w:lang w:val="nl-BE"/>
        </w:rPr>
        <w:t>reports</w:t>
      </w:r>
      <w:proofErr w:type="spellEnd"/>
      <w:r w:rsidRPr="001E3011">
        <w:rPr>
          <w:rFonts w:cs="Arial"/>
          <w:color w:val="003768"/>
          <w:lang w:val="nl-BE"/>
        </w:rPr>
        <w:t xml:space="preserve"> en de risk </w:t>
      </w:r>
      <w:proofErr w:type="spellStart"/>
      <w:r w:rsidRPr="001E3011">
        <w:rPr>
          <w:rFonts w:cs="Arial"/>
          <w:color w:val="003768"/>
          <w:lang w:val="nl-BE"/>
        </w:rPr>
        <w:t>reports</w:t>
      </w:r>
      <w:proofErr w:type="spellEnd"/>
      <w:r w:rsidRPr="001E3011">
        <w:rPr>
          <w:rFonts w:cs="Arial"/>
          <w:color w:val="003768"/>
          <w:lang w:val="nl-BE"/>
        </w:rPr>
        <w:t xml:space="preserve"> van KBC, die beschikbaar zijn op www.kbc.com. </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In het derde kwartaal stelden de economische cijfers wereldwijd al bij al teleur. In de VS daalde het ISM-cijfer voor de verwerkende nijverheid lichtjes in september (het kwam wel van een hoog niveau) en ook het producentenvertrouwen in het VK, Japan en China verzwakte. Toch lijkt het economische klimaat in de VS en het VK nog altijd op het </w:t>
      </w:r>
      <w:proofErr w:type="spellStart"/>
      <w:r w:rsidRPr="001E3011">
        <w:rPr>
          <w:rFonts w:cs="Arial"/>
          <w:color w:val="003768"/>
          <w:lang w:val="nl-BE"/>
        </w:rPr>
        <w:t>herstelpad</w:t>
      </w:r>
      <w:proofErr w:type="spellEnd"/>
      <w:r w:rsidRPr="001E3011">
        <w:rPr>
          <w:rFonts w:cs="Arial"/>
          <w:color w:val="003768"/>
          <w:lang w:val="nl-BE"/>
        </w:rPr>
        <w:t xml:space="preserve">, wat blijkt uit de verdere daling van de werkloosheid in die landen. Verontrustender is de aanhoudende achteruitgang van het producentenvertrouwen in de eurozone, en met name in Duitsland. Zowel de huidige als de voorlopende indicatoren van de Duitse </w:t>
      </w:r>
      <w:proofErr w:type="spellStart"/>
      <w:r w:rsidRPr="001E3011">
        <w:rPr>
          <w:rFonts w:cs="Arial"/>
          <w:color w:val="003768"/>
          <w:lang w:val="nl-BE"/>
        </w:rPr>
        <w:t>Ifo</w:t>
      </w:r>
      <w:proofErr w:type="spellEnd"/>
      <w:r w:rsidRPr="001E3011">
        <w:rPr>
          <w:rFonts w:cs="Arial"/>
          <w:color w:val="003768"/>
          <w:lang w:val="nl-BE"/>
        </w:rPr>
        <w:t xml:space="preserve">-index dalen sinds het einde van de lente, waardoor de risico's dat de groei afneemt toenemen in de tweede helft van 2014. </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Maar er is ook positief nieuws. Ten eerste blijft de arbeidsmarkt in de eurozone erop vooruitgaan. In Duitsland is er nog altijd bijna volledige werkgelegenheid en het aantal werklozen daalt in de meeste eurolanden. Frankrijk is daarop de voornaamste uitzondering. Perifere landen als Ierland en Spanje beginnen de vruchten te plukken van hun structurele hervormingen. Tot slot drukt het fiscale beleid minder op de groei. De invoering van het Fiscaal Pact, dat zich eerder concentreert op structurele dan op nominale tekorten, laat een iets ruimer begrotingsbeleid toe en dat kan – volgens de Europese Commissie – in 2015 zelfs soepeler worden. Samen met het erg soepele monetaire beleid van de ECB zou dat de eurozone uit een nieuwe recessie moeten kunnen houden, ondanks de recente onrust op de markt.</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Het grootste risico op dit ogenblik is een verdere vertraging van het economische elan en een ‘triple dip’ recessie in de eurozone. Tegelijk kunnen de dalende energie- en grondstoffenprijzen de Europese inflatie nog meer onder druk zetten, zeker als de recente depreciatie van de euro stopt. </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Hoewel de lagere grondstoffenprijzen voor een positieve schok aan de aanbodzijde zorgen in de Eurozone en de reële economie moeten ondersteunen, kan de lagere inflatie nog meer druk zetten op de ECB. Rekening houdend met de recente uitspraken van Mario </w:t>
      </w:r>
      <w:proofErr w:type="spellStart"/>
      <w:r w:rsidRPr="001E3011">
        <w:rPr>
          <w:rFonts w:cs="Arial"/>
          <w:color w:val="003768"/>
          <w:lang w:val="nl-BE"/>
        </w:rPr>
        <w:t>Draghi</w:t>
      </w:r>
      <w:proofErr w:type="spellEnd"/>
      <w:r w:rsidRPr="001E3011">
        <w:rPr>
          <w:rFonts w:cs="Arial"/>
          <w:color w:val="003768"/>
          <w:lang w:val="nl-BE"/>
        </w:rPr>
        <w:t xml:space="preserve"> dat er momenteel geen bubbels zijn in de obligatiemarkten (in tegenstelling tot het standpunt van het IMF) wordt het almaar waarschijnlijker dat de ECB uiteindelijk toch een aankoopprogramma voor overheidsobligaties zal opstarten (volgens ons is er 50% kans dat het in 2015 aanvangt). De invloed daarvan is al grotendeels verrekend in de huidige, uiterst lage rentevoeten. </w:t>
      </w:r>
    </w:p>
    <w:p w:rsidR="001E3011" w:rsidRPr="001E3011" w:rsidRDefault="001E3011" w:rsidP="001E3011">
      <w:pPr>
        <w:pStyle w:val="ListParagraph"/>
        <w:numPr>
          <w:ilvl w:val="0"/>
          <w:numId w:val="7"/>
        </w:numPr>
        <w:autoSpaceDE w:val="0"/>
        <w:autoSpaceDN w:val="0"/>
        <w:adjustRightInd w:val="0"/>
        <w:spacing w:after="120" w:line="240" w:lineRule="auto"/>
        <w:ind w:right="6"/>
        <w:contextualSpacing w:val="0"/>
        <w:jc w:val="both"/>
        <w:rPr>
          <w:rFonts w:cs="Arial"/>
          <w:color w:val="003768"/>
          <w:lang w:val="nl-BE"/>
        </w:rPr>
      </w:pPr>
      <w:r w:rsidRPr="001E3011">
        <w:rPr>
          <w:rFonts w:cs="Arial"/>
          <w:color w:val="003768"/>
          <w:lang w:val="nl-BE"/>
        </w:rPr>
        <w:t xml:space="preserve">De geopolitieke risico's blijven bestaan (inclusief Syrië, Irak en Oekraïne), maar zullen de komende maanden waarschijnlijk geen belangrijke rol spelen. Tot slot is er ook nog altijd het risico van een zwakker dan verwachte groei in de opkomende markten. De </w:t>
      </w:r>
      <w:proofErr w:type="spellStart"/>
      <w:r w:rsidRPr="001E3011">
        <w:rPr>
          <w:rFonts w:cs="Arial"/>
          <w:color w:val="003768"/>
          <w:lang w:val="nl-BE"/>
        </w:rPr>
        <w:t>grondstoffenexporterende</w:t>
      </w:r>
      <w:proofErr w:type="spellEnd"/>
      <w:r w:rsidRPr="001E3011">
        <w:rPr>
          <w:rFonts w:cs="Arial"/>
          <w:color w:val="003768"/>
          <w:lang w:val="nl-BE"/>
        </w:rPr>
        <w:t xml:space="preserve"> opkomende landen lijden onder de huidige daling van de grondstoffenprijzen. Intussen blijven er voor de Chinese economie zowel cyclische risico's als risico's voor de financiële stabiliteit bestaan.</w:t>
      </w:r>
    </w:p>
    <w:p w:rsidR="001E3011" w:rsidRPr="001E3011" w:rsidRDefault="001E3011" w:rsidP="00B744CA">
      <w:pPr>
        <w:autoSpaceDE w:val="0"/>
        <w:autoSpaceDN w:val="0"/>
        <w:adjustRightInd w:val="0"/>
        <w:spacing w:after="120" w:line="240" w:lineRule="auto"/>
        <w:ind w:left="992" w:right="6"/>
        <w:jc w:val="both"/>
        <w:rPr>
          <w:rFonts w:cs="Arial"/>
          <w:color w:val="003768"/>
          <w:lang w:val="nl-BE"/>
        </w:rPr>
      </w:pPr>
    </w:p>
    <w:p w:rsidR="001E3011" w:rsidRPr="001E3011" w:rsidRDefault="001E3011" w:rsidP="00B744CA">
      <w:pPr>
        <w:autoSpaceDE w:val="0"/>
        <w:autoSpaceDN w:val="0"/>
        <w:adjustRightInd w:val="0"/>
        <w:spacing w:after="120" w:line="240" w:lineRule="auto"/>
        <w:ind w:left="992" w:right="6"/>
        <w:jc w:val="both"/>
        <w:rPr>
          <w:rFonts w:cs="Arial"/>
          <w:color w:val="003768"/>
          <w:lang w:val="nl-BE"/>
        </w:rPr>
      </w:pPr>
    </w:p>
    <w:p w:rsidR="00B91505" w:rsidRPr="00715235" w:rsidRDefault="00B91505" w:rsidP="00B744CA">
      <w:pPr>
        <w:autoSpaceDE w:val="0"/>
        <w:autoSpaceDN w:val="0"/>
        <w:adjustRightInd w:val="0"/>
        <w:spacing w:after="120" w:line="240" w:lineRule="auto"/>
        <w:ind w:left="992" w:right="6"/>
        <w:jc w:val="both"/>
        <w:rPr>
          <w:rFonts w:cs="Arial"/>
          <w:color w:val="003768"/>
          <w:lang w:val="nl-BE"/>
        </w:rPr>
      </w:pPr>
    </w:p>
    <w:p w:rsidR="005C78AD" w:rsidRPr="00715235" w:rsidRDefault="005C78AD" w:rsidP="00B744CA">
      <w:pPr>
        <w:autoSpaceDE w:val="0"/>
        <w:autoSpaceDN w:val="0"/>
        <w:adjustRightInd w:val="0"/>
        <w:spacing w:after="120" w:line="240" w:lineRule="auto"/>
        <w:ind w:left="992" w:right="6"/>
        <w:jc w:val="both"/>
        <w:rPr>
          <w:rFonts w:ascii="Rockwell" w:hAnsi="Rockwell" w:cs="Arial"/>
          <w:b/>
          <w:bCs/>
          <w:color w:val="003768"/>
          <w:sz w:val="28"/>
          <w:szCs w:val="28"/>
          <w:lang w:val="nl-BE" w:eastAsia="nl-BE"/>
        </w:rPr>
      </w:pPr>
    </w:p>
    <w:p w:rsidR="00B91505" w:rsidRPr="00715235" w:rsidRDefault="00B91505" w:rsidP="00B744CA">
      <w:pPr>
        <w:autoSpaceDE w:val="0"/>
        <w:autoSpaceDN w:val="0"/>
        <w:adjustRightInd w:val="0"/>
        <w:spacing w:after="120" w:line="240" w:lineRule="auto"/>
        <w:ind w:left="992" w:right="6"/>
        <w:jc w:val="both"/>
        <w:rPr>
          <w:rFonts w:ascii="Rockwell" w:hAnsi="Rockwell" w:cs="Arial"/>
          <w:b/>
          <w:bCs/>
          <w:color w:val="003768"/>
          <w:sz w:val="28"/>
          <w:szCs w:val="28"/>
          <w:lang w:val="nl-BE" w:eastAsia="nl-BE"/>
        </w:rPr>
      </w:pPr>
    </w:p>
    <w:p w:rsidR="00B91505" w:rsidRPr="00715235" w:rsidRDefault="00B91505" w:rsidP="00B744CA">
      <w:pPr>
        <w:autoSpaceDE w:val="0"/>
        <w:autoSpaceDN w:val="0"/>
        <w:adjustRightInd w:val="0"/>
        <w:spacing w:after="120" w:line="240" w:lineRule="auto"/>
        <w:ind w:left="992" w:right="6"/>
        <w:jc w:val="both"/>
        <w:rPr>
          <w:rFonts w:ascii="Rockwell" w:hAnsi="Rockwell" w:cs="Arial"/>
          <w:b/>
          <w:bCs/>
          <w:color w:val="003768"/>
          <w:sz w:val="28"/>
          <w:szCs w:val="28"/>
          <w:lang w:val="nl-BE" w:eastAsia="nl-BE"/>
        </w:rPr>
      </w:pPr>
    </w:p>
    <w:p w:rsidR="00B91505" w:rsidRPr="00715235" w:rsidRDefault="00B91505" w:rsidP="002D344C">
      <w:pPr>
        <w:autoSpaceDE w:val="0"/>
        <w:autoSpaceDN w:val="0"/>
        <w:adjustRightInd w:val="0"/>
        <w:spacing w:after="0" w:line="240" w:lineRule="auto"/>
        <w:ind w:left="993" w:right="4"/>
        <w:rPr>
          <w:rFonts w:ascii="Rockwell" w:hAnsi="Rockwell" w:cs="Arial"/>
          <w:b/>
          <w:bCs/>
          <w:color w:val="003768"/>
          <w:sz w:val="28"/>
          <w:szCs w:val="28"/>
          <w:lang w:val="nl-BE" w:eastAsia="nl-BE"/>
        </w:rPr>
      </w:pPr>
    </w:p>
    <w:p w:rsidR="00B91505" w:rsidRPr="00715235" w:rsidRDefault="00B91505" w:rsidP="002D344C">
      <w:pPr>
        <w:autoSpaceDE w:val="0"/>
        <w:autoSpaceDN w:val="0"/>
        <w:adjustRightInd w:val="0"/>
        <w:spacing w:after="0" w:line="240" w:lineRule="auto"/>
        <w:ind w:left="993" w:right="4"/>
        <w:rPr>
          <w:rFonts w:ascii="Rockwell" w:hAnsi="Rockwell" w:cs="Arial"/>
          <w:b/>
          <w:bCs/>
          <w:color w:val="003768"/>
          <w:sz w:val="28"/>
          <w:szCs w:val="28"/>
          <w:lang w:val="nl-BE" w:eastAsia="nl-BE"/>
        </w:rPr>
      </w:pPr>
    </w:p>
    <w:p w:rsidR="00571370" w:rsidRPr="00571370" w:rsidRDefault="00B91505" w:rsidP="00571370">
      <w:pPr>
        <w:autoSpaceDE w:val="0"/>
        <w:autoSpaceDN w:val="0"/>
        <w:adjustRightInd w:val="0"/>
        <w:spacing w:after="120" w:line="240" w:lineRule="auto"/>
        <w:ind w:left="993" w:right="4"/>
        <w:rPr>
          <w:rFonts w:ascii="Rockwell" w:hAnsi="Rockwell" w:cs="Arial"/>
          <w:b/>
          <w:bCs/>
          <w:color w:val="003768"/>
          <w:sz w:val="24"/>
          <w:szCs w:val="24"/>
          <w:lang w:val="nl-BE" w:eastAsia="nl-BE"/>
        </w:rPr>
      </w:pPr>
      <w:r w:rsidRPr="00571370">
        <w:rPr>
          <w:rFonts w:ascii="Rockwell" w:hAnsi="Rockwell" w:cs="Arial"/>
          <w:b/>
          <w:bCs/>
          <w:color w:val="003768"/>
          <w:sz w:val="24"/>
          <w:szCs w:val="24"/>
          <w:lang w:val="nl-BE" w:eastAsia="nl-BE"/>
        </w:rPr>
        <w:t>Voor meer informatie kunt u contact opnemen met:</w:t>
      </w:r>
    </w:p>
    <w:p w:rsidR="00B91505" w:rsidRPr="00571370" w:rsidRDefault="00B91505" w:rsidP="00571370">
      <w:pPr>
        <w:autoSpaceDE w:val="0"/>
        <w:autoSpaceDN w:val="0"/>
        <w:adjustRightInd w:val="0"/>
        <w:spacing w:after="0" w:line="240" w:lineRule="auto"/>
        <w:ind w:left="993" w:right="4"/>
        <w:rPr>
          <w:rFonts w:ascii="Rockwell" w:hAnsi="Rockwell" w:cs="Arial"/>
          <w:b/>
          <w:bCs/>
          <w:color w:val="003768"/>
          <w:sz w:val="20"/>
          <w:szCs w:val="20"/>
          <w:lang w:val="nl-BE" w:eastAsia="nl-BE"/>
        </w:rPr>
      </w:pPr>
      <w:r w:rsidRPr="00571370">
        <w:rPr>
          <w:color w:val="003768"/>
          <w:sz w:val="20"/>
          <w:szCs w:val="20"/>
          <w:lang w:val="nl-BE" w:eastAsia="nl-BE"/>
        </w:rPr>
        <w:t>Wim Allegaert, directeur Investor Relations, KBC-groep</w:t>
      </w:r>
    </w:p>
    <w:p w:rsidR="00571370" w:rsidRPr="00571370" w:rsidRDefault="00571370" w:rsidP="00571370">
      <w:pPr>
        <w:pStyle w:val="NoSpacing"/>
        <w:spacing w:after="120"/>
        <w:ind w:left="993"/>
        <w:rPr>
          <w:color w:val="00AEEF"/>
          <w:sz w:val="20"/>
          <w:szCs w:val="20"/>
          <w:lang w:val="de-DE"/>
        </w:rPr>
      </w:pPr>
      <w:r w:rsidRPr="00571370">
        <w:rPr>
          <w:color w:val="003768"/>
          <w:sz w:val="20"/>
          <w:szCs w:val="20"/>
          <w:lang w:val="de-DE"/>
        </w:rPr>
        <w:t xml:space="preserve">Tel +32 2 429 50 51  - </w:t>
      </w:r>
      <w:proofErr w:type="spellStart"/>
      <w:r w:rsidRPr="00571370">
        <w:rPr>
          <w:color w:val="003768"/>
          <w:sz w:val="20"/>
          <w:szCs w:val="20"/>
          <w:lang w:val="de-DE"/>
        </w:rPr>
        <w:t>E-mail</w:t>
      </w:r>
      <w:proofErr w:type="spellEnd"/>
      <w:r w:rsidR="00B91505" w:rsidRPr="00571370">
        <w:rPr>
          <w:color w:val="003768"/>
          <w:sz w:val="20"/>
          <w:szCs w:val="20"/>
          <w:lang w:val="de-DE"/>
        </w:rPr>
        <w:t>:</w:t>
      </w:r>
      <w:r w:rsidR="00B91505" w:rsidRPr="00571370">
        <w:rPr>
          <w:sz w:val="20"/>
          <w:szCs w:val="20"/>
          <w:lang w:val="de-DE"/>
        </w:rPr>
        <w:t xml:space="preserve"> </w:t>
      </w:r>
      <w:hyperlink r:id="rId19" w:history="1">
        <w:r w:rsidR="00B91505" w:rsidRPr="00571370">
          <w:rPr>
            <w:rStyle w:val="Hyperlink"/>
            <w:rFonts w:cs="Arial"/>
            <w:color w:val="00AEEF"/>
            <w:sz w:val="20"/>
            <w:szCs w:val="20"/>
            <w:lang w:val="de-DE"/>
          </w:rPr>
          <w:t>wim.allegaert@kbc.be</w:t>
        </w:r>
      </w:hyperlink>
    </w:p>
    <w:p w:rsidR="00B91505" w:rsidRPr="00571370" w:rsidRDefault="00B91505" w:rsidP="00571370">
      <w:pPr>
        <w:pStyle w:val="NoSpacing"/>
        <w:ind w:left="993"/>
        <w:rPr>
          <w:color w:val="00AEEF"/>
          <w:sz w:val="20"/>
          <w:szCs w:val="20"/>
          <w:lang w:val="nl-BE"/>
        </w:rPr>
      </w:pPr>
      <w:r w:rsidRPr="00571370">
        <w:rPr>
          <w:rFonts w:cs="Arial"/>
          <w:color w:val="003768"/>
          <w:sz w:val="20"/>
          <w:szCs w:val="20"/>
          <w:lang w:val="nl-BE" w:eastAsia="nl-BE"/>
        </w:rPr>
        <w:t>Viviane Huybrecht, directeur Corporate communicatie/woordvoerster KBC-groep</w:t>
      </w:r>
    </w:p>
    <w:p w:rsidR="00B91505" w:rsidRPr="00571370" w:rsidRDefault="00571370" w:rsidP="00571370">
      <w:pPr>
        <w:autoSpaceDE w:val="0"/>
        <w:autoSpaceDN w:val="0"/>
        <w:adjustRightInd w:val="0"/>
        <w:spacing w:after="0" w:line="240" w:lineRule="auto"/>
        <w:ind w:left="993" w:right="4"/>
        <w:rPr>
          <w:rFonts w:cs="Arial"/>
          <w:sz w:val="20"/>
          <w:szCs w:val="20"/>
          <w:lang w:val="de-DE"/>
        </w:rPr>
      </w:pPr>
      <w:r w:rsidRPr="00571370">
        <w:rPr>
          <w:rFonts w:cs="Arial"/>
          <w:color w:val="003768"/>
          <w:sz w:val="20"/>
          <w:szCs w:val="20"/>
          <w:lang w:val="de-DE"/>
        </w:rPr>
        <w:t xml:space="preserve">Tel +32 2 429 85 45  - </w:t>
      </w:r>
      <w:proofErr w:type="spellStart"/>
      <w:r w:rsidRPr="00571370">
        <w:rPr>
          <w:rFonts w:cs="Arial"/>
          <w:color w:val="003768"/>
          <w:sz w:val="20"/>
          <w:szCs w:val="20"/>
          <w:lang w:val="de-DE"/>
        </w:rPr>
        <w:t>E-mail</w:t>
      </w:r>
      <w:proofErr w:type="spellEnd"/>
      <w:r w:rsidR="00B91505" w:rsidRPr="00571370">
        <w:rPr>
          <w:rFonts w:cs="Arial"/>
          <w:color w:val="003768"/>
          <w:sz w:val="20"/>
          <w:szCs w:val="20"/>
          <w:lang w:val="de-DE"/>
        </w:rPr>
        <w:t>:</w:t>
      </w:r>
      <w:r w:rsidR="00B91505" w:rsidRPr="00571370">
        <w:rPr>
          <w:rFonts w:cs="Arial"/>
          <w:sz w:val="20"/>
          <w:szCs w:val="20"/>
          <w:lang w:val="de-DE"/>
        </w:rPr>
        <w:t xml:space="preserve"> </w:t>
      </w:r>
      <w:hyperlink r:id="rId20" w:history="1">
        <w:r w:rsidR="00B91505" w:rsidRPr="00571370">
          <w:rPr>
            <w:rStyle w:val="Hyperlink"/>
            <w:rFonts w:cs="Arial"/>
            <w:color w:val="00AEEF"/>
            <w:sz w:val="20"/>
            <w:szCs w:val="20"/>
            <w:lang w:val="de-DE"/>
          </w:rPr>
          <w:t>pressofficekbc@kbc.be</w:t>
        </w:r>
      </w:hyperlink>
    </w:p>
    <w:p w:rsidR="00574F3C" w:rsidRPr="00571370" w:rsidRDefault="00574F3C" w:rsidP="002D344C">
      <w:pPr>
        <w:ind w:left="993"/>
        <w:rPr>
          <w:lang w:val="de-DE"/>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715235"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892218" w:rsidRDefault="00892218" w:rsidP="00892218">
            <w:pPr>
              <w:autoSpaceDE w:val="0"/>
              <w:autoSpaceDN w:val="0"/>
              <w:adjustRightInd w:val="0"/>
              <w:spacing w:after="0" w:line="240" w:lineRule="auto"/>
              <w:rPr>
                <w:b/>
                <w:bCs/>
                <w:color w:val="003768"/>
                <w:sz w:val="18"/>
                <w:szCs w:val="18"/>
                <w:lang w:val="nl-BE"/>
              </w:rPr>
            </w:pPr>
            <w:r w:rsidRPr="00892218">
              <w:rPr>
                <w:rFonts w:ascii="Rockwell" w:hAnsi="Rockwell" w:cs="Rockwell"/>
                <w:color w:val="003768"/>
                <w:sz w:val="18"/>
                <w:szCs w:val="18"/>
                <w:lang w:val="nl-BE" w:eastAsia="nl-BE"/>
              </w:rPr>
              <w:t>* Dit nieuwsbericht bevat informatie waarop de Europese transparantieregelgeving voor beursgenoteerde bedrijven van toepassing is.</w:t>
            </w:r>
          </w:p>
        </w:tc>
      </w:tr>
      <w:tr w:rsidR="00CE168D" w:rsidRPr="00715235" w:rsidTr="00020337">
        <w:trPr>
          <w:trHeight w:val="913"/>
        </w:trPr>
        <w:tc>
          <w:tcPr>
            <w:tcW w:w="3400" w:type="dxa"/>
            <w:shd w:val="clear" w:color="auto" w:fill="FFFFFF"/>
            <w:tcMar>
              <w:top w:w="15" w:type="dxa"/>
              <w:left w:w="15" w:type="dxa"/>
              <w:bottom w:w="0" w:type="dxa"/>
              <w:right w:w="15" w:type="dxa"/>
            </w:tcMar>
            <w:hideMark/>
          </w:tcPr>
          <w:p w:rsidR="00CE168D" w:rsidRPr="00892218" w:rsidRDefault="00CE168D" w:rsidP="0064576A">
            <w:pPr>
              <w:pStyle w:val="Footer"/>
              <w:tabs>
                <w:tab w:val="bar" w:pos="-2709"/>
              </w:tabs>
              <w:rPr>
                <w:bCs/>
                <w:color w:val="00B0F0"/>
                <w:sz w:val="4"/>
                <w:szCs w:val="4"/>
                <w:lang w:val="nl-BE"/>
              </w:rPr>
            </w:pPr>
          </w:p>
          <w:p w:rsidR="00CE168D" w:rsidRPr="00B5684E" w:rsidRDefault="00CE168D" w:rsidP="0064576A">
            <w:pPr>
              <w:pStyle w:val="Footer"/>
              <w:tabs>
                <w:tab w:val="bar" w:pos="-2709"/>
              </w:tabs>
              <w:rPr>
                <w:rFonts w:ascii="Rockwell" w:hAnsi="Rockwell"/>
                <w:color w:val="00B0F0"/>
                <w:sz w:val="18"/>
                <w:szCs w:val="18"/>
                <w:lang w:val="nl-BE"/>
              </w:rPr>
            </w:pPr>
            <w:r w:rsidRPr="00B5684E">
              <w:rPr>
                <w:rFonts w:ascii="Rockwell" w:hAnsi="Rockwell"/>
                <w:b/>
                <w:bCs/>
                <w:color w:val="00B0F0"/>
                <w:sz w:val="18"/>
                <w:szCs w:val="18"/>
                <w:lang w:val="nl-BE"/>
              </w:rPr>
              <w:t>KBC Gro</w:t>
            </w:r>
            <w:r w:rsidR="00760112">
              <w:rPr>
                <w:rFonts w:ascii="Rockwell" w:hAnsi="Rockwell"/>
                <w:b/>
                <w:bCs/>
                <w:color w:val="00B0F0"/>
                <w:sz w:val="18"/>
                <w:szCs w:val="18"/>
                <w:lang w:val="nl-BE"/>
              </w:rPr>
              <w:t>e</w:t>
            </w:r>
            <w:r w:rsidRPr="00B5684E">
              <w:rPr>
                <w:rFonts w:ascii="Rockwell" w:hAnsi="Rockwell"/>
                <w:b/>
                <w:bCs/>
                <w:color w:val="00B0F0"/>
                <w:sz w:val="18"/>
                <w:szCs w:val="18"/>
                <w:lang w:val="nl-BE"/>
              </w:rPr>
              <w:t>p NV</w:t>
            </w:r>
          </w:p>
          <w:p w:rsidR="00CE168D" w:rsidRPr="007728B6" w:rsidRDefault="00CE168D" w:rsidP="0064576A">
            <w:pPr>
              <w:pStyle w:val="Footer"/>
              <w:tabs>
                <w:tab w:val="bar" w:pos="-2709"/>
              </w:tabs>
              <w:rPr>
                <w:color w:val="002060"/>
                <w:sz w:val="14"/>
                <w:szCs w:val="14"/>
                <w:lang w:val="nl-BE"/>
              </w:rPr>
            </w:pPr>
            <w:r w:rsidRPr="007728B6">
              <w:rPr>
                <w:b/>
                <w:bCs/>
                <w:color w:val="002060"/>
                <w:sz w:val="14"/>
                <w:szCs w:val="14"/>
                <w:lang w:val="nl-BE"/>
              </w:rPr>
              <w:t>Havenlaan 2 – 1080 Brussel</w:t>
            </w:r>
          </w:p>
          <w:p w:rsidR="00CE168D" w:rsidRPr="007728B6" w:rsidRDefault="00CE168D" w:rsidP="0064576A">
            <w:pPr>
              <w:pStyle w:val="Footer"/>
              <w:tabs>
                <w:tab w:val="bar" w:pos="-2709"/>
              </w:tabs>
              <w:rPr>
                <w:color w:val="002060"/>
                <w:sz w:val="14"/>
                <w:szCs w:val="14"/>
                <w:lang w:val="nl-BE"/>
              </w:rPr>
            </w:pPr>
            <w:r w:rsidRPr="007728B6">
              <w:rPr>
                <w:b/>
                <w:bCs/>
                <w:color w:val="002060"/>
                <w:sz w:val="14"/>
                <w:szCs w:val="14"/>
                <w:lang w:val="nl-BE"/>
              </w:rPr>
              <w:t>Viviane Huybrecht</w:t>
            </w:r>
          </w:p>
          <w:p w:rsidR="00892218" w:rsidRPr="00B5684E" w:rsidRDefault="00892218" w:rsidP="00892218">
            <w:pPr>
              <w:autoSpaceDE w:val="0"/>
              <w:autoSpaceDN w:val="0"/>
              <w:adjustRightInd w:val="0"/>
              <w:spacing w:after="0" w:line="240" w:lineRule="auto"/>
              <w:rPr>
                <w:rFonts w:cs="Arial"/>
                <w:b/>
                <w:color w:val="003768"/>
                <w:sz w:val="14"/>
                <w:szCs w:val="14"/>
                <w:lang w:val="fr-FR" w:eastAsia="nl-BE"/>
              </w:rPr>
            </w:pPr>
            <w:r w:rsidRPr="00B5684E">
              <w:rPr>
                <w:rFonts w:cs="Arial"/>
                <w:b/>
                <w:color w:val="003768"/>
                <w:sz w:val="14"/>
                <w:szCs w:val="14"/>
                <w:lang w:val="fr-FR" w:eastAsia="nl-BE"/>
              </w:rPr>
              <w:t xml:space="preserve">Directeur </w:t>
            </w:r>
            <w:proofErr w:type="spellStart"/>
            <w:r w:rsidRPr="00B5684E">
              <w:rPr>
                <w:rFonts w:cs="Arial"/>
                <w:b/>
                <w:color w:val="003768"/>
                <w:sz w:val="14"/>
                <w:szCs w:val="14"/>
                <w:lang w:val="fr-FR" w:eastAsia="nl-BE"/>
              </w:rPr>
              <w:t>Corporate</w:t>
            </w:r>
            <w:proofErr w:type="spellEnd"/>
          </w:p>
          <w:p w:rsidR="007728B6" w:rsidRPr="00B5684E" w:rsidRDefault="00892218" w:rsidP="007728B6">
            <w:pPr>
              <w:autoSpaceDE w:val="0"/>
              <w:autoSpaceDN w:val="0"/>
              <w:adjustRightInd w:val="0"/>
              <w:spacing w:after="0" w:line="240" w:lineRule="auto"/>
              <w:rPr>
                <w:rFonts w:cs="Arial"/>
                <w:b/>
                <w:color w:val="003768"/>
                <w:sz w:val="14"/>
                <w:szCs w:val="14"/>
                <w:lang w:val="fr-FR" w:eastAsia="nl-BE"/>
              </w:rPr>
            </w:pPr>
            <w:proofErr w:type="spellStart"/>
            <w:r w:rsidRPr="00B5684E">
              <w:rPr>
                <w:rFonts w:cs="Arial"/>
                <w:b/>
                <w:color w:val="003768"/>
                <w:sz w:val="14"/>
                <w:szCs w:val="14"/>
                <w:lang w:val="fr-FR" w:eastAsia="nl-BE"/>
              </w:rPr>
              <w:t>Communicatie</w:t>
            </w:r>
            <w:proofErr w:type="spellEnd"/>
            <w:r w:rsidRPr="00B5684E">
              <w:rPr>
                <w:rFonts w:cs="Arial"/>
                <w:b/>
                <w:color w:val="003768"/>
                <w:sz w:val="14"/>
                <w:szCs w:val="14"/>
                <w:lang w:val="fr-FR" w:eastAsia="nl-BE"/>
              </w:rPr>
              <w:t xml:space="preserve"> /</w:t>
            </w:r>
          </w:p>
          <w:p w:rsidR="00945D83" w:rsidRPr="00945D83" w:rsidRDefault="00892218" w:rsidP="007728B6">
            <w:pPr>
              <w:autoSpaceDE w:val="0"/>
              <w:autoSpaceDN w:val="0"/>
              <w:adjustRightInd w:val="0"/>
              <w:spacing w:after="0" w:line="240" w:lineRule="auto"/>
              <w:rPr>
                <w:rFonts w:cs="Arial"/>
                <w:b/>
                <w:color w:val="003768"/>
                <w:sz w:val="14"/>
                <w:szCs w:val="14"/>
                <w:lang w:val="nl-BE" w:eastAsia="nl-BE"/>
              </w:rPr>
            </w:pPr>
            <w:r w:rsidRPr="00945D83">
              <w:rPr>
                <w:rFonts w:cs="Arial"/>
                <w:b/>
                <w:color w:val="003768"/>
                <w:sz w:val="14"/>
                <w:szCs w:val="14"/>
                <w:lang w:val="nl-BE" w:eastAsia="nl-BE"/>
              </w:rPr>
              <w:t>woordvoerster</w:t>
            </w:r>
          </w:p>
          <w:p w:rsidR="00CE168D" w:rsidRPr="003A10F4" w:rsidRDefault="00945D83" w:rsidP="00892218">
            <w:pPr>
              <w:pStyle w:val="Footer"/>
              <w:tabs>
                <w:tab w:val="bar" w:pos="-2709"/>
              </w:tabs>
              <w:rPr>
                <w:b/>
                <w:bCs/>
                <w:color w:val="002060"/>
                <w:sz w:val="14"/>
                <w:szCs w:val="14"/>
              </w:rPr>
            </w:pPr>
            <w:r>
              <w:rPr>
                <w:b/>
                <w:bCs/>
                <w:color w:val="002060"/>
                <w:sz w:val="14"/>
                <w:szCs w:val="14"/>
              </w:rPr>
              <w:t>Tel. 0</w:t>
            </w:r>
            <w:r w:rsidR="00CE168D" w:rsidRPr="003A10F4">
              <w:rPr>
                <w:b/>
                <w:bCs/>
                <w:color w:val="002060"/>
                <w:sz w:val="14"/>
                <w:szCs w:val="14"/>
              </w:rPr>
              <w:t>2 429 85 45</w:t>
            </w:r>
          </w:p>
          <w:p w:rsidR="00CE168D" w:rsidRPr="003A10F4" w:rsidRDefault="00CE168D" w:rsidP="0064576A">
            <w:pPr>
              <w:pStyle w:val="Footer"/>
              <w:tabs>
                <w:tab w:val="bar" w:pos="-2709"/>
              </w:tabs>
              <w:rPr>
                <w:b/>
                <w:bCs/>
                <w:color w:val="002060"/>
                <w:sz w:val="4"/>
                <w:szCs w:val="4"/>
              </w:rPr>
            </w:pPr>
          </w:p>
        </w:tc>
        <w:tc>
          <w:tcPr>
            <w:tcW w:w="3400" w:type="dxa"/>
            <w:shd w:val="clear" w:color="auto" w:fill="FFFFFF"/>
            <w:tcMar>
              <w:top w:w="15" w:type="dxa"/>
              <w:left w:w="15" w:type="dxa"/>
              <w:bottom w:w="0" w:type="dxa"/>
              <w:right w:w="15" w:type="dxa"/>
            </w:tcMar>
            <w:hideMark/>
          </w:tcPr>
          <w:p w:rsidR="00CE168D" w:rsidRPr="00B5684E" w:rsidRDefault="00CE168D" w:rsidP="0064576A">
            <w:pPr>
              <w:pStyle w:val="Footer"/>
              <w:tabs>
                <w:tab w:val="bar" w:pos="-2709"/>
              </w:tabs>
              <w:rPr>
                <w:b/>
                <w:bCs/>
                <w:color w:val="002060"/>
                <w:sz w:val="4"/>
                <w:szCs w:val="4"/>
                <w:lang w:val="de-DE"/>
              </w:rPr>
            </w:pPr>
          </w:p>
          <w:p w:rsidR="00CE168D" w:rsidRPr="00B5684E" w:rsidRDefault="00CE168D" w:rsidP="0064576A">
            <w:pPr>
              <w:pStyle w:val="Footer"/>
              <w:tabs>
                <w:tab w:val="bar" w:pos="-2709"/>
              </w:tabs>
              <w:rPr>
                <w:rFonts w:ascii="Rockwell" w:hAnsi="Rockwell"/>
                <w:b/>
                <w:bCs/>
                <w:color w:val="002060"/>
                <w:sz w:val="18"/>
                <w:szCs w:val="18"/>
                <w:lang w:val="de-DE"/>
              </w:rPr>
            </w:pPr>
          </w:p>
          <w:p w:rsidR="00945D83" w:rsidRPr="002F5967" w:rsidRDefault="00945D83" w:rsidP="0064576A">
            <w:pPr>
              <w:pStyle w:val="Footer"/>
              <w:tabs>
                <w:tab w:val="bar" w:pos="-2709"/>
              </w:tabs>
              <w:rPr>
                <w:rFonts w:cs="Arial"/>
                <w:b/>
                <w:color w:val="003768"/>
                <w:sz w:val="14"/>
                <w:szCs w:val="14"/>
                <w:lang w:val="de-DE" w:eastAsia="nl-BE"/>
              </w:rPr>
            </w:pPr>
            <w:proofErr w:type="spellStart"/>
            <w:r w:rsidRPr="002F5967">
              <w:rPr>
                <w:rFonts w:cs="Arial"/>
                <w:b/>
                <w:color w:val="003768"/>
                <w:sz w:val="14"/>
                <w:szCs w:val="14"/>
                <w:lang w:val="de-DE" w:eastAsia="nl-BE"/>
              </w:rPr>
              <w:t>Persdienst</w:t>
            </w:r>
            <w:proofErr w:type="spellEnd"/>
          </w:p>
          <w:p w:rsidR="00CE168D" w:rsidRDefault="00CE168D" w:rsidP="0064576A">
            <w:pPr>
              <w:pStyle w:val="Footer"/>
              <w:tabs>
                <w:tab w:val="bar" w:pos="-2709"/>
              </w:tabs>
              <w:rPr>
                <w:b/>
                <w:bCs/>
                <w:color w:val="002060"/>
                <w:sz w:val="14"/>
                <w:szCs w:val="14"/>
                <w:lang w:val="de-DE"/>
              </w:rPr>
            </w:pPr>
            <w:r w:rsidRPr="002F5967">
              <w:rPr>
                <w:b/>
                <w:bCs/>
                <w:color w:val="002060"/>
                <w:sz w:val="14"/>
                <w:szCs w:val="14"/>
                <w:lang w:val="de-DE"/>
              </w:rPr>
              <w:t xml:space="preserve">Tel. </w:t>
            </w:r>
            <w:r w:rsidR="00945D83" w:rsidRPr="002F5967">
              <w:rPr>
                <w:b/>
                <w:bCs/>
                <w:color w:val="002060"/>
                <w:sz w:val="14"/>
                <w:szCs w:val="14"/>
                <w:lang w:val="de-DE"/>
              </w:rPr>
              <w:t>0</w:t>
            </w:r>
            <w:r w:rsidRPr="002F5967">
              <w:rPr>
                <w:b/>
                <w:bCs/>
                <w:color w:val="002060"/>
                <w:sz w:val="14"/>
                <w:szCs w:val="14"/>
                <w:lang w:val="de-DE"/>
              </w:rPr>
              <w:t>2 429 65 01</w:t>
            </w:r>
            <w:r w:rsidR="004A1E9C">
              <w:rPr>
                <w:b/>
                <w:bCs/>
                <w:color w:val="002060"/>
                <w:sz w:val="14"/>
                <w:szCs w:val="14"/>
                <w:lang w:val="de-DE"/>
              </w:rPr>
              <w:t xml:space="preserve"> Stef Leunens</w:t>
            </w:r>
          </w:p>
          <w:p w:rsidR="00B5684E" w:rsidRPr="00B5684E" w:rsidRDefault="00B5684E" w:rsidP="0064576A">
            <w:pPr>
              <w:pStyle w:val="Footer"/>
              <w:tabs>
                <w:tab w:val="bar" w:pos="-2709"/>
              </w:tabs>
              <w:rPr>
                <w:b/>
                <w:bCs/>
                <w:color w:val="002060"/>
                <w:sz w:val="14"/>
                <w:szCs w:val="14"/>
              </w:rPr>
            </w:pPr>
            <w:r>
              <w:rPr>
                <w:b/>
                <w:bCs/>
                <w:color w:val="002060"/>
                <w:sz w:val="14"/>
                <w:szCs w:val="14"/>
              </w:rPr>
              <w:t xml:space="preserve">Tel. </w:t>
            </w:r>
            <w:r w:rsidR="002F2F8B">
              <w:rPr>
                <w:b/>
                <w:bCs/>
                <w:color w:val="002060"/>
                <w:sz w:val="14"/>
                <w:szCs w:val="14"/>
              </w:rPr>
              <w:t>0</w:t>
            </w:r>
            <w:r w:rsidRPr="00076661">
              <w:rPr>
                <w:b/>
                <w:bCs/>
                <w:color w:val="002060"/>
                <w:sz w:val="14"/>
                <w:szCs w:val="14"/>
              </w:rPr>
              <w:t>2 429 29 15</w:t>
            </w:r>
            <w:r w:rsidR="004A1E9C">
              <w:rPr>
                <w:b/>
                <w:bCs/>
                <w:color w:val="002060"/>
                <w:sz w:val="14"/>
                <w:szCs w:val="14"/>
              </w:rPr>
              <w:t xml:space="preserve"> Ilse De Muyer</w:t>
            </w:r>
          </w:p>
          <w:p w:rsidR="00CE168D" w:rsidRPr="002F5967" w:rsidRDefault="00CE168D" w:rsidP="0064576A">
            <w:pPr>
              <w:pStyle w:val="Footer"/>
              <w:tabs>
                <w:tab w:val="bar" w:pos="-2709"/>
              </w:tabs>
              <w:rPr>
                <w:color w:val="002060"/>
                <w:sz w:val="14"/>
                <w:szCs w:val="14"/>
                <w:lang w:val="de-DE"/>
              </w:rPr>
            </w:pPr>
            <w:r w:rsidRPr="002F5967">
              <w:rPr>
                <w:b/>
                <w:bCs/>
                <w:color w:val="002060"/>
                <w:sz w:val="14"/>
                <w:szCs w:val="14"/>
                <w:lang w:val="de-DE"/>
              </w:rPr>
              <w:t xml:space="preserve">Fax </w:t>
            </w:r>
            <w:r w:rsidR="00945D83" w:rsidRPr="002F5967">
              <w:rPr>
                <w:b/>
                <w:bCs/>
                <w:color w:val="002060"/>
                <w:sz w:val="14"/>
                <w:szCs w:val="14"/>
                <w:lang w:val="de-DE"/>
              </w:rPr>
              <w:t>0</w:t>
            </w:r>
            <w:r w:rsidRPr="002F5967">
              <w:rPr>
                <w:b/>
                <w:bCs/>
                <w:color w:val="002060"/>
                <w:sz w:val="14"/>
                <w:szCs w:val="14"/>
                <w:lang w:val="de-DE"/>
              </w:rPr>
              <w:t>2 429 81 60</w:t>
            </w:r>
          </w:p>
          <w:p w:rsidR="00CE168D" w:rsidRPr="002F5967" w:rsidRDefault="00CE168D" w:rsidP="0064576A">
            <w:pPr>
              <w:pStyle w:val="Footer"/>
              <w:tabs>
                <w:tab w:val="bar" w:pos="-2709"/>
              </w:tabs>
              <w:rPr>
                <w:lang w:val="de-DE"/>
              </w:rPr>
            </w:pPr>
            <w:proofErr w:type="spellStart"/>
            <w:r w:rsidRPr="002F5967">
              <w:rPr>
                <w:b/>
                <w:bCs/>
                <w:color w:val="002060"/>
                <w:sz w:val="14"/>
                <w:szCs w:val="14"/>
                <w:lang w:val="de-DE"/>
              </w:rPr>
              <w:t>E-mail</w:t>
            </w:r>
            <w:proofErr w:type="spellEnd"/>
            <w:r w:rsidRPr="002F5967">
              <w:rPr>
                <w:b/>
                <w:bCs/>
                <w:color w:val="002060"/>
                <w:sz w:val="14"/>
                <w:szCs w:val="14"/>
                <w:lang w:val="de-DE"/>
              </w:rPr>
              <w:t xml:space="preserve">: </w:t>
            </w:r>
            <w:hyperlink r:id="rId21" w:history="1">
              <w:r w:rsidR="002F5967" w:rsidRPr="005C49C4">
                <w:rPr>
                  <w:rStyle w:val="Hyperlink"/>
                  <w:b/>
                  <w:bCs/>
                  <w:color w:val="00AEEF"/>
                  <w:sz w:val="14"/>
                  <w:szCs w:val="14"/>
                  <w:lang w:val="de-DE"/>
                </w:rPr>
                <w:t>pressofficekbc@kbc.be</w:t>
              </w:r>
            </w:hyperlink>
          </w:p>
        </w:tc>
        <w:tc>
          <w:tcPr>
            <w:tcW w:w="2980" w:type="dxa"/>
            <w:shd w:val="clear" w:color="auto" w:fill="FFFFFF"/>
            <w:tcMar>
              <w:top w:w="15" w:type="dxa"/>
              <w:left w:w="15" w:type="dxa"/>
              <w:bottom w:w="0" w:type="dxa"/>
              <w:right w:w="15" w:type="dxa"/>
            </w:tcMar>
            <w:hideMark/>
          </w:tcPr>
          <w:p w:rsidR="00CE168D" w:rsidRPr="00AF0348" w:rsidRDefault="00CE168D" w:rsidP="0064576A">
            <w:pPr>
              <w:pStyle w:val="Footer"/>
              <w:tabs>
                <w:tab w:val="bar" w:pos="-2709"/>
              </w:tabs>
              <w:rPr>
                <w:b/>
                <w:bCs/>
                <w:color w:val="002060"/>
                <w:sz w:val="4"/>
                <w:szCs w:val="4"/>
                <w:lang w:val="nl-BE"/>
              </w:rPr>
            </w:pPr>
          </w:p>
          <w:p w:rsidR="00CE168D" w:rsidRPr="00AF0348" w:rsidRDefault="00CE168D" w:rsidP="0064576A">
            <w:pPr>
              <w:pStyle w:val="Footer"/>
              <w:tabs>
                <w:tab w:val="bar" w:pos="-2709"/>
              </w:tabs>
              <w:rPr>
                <w:b/>
                <w:bCs/>
                <w:color w:val="002060"/>
                <w:sz w:val="18"/>
                <w:szCs w:val="18"/>
                <w:lang w:val="nl-BE"/>
              </w:rPr>
            </w:pPr>
          </w:p>
          <w:p w:rsidR="00CE168D" w:rsidRPr="00945D83" w:rsidRDefault="00945D83" w:rsidP="00945D83">
            <w:pPr>
              <w:autoSpaceDE w:val="0"/>
              <w:autoSpaceDN w:val="0"/>
              <w:adjustRightInd w:val="0"/>
              <w:spacing w:after="0" w:line="240" w:lineRule="auto"/>
              <w:rPr>
                <w:rFonts w:cs="Arial"/>
                <w:color w:val="003768"/>
                <w:sz w:val="14"/>
                <w:szCs w:val="14"/>
                <w:lang w:val="nl-BE" w:eastAsia="nl-BE"/>
              </w:rPr>
            </w:pPr>
            <w:r w:rsidRPr="00945D83">
              <w:rPr>
                <w:rFonts w:cs="Arial"/>
                <w:b/>
                <w:color w:val="003768"/>
                <w:sz w:val="14"/>
                <w:szCs w:val="14"/>
                <w:lang w:val="nl-BE" w:eastAsia="nl-BE"/>
              </w:rPr>
              <w:t xml:space="preserve">KBC persberichten zijn beschikbaar op </w:t>
            </w:r>
            <w:hyperlink r:id="rId22" w:history="1">
              <w:r w:rsidR="00CE168D" w:rsidRPr="00945D83">
                <w:rPr>
                  <w:rStyle w:val="Hyperlink"/>
                  <w:b/>
                  <w:bCs/>
                  <w:color w:val="00B0F0"/>
                  <w:sz w:val="14"/>
                  <w:szCs w:val="14"/>
                  <w:lang w:val="nl-BE"/>
                </w:rPr>
                <w:t>www.kbc.com</w:t>
              </w:r>
            </w:hyperlink>
            <w:r w:rsidR="00CE168D" w:rsidRPr="00945D83">
              <w:rPr>
                <w:b/>
                <w:bCs/>
                <w:color w:val="002060"/>
                <w:sz w:val="14"/>
                <w:szCs w:val="14"/>
                <w:lang w:val="nl-BE"/>
              </w:rPr>
              <w:t xml:space="preserve"> </w:t>
            </w:r>
            <w:r w:rsidRPr="00945D83">
              <w:rPr>
                <w:rFonts w:cs="Arial"/>
                <w:b/>
                <w:color w:val="003768"/>
                <w:sz w:val="14"/>
                <w:szCs w:val="14"/>
                <w:lang w:val="nl-BE" w:eastAsia="nl-BE"/>
              </w:rPr>
              <w:t>of kunnen verkregen worden door een mail te zenden naar</w:t>
            </w:r>
            <w:r w:rsidR="00CE168D" w:rsidRPr="00945D83">
              <w:rPr>
                <w:b/>
                <w:bCs/>
                <w:color w:val="003768"/>
                <w:sz w:val="14"/>
                <w:szCs w:val="14"/>
                <w:lang w:val="nl-BE"/>
              </w:rPr>
              <w:t xml:space="preserve"> </w:t>
            </w:r>
            <w:hyperlink r:id="rId23" w:history="1">
              <w:r w:rsidR="00CE168D" w:rsidRPr="00945D83">
                <w:rPr>
                  <w:rStyle w:val="Hyperlink"/>
                  <w:b/>
                  <w:bCs/>
                  <w:color w:val="00B0F0"/>
                  <w:sz w:val="14"/>
                  <w:szCs w:val="14"/>
                  <w:lang w:val="nl-BE"/>
                </w:rPr>
                <w:t>pressofficekbc@kbc.be</w:t>
              </w:r>
            </w:hyperlink>
          </w:p>
          <w:p w:rsidR="00945D83" w:rsidRPr="00B5684E" w:rsidRDefault="00945D83" w:rsidP="0064576A">
            <w:pPr>
              <w:pStyle w:val="Footer"/>
              <w:tabs>
                <w:tab w:val="bar" w:pos="-2709"/>
              </w:tabs>
              <w:spacing w:after="120"/>
              <w:rPr>
                <w:b/>
                <w:bCs/>
                <w:color w:val="002060"/>
                <w:sz w:val="14"/>
                <w:szCs w:val="14"/>
                <w:lang w:val="nl-BE"/>
              </w:rPr>
            </w:pPr>
          </w:p>
          <w:p w:rsidR="00CE168D" w:rsidRPr="00945D83" w:rsidRDefault="00945D83" w:rsidP="0064576A">
            <w:pPr>
              <w:pStyle w:val="Footer"/>
              <w:tabs>
                <w:tab w:val="bar" w:pos="-2709"/>
              </w:tabs>
              <w:spacing w:after="120"/>
              <w:rPr>
                <w:color w:val="002060"/>
                <w:lang w:val="nl-BE"/>
              </w:rPr>
            </w:pPr>
            <w:r w:rsidRPr="00945D83">
              <w:rPr>
                <w:rFonts w:cs="Calibri"/>
                <w:b/>
                <w:color w:val="003768"/>
                <w:sz w:val="14"/>
                <w:szCs w:val="14"/>
                <w:lang w:val="nl-BE" w:eastAsia="nl-BE"/>
              </w:rPr>
              <w:t>Volg ons op</w:t>
            </w:r>
            <w:r w:rsidRPr="00945D83">
              <w:rPr>
                <w:lang w:val="nl-BE"/>
              </w:rPr>
              <w:t xml:space="preserve"> </w:t>
            </w:r>
            <w:hyperlink r:id="rId24" w:history="1">
              <w:r w:rsidR="00CE168D" w:rsidRPr="00945D83">
                <w:rPr>
                  <w:rStyle w:val="Hyperlink"/>
                  <w:b/>
                  <w:bCs/>
                  <w:color w:val="00B0F0"/>
                  <w:sz w:val="14"/>
                  <w:szCs w:val="14"/>
                  <w:lang w:val="nl-BE"/>
                </w:rPr>
                <w:t>www.twitter.com/kbc_group</w:t>
              </w:r>
            </w:hyperlink>
          </w:p>
        </w:tc>
      </w:tr>
    </w:tbl>
    <w:p w:rsidR="004278B1" w:rsidRDefault="00C41FB4" w:rsidP="00020337">
      <w:pPr>
        <w:pStyle w:val="NoSpacing"/>
        <w:ind w:left="993" w:right="664"/>
      </w:pP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posOffset>6477000</wp:posOffset>
                </wp:positionV>
                <wp:extent cx="958215" cy="13906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D86" w:rsidRDefault="00701D8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Xrrw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" filled="f" stroked="f">
                <v:textbox inset="0,0,0,0">
                  <w:txbxContent>
                    <w:p w:rsidR="00701D86" w:rsidRDefault="00701D86"/>
                  </w:txbxContent>
                </v:textbox>
              </v:shape>
            </w:pict>
          </mc:Fallback>
        </mc:AlternateContent>
      </w:r>
    </w:p>
    <w:sectPr w:rsidR="004278B1" w:rsidSect="00020337">
      <w:footerReference w:type="default" r:id="rId25"/>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86" w:rsidRDefault="00701D86" w:rsidP="00B91505">
      <w:pPr>
        <w:spacing w:after="0" w:line="240" w:lineRule="auto"/>
      </w:pPr>
      <w:r>
        <w:separator/>
      </w:r>
    </w:p>
  </w:endnote>
  <w:endnote w:type="continuationSeparator" w:id="0">
    <w:p w:rsidR="00701D86" w:rsidRDefault="00701D86" w:rsidP="00B9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86" w:rsidRDefault="00701D8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1FAF">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1FAF">
      <w:rPr>
        <w:b/>
        <w:noProof/>
      </w:rPr>
      <w:t>18</w:t>
    </w:r>
    <w:r>
      <w:rPr>
        <w:b/>
        <w:sz w:val="24"/>
        <w:szCs w:val="24"/>
      </w:rPr>
      <w:fldChar w:fldCharType="end"/>
    </w:r>
  </w:p>
  <w:p w:rsidR="00701D86" w:rsidRDefault="00701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86" w:rsidRDefault="00701D86" w:rsidP="00B91505">
      <w:pPr>
        <w:spacing w:after="0" w:line="240" w:lineRule="auto"/>
      </w:pPr>
      <w:r>
        <w:separator/>
      </w:r>
    </w:p>
  </w:footnote>
  <w:footnote w:type="continuationSeparator" w:id="0">
    <w:p w:rsidR="00701D86" w:rsidRDefault="00701D86" w:rsidP="00B91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BC8"/>
    <w:multiLevelType w:val="hybridMultilevel"/>
    <w:tmpl w:val="BFA6CD0E"/>
    <w:lvl w:ilvl="0" w:tplc="05FE2832">
      <w:numFmt w:val="bullet"/>
      <w:lvlText w:val="•"/>
      <w:lvlJc w:val="left"/>
      <w:pPr>
        <w:ind w:left="1442" w:hanging="45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B8A7733"/>
    <w:multiLevelType w:val="hybridMultilevel"/>
    <w:tmpl w:val="76B2F8CC"/>
    <w:lvl w:ilvl="0" w:tplc="05FE2832">
      <w:numFmt w:val="bullet"/>
      <w:lvlText w:val="•"/>
      <w:lvlJc w:val="left"/>
      <w:pPr>
        <w:ind w:left="1442" w:hanging="450"/>
      </w:pPr>
      <w:rPr>
        <w:rFonts w:ascii="Calibri" w:eastAsia="Calibri" w:hAnsi="Calibri" w:cs="Calibri" w:hint="default"/>
      </w:rPr>
    </w:lvl>
    <w:lvl w:ilvl="1" w:tplc="08130003" w:tentative="1">
      <w:start w:val="1"/>
      <w:numFmt w:val="bullet"/>
      <w:lvlText w:val="o"/>
      <w:lvlJc w:val="left"/>
      <w:pPr>
        <w:ind w:left="2072" w:hanging="360"/>
      </w:pPr>
      <w:rPr>
        <w:rFonts w:ascii="Courier New" w:hAnsi="Courier New" w:cs="Courier New" w:hint="default"/>
      </w:rPr>
    </w:lvl>
    <w:lvl w:ilvl="2" w:tplc="08130005" w:tentative="1">
      <w:start w:val="1"/>
      <w:numFmt w:val="bullet"/>
      <w:lvlText w:val=""/>
      <w:lvlJc w:val="left"/>
      <w:pPr>
        <w:ind w:left="2792" w:hanging="360"/>
      </w:pPr>
      <w:rPr>
        <w:rFonts w:ascii="Wingdings" w:hAnsi="Wingdings" w:hint="default"/>
      </w:rPr>
    </w:lvl>
    <w:lvl w:ilvl="3" w:tplc="08130001" w:tentative="1">
      <w:start w:val="1"/>
      <w:numFmt w:val="bullet"/>
      <w:lvlText w:val=""/>
      <w:lvlJc w:val="left"/>
      <w:pPr>
        <w:ind w:left="3512" w:hanging="360"/>
      </w:pPr>
      <w:rPr>
        <w:rFonts w:ascii="Symbol" w:hAnsi="Symbol" w:hint="default"/>
      </w:rPr>
    </w:lvl>
    <w:lvl w:ilvl="4" w:tplc="08130003" w:tentative="1">
      <w:start w:val="1"/>
      <w:numFmt w:val="bullet"/>
      <w:lvlText w:val="o"/>
      <w:lvlJc w:val="left"/>
      <w:pPr>
        <w:ind w:left="4232" w:hanging="360"/>
      </w:pPr>
      <w:rPr>
        <w:rFonts w:ascii="Courier New" w:hAnsi="Courier New" w:cs="Courier New" w:hint="default"/>
      </w:rPr>
    </w:lvl>
    <w:lvl w:ilvl="5" w:tplc="08130005" w:tentative="1">
      <w:start w:val="1"/>
      <w:numFmt w:val="bullet"/>
      <w:lvlText w:val=""/>
      <w:lvlJc w:val="left"/>
      <w:pPr>
        <w:ind w:left="4952" w:hanging="360"/>
      </w:pPr>
      <w:rPr>
        <w:rFonts w:ascii="Wingdings" w:hAnsi="Wingdings" w:hint="default"/>
      </w:rPr>
    </w:lvl>
    <w:lvl w:ilvl="6" w:tplc="08130001" w:tentative="1">
      <w:start w:val="1"/>
      <w:numFmt w:val="bullet"/>
      <w:lvlText w:val=""/>
      <w:lvlJc w:val="left"/>
      <w:pPr>
        <w:ind w:left="5672" w:hanging="360"/>
      </w:pPr>
      <w:rPr>
        <w:rFonts w:ascii="Symbol" w:hAnsi="Symbol" w:hint="default"/>
      </w:rPr>
    </w:lvl>
    <w:lvl w:ilvl="7" w:tplc="08130003" w:tentative="1">
      <w:start w:val="1"/>
      <w:numFmt w:val="bullet"/>
      <w:lvlText w:val="o"/>
      <w:lvlJc w:val="left"/>
      <w:pPr>
        <w:ind w:left="6392" w:hanging="360"/>
      </w:pPr>
      <w:rPr>
        <w:rFonts w:ascii="Courier New" w:hAnsi="Courier New" w:cs="Courier New" w:hint="default"/>
      </w:rPr>
    </w:lvl>
    <w:lvl w:ilvl="8" w:tplc="08130005" w:tentative="1">
      <w:start w:val="1"/>
      <w:numFmt w:val="bullet"/>
      <w:lvlText w:val=""/>
      <w:lvlJc w:val="left"/>
      <w:pPr>
        <w:ind w:left="7112" w:hanging="360"/>
      </w:pPr>
      <w:rPr>
        <w:rFonts w:ascii="Wingdings" w:hAnsi="Wingdings" w:hint="default"/>
      </w:rPr>
    </w:lvl>
  </w:abstractNum>
  <w:abstractNum w:abstractNumId="2">
    <w:nsid w:val="37CF2E2D"/>
    <w:multiLevelType w:val="hybridMultilevel"/>
    <w:tmpl w:val="5A88A282"/>
    <w:lvl w:ilvl="0" w:tplc="05FE2832">
      <w:numFmt w:val="bullet"/>
      <w:lvlText w:val="•"/>
      <w:lvlJc w:val="left"/>
      <w:pPr>
        <w:ind w:left="1442" w:hanging="45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A0D3CE2"/>
    <w:multiLevelType w:val="hybridMultilevel"/>
    <w:tmpl w:val="D9C4DA2A"/>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4">
    <w:nsid w:val="49B55EBB"/>
    <w:multiLevelType w:val="hybridMultilevel"/>
    <w:tmpl w:val="F1E8FD1E"/>
    <w:lvl w:ilvl="0" w:tplc="05FE2832">
      <w:numFmt w:val="bullet"/>
      <w:lvlText w:val="•"/>
      <w:lvlJc w:val="left"/>
      <w:pPr>
        <w:ind w:left="1442" w:hanging="45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73A1384"/>
    <w:multiLevelType w:val="hybridMultilevel"/>
    <w:tmpl w:val="C988E712"/>
    <w:lvl w:ilvl="0" w:tplc="05FE2832">
      <w:numFmt w:val="bullet"/>
      <w:lvlText w:val="•"/>
      <w:lvlJc w:val="left"/>
      <w:pPr>
        <w:ind w:left="2435" w:hanging="450"/>
      </w:pPr>
      <w:rPr>
        <w:rFonts w:ascii="Calibri" w:eastAsia="Calibri" w:hAnsi="Calibri" w:cs="Calibri"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6">
    <w:nsid w:val="752279E4"/>
    <w:multiLevelType w:val="hybridMultilevel"/>
    <w:tmpl w:val="BF300C28"/>
    <w:lvl w:ilvl="0" w:tplc="0813000F">
      <w:start w:val="1"/>
      <w:numFmt w:val="decimal"/>
      <w:lvlText w:val="%1."/>
      <w:lvlJc w:val="left"/>
      <w:pPr>
        <w:ind w:left="1712" w:hanging="360"/>
      </w:pPr>
    </w:lvl>
    <w:lvl w:ilvl="1" w:tplc="08130019" w:tentative="1">
      <w:start w:val="1"/>
      <w:numFmt w:val="lowerLetter"/>
      <w:lvlText w:val="%2."/>
      <w:lvlJc w:val="left"/>
      <w:pPr>
        <w:ind w:left="2432" w:hanging="360"/>
      </w:pPr>
    </w:lvl>
    <w:lvl w:ilvl="2" w:tplc="0813001B" w:tentative="1">
      <w:start w:val="1"/>
      <w:numFmt w:val="lowerRoman"/>
      <w:lvlText w:val="%3."/>
      <w:lvlJc w:val="right"/>
      <w:pPr>
        <w:ind w:left="3152" w:hanging="180"/>
      </w:pPr>
    </w:lvl>
    <w:lvl w:ilvl="3" w:tplc="0813000F" w:tentative="1">
      <w:start w:val="1"/>
      <w:numFmt w:val="decimal"/>
      <w:lvlText w:val="%4."/>
      <w:lvlJc w:val="left"/>
      <w:pPr>
        <w:ind w:left="3872" w:hanging="360"/>
      </w:pPr>
    </w:lvl>
    <w:lvl w:ilvl="4" w:tplc="08130019" w:tentative="1">
      <w:start w:val="1"/>
      <w:numFmt w:val="lowerLetter"/>
      <w:lvlText w:val="%5."/>
      <w:lvlJc w:val="left"/>
      <w:pPr>
        <w:ind w:left="4592" w:hanging="360"/>
      </w:pPr>
    </w:lvl>
    <w:lvl w:ilvl="5" w:tplc="0813001B" w:tentative="1">
      <w:start w:val="1"/>
      <w:numFmt w:val="lowerRoman"/>
      <w:lvlText w:val="%6."/>
      <w:lvlJc w:val="right"/>
      <w:pPr>
        <w:ind w:left="5312" w:hanging="180"/>
      </w:pPr>
    </w:lvl>
    <w:lvl w:ilvl="6" w:tplc="0813000F" w:tentative="1">
      <w:start w:val="1"/>
      <w:numFmt w:val="decimal"/>
      <w:lvlText w:val="%7."/>
      <w:lvlJc w:val="left"/>
      <w:pPr>
        <w:ind w:left="6032" w:hanging="360"/>
      </w:pPr>
    </w:lvl>
    <w:lvl w:ilvl="7" w:tplc="08130019" w:tentative="1">
      <w:start w:val="1"/>
      <w:numFmt w:val="lowerLetter"/>
      <w:lvlText w:val="%8."/>
      <w:lvlJc w:val="left"/>
      <w:pPr>
        <w:ind w:left="6752" w:hanging="360"/>
      </w:pPr>
    </w:lvl>
    <w:lvl w:ilvl="8" w:tplc="0813001B" w:tentative="1">
      <w:start w:val="1"/>
      <w:numFmt w:val="lowerRoman"/>
      <w:lvlText w:val="%9."/>
      <w:lvlJc w:val="right"/>
      <w:pPr>
        <w:ind w:left="7472"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20337"/>
    <w:rsid w:val="000311D2"/>
    <w:rsid w:val="00067351"/>
    <w:rsid w:val="00075B32"/>
    <w:rsid w:val="0007720A"/>
    <w:rsid w:val="001044FC"/>
    <w:rsid w:val="00145E8E"/>
    <w:rsid w:val="001572F2"/>
    <w:rsid w:val="00173DD8"/>
    <w:rsid w:val="00186A5F"/>
    <w:rsid w:val="001E3011"/>
    <w:rsid w:val="00262D1E"/>
    <w:rsid w:val="00286C63"/>
    <w:rsid w:val="002D344C"/>
    <w:rsid w:val="002F2F8B"/>
    <w:rsid w:val="002F5967"/>
    <w:rsid w:val="00326CB0"/>
    <w:rsid w:val="003346EA"/>
    <w:rsid w:val="003540FC"/>
    <w:rsid w:val="0038517C"/>
    <w:rsid w:val="003915CA"/>
    <w:rsid w:val="003A10F4"/>
    <w:rsid w:val="003C1B2C"/>
    <w:rsid w:val="003C3F4A"/>
    <w:rsid w:val="00410A43"/>
    <w:rsid w:val="004278B1"/>
    <w:rsid w:val="0047091F"/>
    <w:rsid w:val="004A1E9C"/>
    <w:rsid w:val="004F7511"/>
    <w:rsid w:val="0052230C"/>
    <w:rsid w:val="005235E3"/>
    <w:rsid w:val="00571370"/>
    <w:rsid w:val="00574F3C"/>
    <w:rsid w:val="005B005E"/>
    <w:rsid w:val="005C49C4"/>
    <w:rsid w:val="005C78AD"/>
    <w:rsid w:val="0064576A"/>
    <w:rsid w:val="00673D3E"/>
    <w:rsid w:val="006917E1"/>
    <w:rsid w:val="006A6C5E"/>
    <w:rsid w:val="006A73EA"/>
    <w:rsid w:val="00701D86"/>
    <w:rsid w:val="00715235"/>
    <w:rsid w:val="007571D2"/>
    <w:rsid w:val="00760112"/>
    <w:rsid w:val="007728B6"/>
    <w:rsid w:val="00775C2F"/>
    <w:rsid w:val="00777C89"/>
    <w:rsid w:val="00792DBF"/>
    <w:rsid w:val="007E4B18"/>
    <w:rsid w:val="00840394"/>
    <w:rsid w:val="00856602"/>
    <w:rsid w:val="00892218"/>
    <w:rsid w:val="008B4296"/>
    <w:rsid w:val="008C760D"/>
    <w:rsid w:val="00945D83"/>
    <w:rsid w:val="009C4391"/>
    <w:rsid w:val="009E1FAF"/>
    <w:rsid w:val="00A20B2F"/>
    <w:rsid w:val="00A73521"/>
    <w:rsid w:val="00AC7A25"/>
    <w:rsid w:val="00AF0348"/>
    <w:rsid w:val="00B2276E"/>
    <w:rsid w:val="00B5684E"/>
    <w:rsid w:val="00B744CA"/>
    <w:rsid w:val="00B7736D"/>
    <w:rsid w:val="00B91505"/>
    <w:rsid w:val="00B97593"/>
    <w:rsid w:val="00BE46FD"/>
    <w:rsid w:val="00C41FB4"/>
    <w:rsid w:val="00C90C1D"/>
    <w:rsid w:val="00CB1F58"/>
    <w:rsid w:val="00CC467E"/>
    <w:rsid w:val="00CE168D"/>
    <w:rsid w:val="00D41F39"/>
    <w:rsid w:val="00D61FE6"/>
    <w:rsid w:val="00D651BD"/>
    <w:rsid w:val="00E65043"/>
    <w:rsid w:val="00EA7DF4"/>
    <w:rsid w:val="00F5543C"/>
    <w:rsid w:val="00F56CC4"/>
    <w:rsid w:val="00F83524"/>
    <w:rsid w:val="00F8611A"/>
    <w:rsid w:val="00FC36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styleId="ListParagraph">
    <w:name w:val="List Paragraph"/>
    <w:basedOn w:val="Normal"/>
    <w:uiPriority w:val="34"/>
    <w:qFormat/>
    <w:rsid w:val="00840394"/>
    <w:pPr>
      <w:ind w:left="720"/>
      <w:contextualSpacing/>
    </w:pPr>
  </w:style>
  <w:style w:type="paragraph" w:customStyle="1" w:styleId="Intro">
    <w:name w:val="Intro"/>
    <w:basedOn w:val="Normal"/>
    <w:rsid w:val="00B744CA"/>
    <w:pPr>
      <w:spacing w:after="0" w:line="240" w:lineRule="auto"/>
      <w:jc w:val="both"/>
    </w:pPr>
    <w:rPr>
      <w:rFonts w:ascii="Arial" w:eastAsia="Times New Roman" w:hAnsi="Arial"/>
      <w:b/>
      <w:bCs/>
      <w:snapToGrid w:val="0"/>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styleId="ListParagraph">
    <w:name w:val="List Paragraph"/>
    <w:basedOn w:val="Normal"/>
    <w:uiPriority w:val="34"/>
    <w:qFormat/>
    <w:rsid w:val="00840394"/>
    <w:pPr>
      <w:ind w:left="720"/>
      <w:contextualSpacing/>
    </w:pPr>
  </w:style>
  <w:style w:type="paragraph" w:customStyle="1" w:styleId="Intro">
    <w:name w:val="Intro"/>
    <w:basedOn w:val="Normal"/>
    <w:rsid w:val="00B744CA"/>
    <w:pPr>
      <w:spacing w:after="0" w:line="240" w:lineRule="auto"/>
      <w:jc w:val="both"/>
    </w:pPr>
    <w:rPr>
      <w:rFonts w:ascii="Arial" w:eastAsia="Times New Roman" w:hAnsi="Arial"/>
      <w:b/>
      <w:bCs/>
      <w:snapToGrid w:val="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1641">
      <w:bodyDiv w:val="1"/>
      <w:marLeft w:val="0"/>
      <w:marRight w:val="0"/>
      <w:marTop w:val="0"/>
      <w:marBottom w:val="0"/>
      <w:divBdr>
        <w:top w:val="none" w:sz="0" w:space="0" w:color="auto"/>
        <w:left w:val="none" w:sz="0" w:space="0" w:color="auto"/>
        <w:bottom w:val="none" w:sz="0" w:space="0" w:color="auto"/>
        <w:right w:val="none" w:sz="0" w:space="0" w:color="auto"/>
      </w:divBdr>
      <w:divsChild>
        <w:div w:id="149059626">
          <w:marLeft w:val="547"/>
          <w:marRight w:val="0"/>
          <w:marTop w:val="0"/>
          <w:marBottom w:val="0"/>
          <w:divBdr>
            <w:top w:val="none" w:sz="0" w:space="0" w:color="auto"/>
            <w:left w:val="none" w:sz="0" w:space="0" w:color="auto"/>
            <w:bottom w:val="none" w:sz="0" w:space="0" w:color="auto"/>
            <w:right w:val="none" w:sz="0" w:space="0" w:color="auto"/>
          </w:divBdr>
        </w:div>
      </w:divsChild>
    </w:div>
    <w:div w:id="190918740">
      <w:bodyDiv w:val="1"/>
      <w:marLeft w:val="0"/>
      <w:marRight w:val="0"/>
      <w:marTop w:val="0"/>
      <w:marBottom w:val="0"/>
      <w:divBdr>
        <w:top w:val="none" w:sz="0" w:space="0" w:color="auto"/>
        <w:left w:val="none" w:sz="0" w:space="0" w:color="auto"/>
        <w:bottom w:val="none" w:sz="0" w:space="0" w:color="auto"/>
        <w:right w:val="none" w:sz="0" w:space="0" w:color="auto"/>
      </w:divBdr>
      <w:divsChild>
        <w:div w:id="5013300">
          <w:marLeft w:val="547"/>
          <w:marRight w:val="0"/>
          <w:marTop w:val="0"/>
          <w:marBottom w:val="0"/>
          <w:divBdr>
            <w:top w:val="none" w:sz="0" w:space="0" w:color="auto"/>
            <w:left w:val="none" w:sz="0" w:space="0" w:color="auto"/>
            <w:bottom w:val="none" w:sz="0" w:space="0" w:color="auto"/>
            <w:right w:val="none" w:sz="0" w:space="0" w:color="auto"/>
          </w:divBdr>
        </w:div>
      </w:divsChild>
    </w:div>
    <w:div w:id="646085926">
      <w:bodyDiv w:val="1"/>
      <w:marLeft w:val="0"/>
      <w:marRight w:val="0"/>
      <w:marTop w:val="0"/>
      <w:marBottom w:val="0"/>
      <w:divBdr>
        <w:top w:val="none" w:sz="0" w:space="0" w:color="auto"/>
        <w:left w:val="none" w:sz="0" w:space="0" w:color="auto"/>
        <w:bottom w:val="none" w:sz="0" w:space="0" w:color="auto"/>
        <w:right w:val="none" w:sz="0" w:space="0" w:color="auto"/>
      </w:divBdr>
      <w:divsChild>
        <w:div w:id="129330171">
          <w:marLeft w:val="547"/>
          <w:marRight w:val="0"/>
          <w:marTop w:val="0"/>
          <w:marBottom w:val="0"/>
          <w:divBdr>
            <w:top w:val="none" w:sz="0" w:space="0" w:color="auto"/>
            <w:left w:val="none" w:sz="0" w:space="0" w:color="auto"/>
            <w:bottom w:val="none" w:sz="0" w:space="0" w:color="auto"/>
            <w:right w:val="none" w:sz="0" w:space="0" w:color="auto"/>
          </w:divBdr>
        </w:div>
      </w:divsChild>
    </w:div>
    <w:div w:id="911349112">
      <w:bodyDiv w:val="1"/>
      <w:marLeft w:val="0"/>
      <w:marRight w:val="0"/>
      <w:marTop w:val="0"/>
      <w:marBottom w:val="0"/>
      <w:divBdr>
        <w:top w:val="none" w:sz="0" w:space="0" w:color="auto"/>
        <w:left w:val="none" w:sz="0" w:space="0" w:color="auto"/>
        <w:bottom w:val="none" w:sz="0" w:space="0" w:color="auto"/>
        <w:right w:val="none" w:sz="0" w:space="0" w:color="auto"/>
      </w:divBdr>
      <w:divsChild>
        <w:div w:id="737870029">
          <w:marLeft w:val="547"/>
          <w:marRight w:val="0"/>
          <w:marTop w:val="0"/>
          <w:marBottom w:val="0"/>
          <w:divBdr>
            <w:top w:val="none" w:sz="0" w:space="0" w:color="auto"/>
            <w:left w:val="none" w:sz="0" w:space="0" w:color="auto"/>
            <w:bottom w:val="none" w:sz="0" w:space="0" w:color="auto"/>
            <w:right w:val="none" w:sz="0" w:space="0" w:color="auto"/>
          </w:divBdr>
        </w:div>
      </w:divsChild>
    </w:div>
    <w:div w:id="1675112753">
      <w:bodyDiv w:val="1"/>
      <w:marLeft w:val="0"/>
      <w:marRight w:val="0"/>
      <w:marTop w:val="0"/>
      <w:marBottom w:val="0"/>
      <w:divBdr>
        <w:top w:val="none" w:sz="0" w:space="0" w:color="auto"/>
        <w:left w:val="none" w:sz="0" w:space="0" w:color="auto"/>
        <w:bottom w:val="none" w:sz="0" w:space="0" w:color="auto"/>
        <w:right w:val="none" w:sz="0" w:space="0" w:color="auto"/>
      </w:divBdr>
      <w:divsChild>
        <w:div w:id="1757241710">
          <w:marLeft w:val="547"/>
          <w:marRight w:val="0"/>
          <w:marTop w:val="0"/>
          <w:marBottom w:val="0"/>
          <w:divBdr>
            <w:top w:val="none" w:sz="0" w:space="0" w:color="auto"/>
            <w:left w:val="none" w:sz="0" w:space="0" w:color="auto"/>
            <w:bottom w:val="none" w:sz="0" w:space="0" w:color="auto"/>
            <w:right w:val="none" w:sz="0" w:space="0" w:color="auto"/>
          </w:divBdr>
        </w:div>
      </w:divsChild>
    </w:div>
    <w:div w:id="1703244550">
      <w:bodyDiv w:val="1"/>
      <w:marLeft w:val="0"/>
      <w:marRight w:val="0"/>
      <w:marTop w:val="0"/>
      <w:marBottom w:val="0"/>
      <w:divBdr>
        <w:top w:val="none" w:sz="0" w:space="0" w:color="auto"/>
        <w:left w:val="none" w:sz="0" w:space="0" w:color="auto"/>
        <w:bottom w:val="none" w:sz="0" w:space="0" w:color="auto"/>
        <w:right w:val="none" w:sz="0" w:space="0" w:color="auto"/>
      </w:divBdr>
      <w:divsChild>
        <w:div w:id="13157169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essofficekbc@kbc.b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pressofficekbc@kbc.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twitter.com/kbc_group"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pressofficekbc@kbc.be" TargetMode="External"/><Relationship Id="rId10" Type="http://schemas.openxmlformats.org/officeDocument/2006/relationships/image" Target="media/image2.jpeg"/><Relationship Id="rId19" Type="http://schemas.openxmlformats.org/officeDocument/2006/relationships/hyperlink" Target="mailto:wim.allegaert@kbc.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kb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780B1-F3FE-48E2-AA19-55C16CE2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8651</Words>
  <Characters>47583</Characters>
  <Application>Microsoft Office Word</Application>
  <DocSecurity>0</DocSecurity>
  <Lines>396</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56122</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Leunens Stephane</cp:lastModifiedBy>
  <cp:revision>7</cp:revision>
  <cp:lastPrinted>2013-03-07T08:47:00Z</cp:lastPrinted>
  <dcterms:created xsi:type="dcterms:W3CDTF">2014-11-12T09:20:00Z</dcterms:created>
  <dcterms:modified xsi:type="dcterms:W3CDTF">2014-11-12T15:22:00Z</dcterms:modified>
</cp:coreProperties>
</file>