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GRUPO VIDANTA PRESENTA NUEVO CENTRO DE CONVENCIONES EN RIVIERA NAYARIT</w:t>
      </w:r>
    </w:p>
    <w:p w:rsidR="00000000" w:rsidDel="00000000" w:rsidP="00000000" w:rsidRDefault="00000000" w:rsidRPr="00000000">
      <w:pPr>
        <w:pBdr/>
        <w:contextualSpacing w:val="0"/>
        <w:rPr>
          <w:rFonts w:ascii="Helvetica Neue" w:cs="Helvetica Neue" w:eastAsia="Helvetica Neue" w:hAnsi="Helvetica Neue"/>
          <w:i w:val="1"/>
          <w:color w:val="0000ff"/>
        </w:rPr>
      </w:pPr>
      <w:r w:rsidDel="00000000" w:rsidR="00000000" w:rsidRPr="00000000">
        <w:rPr>
          <w:rtl w:val="0"/>
        </w:rPr>
      </w:r>
    </w:p>
    <w:p w:rsidR="00000000" w:rsidDel="00000000" w:rsidP="00000000" w:rsidRDefault="00000000" w:rsidRPr="00000000">
      <w:pPr>
        <w:pBdr/>
        <w:contextualSpacing w:val="0"/>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El desarrollador líder de resorts e infraestructuras turísticas en México y Latinoamérica expande sus instalaciones para convenciones en Vidanta Nuevo Vallarta</w:t>
      </w:r>
    </w:p>
    <w:p w:rsidR="00000000" w:rsidDel="00000000" w:rsidP="00000000" w:rsidRDefault="00000000" w:rsidRPr="00000000">
      <w:pPr>
        <w:pBdr/>
        <w:contextualSpacing w:val="0"/>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Nuevo Vallarta, México, a 15 de mayo de 2017.– </w:t>
      </w:r>
      <w:r w:rsidDel="00000000" w:rsidR="00000000" w:rsidRPr="00000000">
        <w:rPr>
          <w:rFonts w:ascii="Helvetica Neue" w:cs="Helvetica Neue" w:eastAsia="Helvetica Neue" w:hAnsi="Helvetica Neue"/>
          <w:rtl w:val="0"/>
        </w:rPr>
        <w:t xml:space="preserve">Grupo Vidanta presentó su primer Centro de Convenciones en Nuevo Vallarta, iniciando una nueva etapa en la experiencia hospitalaria de Vidanta Resorts al ofrecer reconocidos servicios para el mercado de convenciones y juntas. Este Centro de Convenciones, el primero en su tipo </w:t>
      </w:r>
      <w:r w:rsidDel="00000000" w:rsidR="00000000" w:rsidRPr="00000000">
        <w:rPr>
          <w:rFonts w:ascii="Helvetica Neue" w:cs="Helvetica Neue" w:eastAsia="Helvetica Neue" w:hAnsi="Helvetica Neue"/>
          <w:color w:val="000000"/>
          <w:rtl w:val="0"/>
        </w:rPr>
        <w:t xml:space="preserve">en la región,</w:t>
      </w:r>
      <w:r w:rsidDel="00000000" w:rsidR="00000000" w:rsidRPr="00000000">
        <w:rPr>
          <w:rFonts w:ascii="Helvetica Neue" w:cs="Helvetica Neue" w:eastAsia="Helvetica Neue" w:hAnsi="Helvetica Neue"/>
          <w:rtl w:val="0"/>
        </w:rPr>
        <w:t xml:space="preserve"> transforma el floreciente destino en un establecimiento de primer nivel para eventos y juntas, tanto nacionales como internacionales.</w:t>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bookmarkStart w:colFirst="0" w:colLast="0" w:name="_gjdgxs" w:id="0"/>
      <w:bookmarkEnd w:id="0"/>
      <w:r w:rsidDel="00000000" w:rsidR="00000000" w:rsidRPr="00000000">
        <w:rPr>
          <w:rFonts w:ascii="Helvetica Neue" w:cs="Helvetica Neue" w:eastAsia="Helvetica Neue" w:hAnsi="Helvetica Neue"/>
          <w:rtl w:val="0"/>
        </w:rPr>
        <w:t xml:space="preserve">Vidanta Nuevo Vallarta, una maravilla arquitectónica, desdibuja los límites entre interior y exterior con sus imponentes palapas, exuberantes jardines e intrincados senderos de madera. El Centro de Convenciones complementa este paisaje existente con un diseño impresionante donde su característica más notable es el recibidor sin muros y con un techo de casi 19 metros de altura, </w:t>
      </w:r>
      <w:r w:rsidDel="00000000" w:rsidR="00000000" w:rsidRPr="00000000">
        <w:rPr>
          <w:rFonts w:ascii="Helvetica Neue" w:cs="Helvetica Neue" w:eastAsia="Helvetica Neue" w:hAnsi="Helvetica Neue"/>
          <w:color w:val="000000"/>
          <w:rtl w:val="0"/>
        </w:rPr>
        <w:t xml:space="preserve">único en la región.</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pPr>
        <w:pBdr/>
        <w:contextualSpacing w:val="0"/>
        <w:jc w:val="both"/>
        <w:rPr>
          <w:rFonts w:ascii="Helvetica Neue" w:cs="Helvetica Neue" w:eastAsia="Helvetica Neue" w:hAnsi="Helvetica Neue"/>
          <w:color w:val="0000ff"/>
        </w:rPr>
      </w:pPr>
      <w:bookmarkStart w:colFirst="0" w:colLast="0" w:name="_30j0zll" w:id="1"/>
      <w:bookmarkEnd w:id="1"/>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bookmarkStart w:colFirst="0" w:colLast="0" w:name="_1fob9te" w:id="2"/>
      <w:bookmarkEnd w:id="2"/>
      <w:r w:rsidDel="00000000" w:rsidR="00000000" w:rsidRPr="00000000">
        <w:rPr>
          <w:rFonts w:ascii="Helvetica Neue" w:cs="Helvetica Neue" w:eastAsia="Helvetica Neue" w:hAnsi="Helvetica Neue"/>
          <w:rtl w:val="0"/>
        </w:rPr>
        <w:t xml:space="preserve">Abarcando más de </w:t>
      </w:r>
      <w:r w:rsidDel="00000000" w:rsidR="00000000" w:rsidRPr="00000000">
        <w:rPr>
          <w:rFonts w:ascii="Helvetica Neue" w:cs="Helvetica Neue" w:eastAsia="Helvetica Neue" w:hAnsi="Helvetica Neue"/>
          <w:color w:val="000000"/>
          <w:rtl w:val="0"/>
        </w:rPr>
        <w:t xml:space="preserve">4,600 metros cuadrados,</w:t>
      </w:r>
      <w:r w:rsidDel="00000000" w:rsidR="00000000" w:rsidRPr="00000000">
        <w:rPr>
          <w:rFonts w:ascii="Helvetica Neue" w:cs="Helvetica Neue" w:eastAsia="Helvetica Neue" w:hAnsi="Helvetica Neue"/>
          <w:rtl w:val="0"/>
        </w:rPr>
        <w:t xml:space="preserve"> el nuevo Centro de Convenciones es el más grande en este destino y puede recibir a más de 2,200 asistentes a través de sus flexibles espacios que incluyen:</w:t>
      </w:r>
    </w:p>
    <w:p w:rsidR="00000000" w:rsidDel="00000000" w:rsidP="00000000" w:rsidRDefault="00000000" w:rsidRPr="00000000">
      <w:pPr>
        <w:pBdr/>
        <w:contextualSpacing w:val="0"/>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Fonts w:ascii="Helvetica Neue" w:cs="Helvetica Neue" w:eastAsia="Helvetica Neue" w:hAnsi="Helvetica Neue"/>
          <w:rtl w:val="0"/>
        </w:rPr>
        <w:t xml:space="preserve">Cuatro salones de baile que </w:t>
      </w:r>
      <w:r w:rsidDel="00000000" w:rsidR="00000000" w:rsidRPr="00000000">
        <w:rPr>
          <w:rFonts w:ascii="Helvetica Neue" w:cs="Helvetica Neue" w:eastAsia="Helvetica Neue" w:hAnsi="Helvetica Neue"/>
          <w:color w:val="000000"/>
          <w:rtl w:val="0"/>
        </w:rPr>
        <w:t xml:space="preserve">en conjunto cubren 3,000 metros</w:t>
      </w:r>
      <w:r w:rsidDel="00000000" w:rsidR="00000000" w:rsidRPr="00000000">
        <w:rPr>
          <w:rFonts w:ascii="Helvetica Neue" w:cs="Helvetica Neue" w:eastAsia="Helvetica Neue" w:hAnsi="Helvetica Neue"/>
          <w:rtl w:val="0"/>
        </w:rPr>
        <w:t xml:space="preserve"> cuadrados; cada uno puede utilizarse por separado o en combinación para eventos de mayor escala</w:t>
      </w:r>
    </w:p>
    <w:p w:rsidR="00000000" w:rsidDel="00000000" w:rsidP="00000000" w:rsidRDefault="00000000" w:rsidRPr="00000000">
      <w:pPr>
        <w:numPr>
          <w:ilvl w:val="0"/>
          <w:numId w:val="1"/>
        </w:numPr>
        <w:pBdr/>
        <w:spacing w:after="0" w:before="0" w:lineRule="auto"/>
        <w:ind w:left="720" w:hanging="360"/>
        <w:contextualSpacing w:val="1"/>
        <w:jc w:val="both"/>
        <w:rPr>
          <w:color w:val="000000"/>
        </w:rPr>
      </w:pPr>
      <w:r w:rsidDel="00000000" w:rsidR="00000000" w:rsidRPr="00000000">
        <w:rPr>
          <w:rFonts w:ascii="Helvetica Neue" w:cs="Helvetica Neue" w:eastAsia="Helvetica Neue" w:hAnsi="Helvetica Neue"/>
          <w:rtl w:val="0"/>
        </w:rPr>
        <w:t xml:space="preserve">Cuatro salas de juntas adjuntas que </w:t>
      </w:r>
      <w:r w:rsidDel="00000000" w:rsidR="00000000" w:rsidRPr="00000000">
        <w:rPr>
          <w:rFonts w:ascii="Helvetica Neue" w:cs="Helvetica Neue" w:eastAsia="Helvetica Neue" w:hAnsi="Helvetica Neue"/>
          <w:color w:val="000000"/>
          <w:rtl w:val="0"/>
        </w:rPr>
        <w:t xml:space="preserve">individualmente abarcan desde 68 a 147 metros cuadrados</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Fonts w:ascii="Helvetica Neue" w:cs="Helvetica Neue" w:eastAsia="Helvetica Neue" w:hAnsi="Helvetica Neue"/>
          <w:rtl w:val="0"/>
        </w:rPr>
        <w:t xml:space="preserve">Un impresionante </w:t>
      </w:r>
      <w:r w:rsidDel="00000000" w:rsidR="00000000" w:rsidRPr="00000000">
        <w:rPr>
          <w:rFonts w:ascii="Helvetica Neue" w:cs="Helvetica Neue" w:eastAsia="Helvetica Neue" w:hAnsi="Helvetica Neue"/>
          <w:i w:val="1"/>
          <w:rtl w:val="0"/>
        </w:rPr>
        <w:t xml:space="preserve">foyer</w:t>
      </w:r>
      <w:r w:rsidDel="00000000" w:rsidR="00000000" w:rsidRPr="00000000">
        <w:rPr>
          <w:rFonts w:ascii="Helvetica Neue" w:cs="Helvetica Neue" w:eastAsia="Helvetica Neue" w:hAnsi="Helvetica Neue"/>
          <w:rtl w:val="0"/>
        </w:rPr>
        <w:t xml:space="preserve"> de más de </w:t>
      </w:r>
      <w:r w:rsidDel="00000000" w:rsidR="00000000" w:rsidRPr="00000000">
        <w:rPr>
          <w:rFonts w:ascii="Helvetica Neue" w:cs="Helvetica Neue" w:eastAsia="Helvetica Neue" w:hAnsi="Helvetica Neue"/>
          <w:color w:val="000000"/>
          <w:rtl w:val="0"/>
        </w:rPr>
        <w:t xml:space="preserve">1,300 metros cuadrados</w:t>
      </w:r>
      <w:r w:rsidDel="00000000" w:rsidR="00000000" w:rsidRPr="00000000">
        <w:rPr>
          <w:rFonts w:ascii="Helvetica Neue" w:cs="Helvetica Neue" w:eastAsia="Helvetica Neue" w:hAnsi="Helvetica Neue"/>
          <w:rtl w:val="0"/>
        </w:rPr>
        <w:t xml:space="preserve"> como una versátil antesala al evento</w:t>
      </w:r>
    </w:p>
    <w:p w:rsidR="00000000" w:rsidDel="00000000" w:rsidP="00000000" w:rsidRDefault="00000000" w:rsidRPr="00000000">
      <w:pPr>
        <w:pBdr/>
        <w:contextualSpacing w:val="0"/>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Cada espacio está equipado con internet de alta velocidad y listo para transmitir audio y video, incluyendo un completo equipo para presentaciones. Un dedicado grupo de colaboradores de servicio que incluye proveedores, productores y expertos en tecnología está siempre disponible, listo para dar apoyo y mejorar la experiencia del huésped.</w:t>
      </w:r>
    </w:p>
    <w:p w:rsidR="00000000" w:rsidDel="00000000" w:rsidP="00000000" w:rsidRDefault="00000000" w:rsidRPr="00000000">
      <w:pPr>
        <w:pBdr/>
        <w:contextualSpacing w:val="0"/>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 los años, hemos observado una creciente demanda de espacios para juntas y convenciones en Vallarta. El Centro de Convenciones ofrece instalaciones nuevas y espaciosas que no sólo satisfacen las necesidades de estos grupos más grandes, sino que también muestran la magia de la región”, dijo Juan Carlos Salmón, gerente de ventas corporativas y marketing en Vidanta Nuevo Vallarta. “Ahora los huéspedes pueden disfrutar una oferta culturalmente impresionante con la experiencia de impecable servicio característico de Vidanta”.</w:t>
      </w:r>
    </w:p>
    <w:p w:rsidR="00000000" w:rsidDel="00000000" w:rsidP="00000000" w:rsidRDefault="00000000" w:rsidRPr="00000000">
      <w:pPr>
        <w:pBdr/>
        <w:contextualSpacing w:val="0"/>
        <w:jc w:val="both"/>
        <w:rPr>
          <w:rFonts w:ascii="Helvetica Neue" w:cs="Helvetica Neue" w:eastAsia="Helvetica Neue" w:hAnsi="Helvetica Neue"/>
          <w:color w:val="0000ff"/>
          <w:highlight w:val="yellow"/>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Centro de Convenciones es el complemento perfecto para las ya existentes instalaciones para eventos en Vidanta Nuevo Vallarta, que incluyen dos salones de baile y tres salas de junta, así como el Santuario Bar + Lounge, el área de playa de The Grand Mayan y dos íntimos Jardines Secretos, entre otros espacios dentro del resort.</w:t>
      </w:r>
    </w:p>
    <w:p w:rsidR="00000000" w:rsidDel="00000000" w:rsidP="00000000" w:rsidRDefault="00000000" w:rsidRPr="00000000">
      <w:pPr>
        <w:pBdr/>
        <w:contextualSpacing w:val="0"/>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grupos que utilicen el Centro de Convenciones tendrán acceso a los cinco hoteles del complejo de Vidanta Nuevo Vallarta, que suman más de 2,200 habitaciones y una selección de 38 bares y restaurantes; 27 piscinas, más de un kilómetro y medio de playa, dos spas de clase mundial –Brio y Spatium–, entretenimiento nocturno en Santuario, la Academia de Golf Jack Nicklaus, y dos campos de golf de campeonato diseñados por Jack Nicklaus y Greg Norman. Vidanta Nuevo Vallarta ofrece actividades y amenidades para grupos de cualquier tamaño.</w:t>
      </w:r>
    </w:p>
    <w:p w:rsidR="00000000" w:rsidDel="00000000" w:rsidP="00000000" w:rsidRDefault="00000000" w:rsidRPr="00000000">
      <w:pPr>
        <w:pBdr/>
        <w:contextualSpacing w:val="0"/>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más información sobre el Centro de Convenciones en Vidanta Nuevo Vallarta y la variedad de opciones de hoteles y destinos vacacionales del Grupo, por favor visite </w:t>
      </w:r>
      <w:hyperlink r:id="rId5">
        <w:r w:rsidDel="00000000" w:rsidR="00000000" w:rsidRPr="00000000">
          <w:rPr>
            <w:rFonts w:ascii="Helvetica Neue" w:cs="Helvetica Neue" w:eastAsia="Helvetica Neue" w:hAnsi="Helvetica Neue"/>
            <w:color w:val="1155cc"/>
            <w:u w:val="single"/>
            <w:rtl w:val="0"/>
          </w:rPr>
          <w:t xml:space="preserve">vidanta.com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pPr>
        <w:pBdr/>
        <w:contextualSpacing w:val="0"/>
        <w:jc w:val="both"/>
        <w:rPr>
          <w:rFonts w:ascii="Helvetica Neue" w:cs="Helvetica Neue" w:eastAsia="Helvetica Neue" w:hAnsi="Helvetica Neue"/>
          <w:color w:val="0000ff"/>
          <w:highlight w:val="white"/>
          <w:u w:val="single"/>
        </w:rPr>
      </w:pPr>
      <w:r w:rsidDel="00000000" w:rsidR="00000000" w:rsidRPr="00000000">
        <w:rPr>
          <w:rtl w:val="0"/>
        </w:rPr>
      </w:r>
    </w:p>
    <w:p w:rsidR="00000000" w:rsidDel="00000000" w:rsidP="00000000" w:rsidRDefault="00000000" w:rsidRPr="00000000">
      <w:pPr>
        <w:pBdr/>
        <w:contextualSpacing w:val="0"/>
        <w:jc w:val="cente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pPr>
        <w:pBdr/>
        <w:contextualSpacing w:val="0"/>
        <w:jc w:val="both"/>
        <w:rPr>
          <w:rFonts w:ascii="Helvetica Neue" w:cs="Helvetica Neue" w:eastAsia="Helvetica Neue" w:hAnsi="Helvetica Neue"/>
          <w:color w:val="0000ff"/>
          <w:highlight w:val="white"/>
          <w:u w:val="single"/>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b w:val="1"/>
          <w:sz w:val="22"/>
          <w:szCs w:val="22"/>
          <w:highlight w:val="white"/>
        </w:rPr>
      </w:pPr>
      <w:r w:rsidDel="00000000" w:rsidR="00000000" w:rsidRPr="00000000">
        <w:rPr>
          <w:rFonts w:ascii="Helvetica Neue" w:cs="Helvetica Neue" w:eastAsia="Helvetica Neue" w:hAnsi="Helvetica Neue"/>
          <w:b w:val="1"/>
          <w:sz w:val="22"/>
          <w:szCs w:val="22"/>
          <w:highlight w:val="white"/>
          <w:rtl w:val="0"/>
        </w:rPr>
        <w:t xml:space="preserve">Acerca de Grupo Vidanta</w:t>
      </w:r>
    </w:p>
    <w:p w:rsidR="00000000" w:rsidDel="00000000" w:rsidP="00000000" w:rsidRDefault="00000000" w:rsidRPr="00000000">
      <w:pPr>
        <w:pBdr/>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Grupo Vidanta es un desarrollador turístico en México y Latinoamérica con experiencia en arquitectura, diseño de productos, construcción y operaciones. La compañía se especializa en el desarrollo y operación de resorts de lujo y hoteles en México y tiene al Grand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resorts.</w:t>
      </w:r>
    </w:p>
    <w:p w:rsidR="00000000" w:rsidDel="00000000" w:rsidP="00000000" w:rsidRDefault="00000000" w:rsidRPr="00000000">
      <w:pPr>
        <w:pBdr/>
        <w:contextualSpacing w:val="0"/>
        <w:jc w:val="both"/>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El enfoque visionario de Grupo Vidanta sobre el desarrollo de destinos de playa de lujo trae los sueños de vacaciones a la vida real en los resorts Vidanta y los mega resorts en las costas de los destinos más cotizados de México —Nuevo Vallarta, Riviera Maya, Los Cabos, Acapulco, Puerto Peñasco, Puerto Vallarta y Mazatlán— con marcas como Grand Luxxe, The Grand Bliss, The Grand Mayan, The Bliss, Mayan Palace, Ocean Breeze y Sea Garden, así como otras en desarrollo.</w:t>
      </w:r>
    </w:p>
    <w:p w:rsidR="00000000" w:rsidDel="00000000" w:rsidP="00000000" w:rsidRDefault="00000000" w:rsidRPr="00000000">
      <w:pPr>
        <w:pBdr/>
        <w:contextualSpacing w:val="0"/>
        <w:jc w:val="both"/>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pBdr/>
        <w:contextualSpacing w:val="0"/>
        <w:jc w:val="both"/>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Grupo Vidanta fue fundado por Daniel Chávez Morán en 1974 y opera dos fundaciones para enriquecer la vida de los latinoamericanos. Para más información, visita </w:t>
      </w:r>
      <w:hyperlink r:id="rId6">
        <w:r w:rsidDel="00000000" w:rsidR="00000000" w:rsidRPr="00000000">
          <w:rPr>
            <w:rFonts w:ascii="Helvetica Neue" w:cs="Helvetica Neue" w:eastAsia="Helvetica Neue" w:hAnsi="Helvetica Neue"/>
            <w:color w:val="1155cc"/>
            <w:sz w:val="22"/>
            <w:szCs w:val="22"/>
            <w:highlight w:val="white"/>
            <w:u w:val="single"/>
            <w:rtl w:val="0"/>
          </w:rPr>
          <w:t xml:space="preserve">http://vidanta.com/</w:t>
        </w:r>
      </w:hyperlink>
      <w:r w:rsidDel="00000000" w:rsidR="00000000" w:rsidRPr="00000000">
        <w:rPr>
          <w:rFonts w:ascii="Helvetica Neue" w:cs="Helvetica Neue" w:eastAsia="Helvetica Neue" w:hAnsi="Helvetica Neue"/>
          <w:sz w:val="22"/>
          <w:szCs w:val="22"/>
          <w:highlight w:val="white"/>
          <w:rtl w:val="0"/>
        </w:rPr>
        <w:t xml:space="preserve"> </w:t>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CONTACTO</w:t>
      </w:r>
    </w:p>
    <w:p w:rsidR="00000000" w:rsidDel="00000000" w:rsidP="00000000" w:rsidRDefault="00000000" w:rsidRPr="00000000">
      <w:pPr>
        <w:pBdr/>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Sandy Machuca</w:t>
      </w:r>
    </w:p>
    <w:p w:rsidR="00000000" w:rsidDel="00000000" w:rsidP="00000000" w:rsidRDefault="00000000" w:rsidRPr="00000000">
      <w:pPr>
        <w:pBdr/>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sandy@anothercompany.com.mx</w:t>
      </w:r>
    </w:p>
    <w:p w:rsidR="00000000" w:rsidDel="00000000" w:rsidP="00000000" w:rsidRDefault="00000000" w:rsidRPr="00000000">
      <w:pPr>
        <w:pBdr/>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 Company</w:t>
      </w:r>
    </w:p>
    <w:p w:rsidR="00000000" w:rsidDel="00000000" w:rsidP="00000000" w:rsidRDefault="00000000" w:rsidRPr="00000000">
      <w:pPr>
        <w:pBdr/>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 6392.1100 ext. 3415</w:t>
      </w:r>
    </w:p>
    <w:p w:rsidR="00000000" w:rsidDel="00000000" w:rsidP="00000000" w:rsidRDefault="00000000" w:rsidRPr="00000000">
      <w:pPr>
        <w:pBdr/>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 04455 2270 5536</w:t>
      </w:r>
    </w:p>
    <w:p w:rsidR="00000000" w:rsidDel="00000000" w:rsidP="00000000" w:rsidRDefault="00000000" w:rsidRPr="00000000">
      <w:pPr>
        <w:pBdr/>
        <w:contextualSpacing w:val="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320"/>
        <w:tab w:val="right" w:pos="8640"/>
      </w:tabs>
      <w:spacing w:before="720" w:lineRule="auto"/>
      <w:contextualSpacing w:val="0"/>
      <w:jc w:val="center"/>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1447800</wp:posOffset>
          </wp:positionH>
          <wp:positionV relativeFrom="paragraph">
            <wp:posOffset>476250</wp:posOffset>
          </wp:positionV>
          <wp:extent cx="2597896" cy="683641"/>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97896" cy="6836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80" w:line="240" w:lineRule="auto"/>
      <w:ind w:left="0" w:right="0" w:firstLine="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0"/>
      <w:pBdr/>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0"/>
      <w:pBdr/>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0"/>
      <w:pBdr/>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pBdr/>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0"/>
      <w:pBdr/>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0"/>
      <w:pBdr/>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vidanta.com" TargetMode="External"/><Relationship Id="rId6" Type="http://schemas.openxmlformats.org/officeDocument/2006/relationships/hyperlink" Target="http://vidanta.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