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4F67" w14:textId="32BCBDA7" w:rsidR="00D6254D" w:rsidRPr="0035363B" w:rsidRDefault="00492051" w:rsidP="00D6254D">
      <w:pPr>
        <w:rPr>
          <w:rFonts w:cstheme="minorHAnsi"/>
          <w:b/>
          <w:bCs/>
          <w:color w:val="C3001E"/>
          <w:sz w:val="32"/>
          <w:szCs w:val="32"/>
          <w:lang w:val="en-US"/>
        </w:rPr>
      </w:pPr>
      <w:r>
        <w:rPr>
          <w:rFonts w:cstheme="minorHAnsi"/>
          <w:b/>
          <w:bCs/>
          <w:color w:val="C3001E"/>
          <w:sz w:val="32"/>
          <w:szCs w:val="32"/>
          <w:lang w:val="en-US"/>
        </w:rPr>
        <w:t>MEDIA BACKGROUNDER</w:t>
      </w:r>
    </w:p>
    <w:p w14:paraId="1262CE67" w14:textId="77777777" w:rsidR="00D6254D" w:rsidRPr="00BC199C" w:rsidRDefault="00D6254D" w:rsidP="00D6254D">
      <w:pPr>
        <w:rPr>
          <w:rFonts w:cstheme="minorHAnsi"/>
          <w:sz w:val="20"/>
          <w:szCs w:val="20"/>
          <w:lang w:val="en-US"/>
        </w:rPr>
      </w:pPr>
    </w:p>
    <w:p w14:paraId="739510CC" w14:textId="77777777" w:rsidR="00D6254D" w:rsidRPr="00BC199C" w:rsidRDefault="00D6254D" w:rsidP="00D6254D">
      <w:pPr>
        <w:rPr>
          <w:rFonts w:cstheme="minorHAnsi"/>
          <w:sz w:val="20"/>
          <w:szCs w:val="20"/>
          <w:lang w:val="en-US"/>
        </w:rPr>
      </w:pPr>
    </w:p>
    <w:p w14:paraId="35D0ED31" w14:textId="0F2FDA02" w:rsidR="00D6254D" w:rsidRDefault="004A327C" w:rsidP="00D6254D">
      <w:pPr>
        <w:rPr>
          <w:rFonts w:cstheme="minorHAnsi"/>
          <w:b/>
          <w:bCs/>
          <w:szCs w:val="19"/>
          <w:lang w:val="en-US"/>
        </w:rPr>
      </w:pPr>
      <w:r>
        <w:rPr>
          <w:rFonts w:cstheme="minorHAnsi"/>
          <w:b/>
          <w:bCs/>
          <w:szCs w:val="19"/>
          <w:lang w:val="en-US"/>
        </w:rPr>
        <w:t xml:space="preserve">Mex, Switzerland, </w:t>
      </w:r>
      <w:r w:rsidR="00492051">
        <w:rPr>
          <w:rFonts w:cstheme="minorHAnsi"/>
          <w:b/>
          <w:bCs/>
          <w:szCs w:val="19"/>
          <w:lang w:val="en-US"/>
        </w:rPr>
        <w:t>20</w:t>
      </w:r>
      <w:r w:rsidR="00492051" w:rsidRPr="00492051">
        <w:rPr>
          <w:rFonts w:cstheme="minorHAnsi"/>
          <w:b/>
          <w:bCs/>
          <w:szCs w:val="19"/>
          <w:vertAlign w:val="superscript"/>
          <w:lang w:val="en-US"/>
        </w:rPr>
        <w:t>th</w:t>
      </w:r>
      <w:r w:rsidR="00492051">
        <w:rPr>
          <w:rFonts w:cstheme="minorHAnsi"/>
          <w:b/>
          <w:bCs/>
          <w:szCs w:val="19"/>
          <w:lang w:val="en-US"/>
        </w:rPr>
        <w:t xml:space="preserve"> October</w:t>
      </w:r>
      <w:r w:rsidR="00EE399C">
        <w:rPr>
          <w:rFonts w:cstheme="minorHAnsi"/>
          <w:b/>
          <w:bCs/>
          <w:szCs w:val="19"/>
          <w:lang w:val="en-US"/>
        </w:rPr>
        <w:t xml:space="preserve"> </w:t>
      </w:r>
      <w:r w:rsidR="00CF0D3C">
        <w:rPr>
          <w:rFonts w:cstheme="minorHAnsi"/>
          <w:b/>
          <w:bCs/>
          <w:szCs w:val="19"/>
          <w:lang w:val="en-US"/>
        </w:rPr>
        <w:t>2022</w:t>
      </w:r>
    </w:p>
    <w:p w14:paraId="0457F1CE" w14:textId="0DC479B3" w:rsidR="00492051" w:rsidRPr="00492051" w:rsidRDefault="00492051" w:rsidP="00492051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/>
          <w:sz w:val="20"/>
          <w:szCs w:val="20"/>
          <w:lang w:val="en-US" w:eastAsia="ja-JP"/>
        </w:rPr>
      </w:pPr>
    </w:p>
    <w:p w14:paraId="3CE41665" w14:textId="77777777" w:rsidR="00492051" w:rsidRPr="00492051" w:rsidRDefault="00492051" w:rsidP="00492051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/>
          <w:sz w:val="20"/>
          <w:szCs w:val="20"/>
          <w:lang w:val="en-US" w:eastAsia="ja-JP"/>
        </w:rPr>
      </w:pPr>
    </w:p>
    <w:p w14:paraId="153C0121" w14:textId="77777777" w:rsidR="00492051" w:rsidRPr="00492051" w:rsidRDefault="00492051" w:rsidP="00492051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/>
          <w:sz w:val="20"/>
          <w:szCs w:val="20"/>
          <w:lang w:val="en-US" w:eastAsia="ja-JP"/>
        </w:rPr>
      </w:pPr>
      <w:r w:rsidRPr="00492051">
        <w:rPr>
          <w:rFonts w:eastAsia="Times New Roman" w:cstheme="minorHAnsi"/>
          <w:b/>
          <w:bCs/>
          <w:color w:val="000000"/>
          <w:sz w:val="20"/>
          <w:szCs w:val="20"/>
          <w:lang w:val="en-US" w:eastAsia="ja-JP"/>
        </w:rPr>
        <w:t xml:space="preserve">BOBST at K 2022: Partnerships making innovation possible </w:t>
      </w:r>
    </w:p>
    <w:p w14:paraId="3A03F9B3" w14:textId="77777777" w:rsidR="00492051" w:rsidRPr="00492051" w:rsidRDefault="00492051" w:rsidP="00492051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/>
          <w:sz w:val="20"/>
          <w:szCs w:val="20"/>
          <w:lang w:val="en-US" w:eastAsia="ja-JP"/>
        </w:rPr>
      </w:pPr>
    </w:p>
    <w:p w14:paraId="458F1009" w14:textId="77777777" w:rsidR="00492051" w:rsidRPr="00492051" w:rsidRDefault="00492051" w:rsidP="00492051">
      <w:pPr>
        <w:shd w:val="clear" w:color="auto" w:fill="FFFFFF"/>
        <w:spacing w:line="276" w:lineRule="auto"/>
        <w:rPr>
          <w:rFonts w:eastAsia="Times New Roman" w:cstheme="minorHAnsi"/>
          <w:color w:val="000000"/>
          <w:sz w:val="20"/>
          <w:szCs w:val="20"/>
          <w:lang w:val="en-US" w:eastAsia="ja-JP"/>
        </w:rPr>
      </w:pPr>
      <w:r w:rsidRPr="00492051">
        <w:rPr>
          <w:rFonts w:eastAsia="Times New Roman" w:cstheme="minorHAnsi"/>
          <w:color w:val="000000"/>
          <w:sz w:val="20"/>
          <w:szCs w:val="20"/>
          <w:lang w:val="en-US" w:eastAsia="ja-JP"/>
        </w:rPr>
        <w:t xml:space="preserve">The </w:t>
      </w:r>
      <w:proofErr w:type="spellStart"/>
      <w:r w:rsidRPr="00492051">
        <w:rPr>
          <w:rFonts w:eastAsia="Times New Roman" w:cstheme="minorHAnsi"/>
          <w:color w:val="000000"/>
          <w:sz w:val="20"/>
          <w:szCs w:val="20"/>
          <w:lang w:val="en-US" w:eastAsia="ja-JP"/>
        </w:rPr>
        <w:t>oneBARRIER</w:t>
      </w:r>
      <w:proofErr w:type="spellEnd"/>
      <w:r w:rsidRPr="00492051">
        <w:rPr>
          <w:rFonts w:eastAsia="Times New Roman" w:cstheme="minorHAnsi"/>
          <w:color w:val="000000"/>
          <w:sz w:val="20"/>
          <w:szCs w:val="20"/>
          <w:lang w:val="en-US" w:eastAsia="ja-JP"/>
        </w:rPr>
        <w:t xml:space="preserve"> solutions on show at K 2022 speak to the power of partnerships. The success of </w:t>
      </w:r>
      <w:proofErr w:type="spellStart"/>
      <w:r w:rsidRPr="00492051">
        <w:rPr>
          <w:rFonts w:eastAsia="Times New Roman" w:cstheme="minorHAnsi"/>
          <w:color w:val="000000"/>
          <w:sz w:val="20"/>
          <w:szCs w:val="20"/>
          <w:lang w:val="en-US" w:eastAsia="ja-JP"/>
        </w:rPr>
        <w:t>oneBARRIER</w:t>
      </w:r>
      <w:proofErr w:type="spellEnd"/>
      <w:r w:rsidRPr="00492051">
        <w:rPr>
          <w:rFonts w:eastAsia="Times New Roman" w:cstheme="minorHAnsi"/>
          <w:color w:val="000000"/>
          <w:sz w:val="20"/>
          <w:szCs w:val="20"/>
          <w:lang w:val="en-US" w:eastAsia="ja-JP"/>
        </w:rPr>
        <w:t xml:space="preserve"> has required all the experts in the different fields to come together and bring their expertise to the table. Similarly, elements of the One complete solution – on show at the Open House at Bobst Bielefeld – are made possible through vital partnerships.</w:t>
      </w:r>
    </w:p>
    <w:p w14:paraId="1C66F21A" w14:textId="77777777" w:rsidR="00492051" w:rsidRPr="00492051" w:rsidRDefault="00492051" w:rsidP="00492051">
      <w:pPr>
        <w:shd w:val="clear" w:color="auto" w:fill="FFFFFF"/>
        <w:spacing w:line="276" w:lineRule="auto"/>
        <w:rPr>
          <w:rFonts w:eastAsia="Times New Roman" w:cstheme="minorHAnsi"/>
          <w:color w:val="000000"/>
          <w:sz w:val="20"/>
          <w:szCs w:val="20"/>
          <w:lang w:val="en-US" w:eastAsia="ja-JP"/>
        </w:rPr>
      </w:pPr>
    </w:p>
    <w:p w14:paraId="34629834" w14:textId="77777777" w:rsidR="00492051" w:rsidRPr="00492051" w:rsidRDefault="00492051" w:rsidP="00492051">
      <w:pPr>
        <w:shd w:val="clear" w:color="auto" w:fill="FFFFFF"/>
        <w:spacing w:line="276" w:lineRule="auto"/>
        <w:rPr>
          <w:rFonts w:eastAsia="Times New Roman" w:cstheme="minorHAnsi"/>
          <w:color w:val="000000"/>
          <w:sz w:val="20"/>
          <w:szCs w:val="20"/>
          <w:lang w:val="en-US" w:eastAsia="ja-JP"/>
        </w:rPr>
      </w:pPr>
      <w:r w:rsidRPr="00492051">
        <w:rPr>
          <w:rFonts w:eastAsia="Times New Roman" w:cstheme="minorHAnsi"/>
          <w:color w:val="000000"/>
          <w:sz w:val="20"/>
          <w:szCs w:val="20"/>
          <w:lang w:val="en-US" w:eastAsia="ja-JP"/>
        </w:rPr>
        <w:t xml:space="preserve">Below is a summary of all the partners involved in each project. </w:t>
      </w:r>
    </w:p>
    <w:p w14:paraId="4575C4AD" w14:textId="77777777" w:rsidR="00492051" w:rsidRPr="00492051" w:rsidRDefault="00492051" w:rsidP="00492051">
      <w:pPr>
        <w:shd w:val="clear" w:color="auto" w:fill="FFFFFF"/>
        <w:spacing w:line="276" w:lineRule="auto"/>
        <w:rPr>
          <w:rFonts w:eastAsia="Times New Roman" w:cstheme="minorHAnsi"/>
          <w:color w:val="000000"/>
          <w:sz w:val="20"/>
          <w:szCs w:val="20"/>
          <w:lang w:val="en-US" w:eastAsia="ja-JP"/>
        </w:rPr>
      </w:pPr>
    </w:p>
    <w:p w14:paraId="52070D1E" w14:textId="77777777" w:rsidR="00492051" w:rsidRPr="00492051" w:rsidRDefault="00492051" w:rsidP="00492051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ja-JP"/>
        </w:rPr>
      </w:pPr>
      <w:r w:rsidRPr="00492051"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ja-JP"/>
        </w:rPr>
        <w:t xml:space="preserve">Partners involved in </w:t>
      </w:r>
      <w:proofErr w:type="spellStart"/>
      <w:r w:rsidRPr="00492051"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ja-JP"/>
        </w:rPr>
        <w:t>oneBARRIER</w:t>
      </w:r>
      <w:proofErr w:type="spellEnd"/>
      <w:r w:rsidRPr="00492051"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ja-JP"/>
        </w:rPr>
        <w:t xml:space="preserve"> </w:t>
      </w:r>
      <w:proofErr w:type="spellStart"/>
      <w:r w:rsidRPr="00492051"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ja-JP"/>
        </w:rPr>
        <w:t>PrimeCycle</w:t>
      </w:r>
      <w:proofErr w:type="spellEnd"/>
    </w:p>
    <w:p w14:paraId="0369F3E2" w14:textId="77777777" w:rsidR="00492051" w:rsidRDefault="00492051" w:rsidP="00492051">
      <w:pPr>
        <w:spacing w:before="100" w:beforeAutospacing="1" w:after="100" w:afterAutospacing="1"/>
        <w:rPr>
          <w:rFonts w:eastAsia="DengXian" w:cstheme="minorHAnsi"/>
          <w:sz w:val="20"/>
          <w:szCs w:val="20"/>
          <w:lang w:val="en-US" w:eastAsia="en-US" w:bidi="en-US"/>
        </w:rPr>
      </w:pPr>
      <w:r w:rsidRPr="00492051">
        <w:rPr>
          <w:rFonts w:eastAsia="DengXian" w:cstheme="minorHAnsi"/>
          <w:b/>
          <w:bCs/>
          <w:sz w:val="20"/>
          <w:szCs w:val="20"/>
          <w:lang w:val="en-US" w:eastAsia="en-US" w:bidi="en-US"/>
        </w:rPr>
        <w:t>Dow Packaging and Specialty Plastics</w:t>
      </w:r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is one of the world’s largest producers of polyethylene resins, deliver high performing technologies for end use markets. </w:t>
      </w:r>
      <w:r>
        <w:rPr>
          <w:rFonts w:eastAsia="DengXian" w:cstheme="minorHAnsi"/>
          <w:sz w:val="20"/>
          <w:szCs w:val="20"/>
          <w:lang w:val="en-US" w:eastAsia="en-US" w:bidi="en-US"/>
        </w:rPr>
        <w:br/>
      </w:r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The company’s role in the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oneBARRIER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PrimeCycle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project was to identify the right resins and recommend film structures to enable a package designed for recyclability.</w:t>
      </w:r>
    </w:p>
    <w:p w14:paraId="0215FEF9" w14:textId="2AF4DEF2" w:rsidR="00492051" w:rsidRPr="00492051" w:rsidRDefault="00492051" w:rsidP="00492051">
      <w:pPr>
        <w:spacing w:before="100" w:beforeAutospacing="1" w:after="100" w:afterAutospacing="1"/>
        <w:rPr>
          <w:rFonts w:eastAsia="DengXian" w:cstheme="minorHAnsi"/>
          <w:sz w:val="20"/>
          <w:szCs w:val="20"/>
          <w:lang w:val="en-US" w:eastAsia="en-US" w:bidi="en-US"/>
        </w:rPr>
      </w:pPr>
      <w:r w:rsidRPr="00492051">
        <w:rPr>
          <w:rFonts w:eastAsia="DengXian" w:cstheme="minorHAnsi"/>
          <w:b/>
          <w:bCs/>
          <w:sz w:val="20"/>
          <w:szCs w:val="20"/>
          <w:lang w:val="en-US" w:eastAsia="en-US" w:bidi="en-US"/>
        </w:rPr>
        <w:t>Zermatt</w:t>
      </w:r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has been manufacturing flexible packaging since 1970 and is known for its innovation, excellence, </w:t>
      </w:r>
      <w:proofErr w:type="gram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flexibility</w:t>
      </w:r>
      <w:proofErr w:type="gram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and tailor-made solutions.</w:t>
      </w:r>
      <w:r>
        <w:rPr>
          <w:rFonts w:eastAsia="DengXian" w:cstheme="minorHAnsi"/>
          <w:sz w:val="20"/>
          <w:szCs w:val="20"/>
          <w:lang w:val="en-US" w:eastAsia="en-US" w:bidi="en-US"/>
        </w:rPr>
        <w:br/>
      </w:r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In the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PrimeCycle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project, Zermatt’s task was to create a structure of mono PE film that would not only retain its high efficiency in the extruder machine but also in the subsequent production steps.</w:t>
      </w:r>
    </w:p>
    <w:p w14:paraId="20E33973" w14:textId="77777777" w:rsidR="00492051" w:rsidRPr="00492051" w:rsidRDefault="00492051" w:rsidP="00492051">
      <w:pPr>
        <w:rPr>
          <w:rFonts w:eastAsia="DengXian" w:cstheme="minorHAnsi"/>
          <w:sz w:val="20"/>
          <w:szCs w:val="20"/>
          <w:lang w:val="en-US" w:eastAsia="en-US" w:bidi="en-US"/>
        </w:rPr>
      </w:pPr>
      <w:proofErr w:type="spellStart"/>
      <w:r w:rsidRPr="00492051">
        <w:rPr>
          <w:rFonts w:eastAsia="DengXian" w:cstheme="minorHAnsi"/>
          <w:b/>
          <w:bCs/>
          <w:sz w:val="20"/>
          <w:szCs w:val="20"/>
          <w:lang w:val="en-US" w:eastAsia="en-US" w:bidi="en-US"/>
        </w:rPr>
        <w:t>Michelman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is well-known as an expert in the development of barrier and functional coatings, as well as digital printing-press primers and OPVs (overprint varnishes) that are used in the production of consumer and industrial packaging, paper products, labels, and commercially printed materials.  </w:t>
      </w:r>
    </w:p>
    <w:p w14:paraId="05AD2396" w14:textId="068024EB" w:rsidR="00492051" w:rsidRPr="00492051" w:rsidRDefault="00492051" w:rsidP="00492051">
      <w:pPr>
        <w:rPr>
          <w:rFonts w:eastAsia="DengXian" w:cstheme="minorHAnsi"/>
          <w:sz w:val="20"/>
          <w:szCs w:val="20"/>
          <w:lang w:val="en-US" w:eastAsia="en-US" w:bidi="en-US"/>
        </w:rPr>
      </w:pP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Michelman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developed a special coating system for the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PrimeCycle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project, including a multifunctional primer, a range of heat seal coatings and an OPV.</w:t>
      </w:r>
    </w:p>
    <w:p w14:paraId="163ABB14" w14:textId="762D66DE" w:rsidR="00492051" w:rsidRPr="00492051" w:rsidRDefault="00492051" w:rsidP="00492051">
      <w:pPr>
        <w:spacing w:before="100" w:beforeAutospacing="1" w:after="100" w:afterAutospacing="1"/>
        <w:rPr>
          <w:rFonts w:eastAsia="DengXian" w:cstheme="minorHAnsi"/>
          <w:sz w:val="20"/>
          <w:szCs w:val="20"/>
          <w:lang w:val="en-US" w:eastAsia="en-US" w:bidi="en-US"/>
        </w:rPr>
      </w:pPr>
      <w:r w:rsidRPr="00492051">
        <w:rPr>
          <w:rFonts w:eastAsia="DengXian" w:cstheme="minorHAnsi"/>
          <w:b/>
          <w:bCs/>
          <w:sz w:val="20"/>
          <w:szCs w:val="20"/>
          <w:lang w:val="en-US" w:eastAsia="en-US" w:bidi="en-US"/>
        </w:rPr>
        <w:t>Sun Chemical</w:t>
      </w:r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is a leading supplier of inks, coatings, and adhesives. The company is working continuously to develop sustainable solutions. </w:t>
      </w:r>
      <w:r>
        <w:rPr>
          <w:rFonts w:eastAsia="DengXian" w:cstheme="minorHAnsi"/>
          <w:sz w:val="20"/>
          <w:szCs w:val="20"/>
          <w:lang w:val="en-US" w:eastAsia="en-US" w:bidi="en-US"/>
        </w:rPr>
        <w:br/>
      </w:r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With reference to the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oneBARRIER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PrimeCycle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project, Sun Chemical’s role was to develop an adhesive, to laminate multiple film layers into a mono-material structure and serve as an oxygen barrier. The company also collaborated for the supply of coating primers and inks.</w:t>
      </w:r>
    </w:p>
    <w:p w14:paraId="184F94E4" w14:textId="77777777" w:rsidR="00492051" w:rsidRPr="00492051" w:rsidRDefault="00492051" w:rsidP="00492051">
      <w:pPr>
        <w:rPr>
          <w:rFonts w:eastAsia="DengXian" w:cstheme="minorHAnsi"/>
          <w:sz w:val="20"/>
          <w:szCs w:val="20"/>
          <w:lang w:val="en-US" w:eastAsia="en-US" w:bidi="en-US"/>
        </w:rPr>
      </w:pPr>
      <w:r w:rsidRPr="00492051">
        <w:rPr>
          <w:rFonts w:eastAsia="DengXian" w:cstheme="minorHAnsi"/>
          <w:b/>
          <w:bCs/>
          <w:sz w:val="20"/>
          <w:szCs w:val="20"/>
          <w:lang w:val="en-US" w:eastAsia="en-US" w:bidi="en-US"/>
        </w:rPr>
        <w:t>BOBST</w:t>
      </w:r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is one of the world’s leading suppliers of substrate processing, </w:t>
      </w:r>
      <w:proofErr w:type="gram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printing</w:t>
      </w:r>
      <w:proofErr w:type="gram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and converting equipment and services for the label, flexible packaging, folding carton and corrugated board industries. </w:t>
      </w:r>
    </w:p>
    <w:p w14:paraId="3281DFA1" w14:textId="77777777" w:rsidR="00492051" w:rsidRPr="00492051" w:rsidRDefault="00492051" w:rsidP="00492051">
      <w:pPr>
        <w:rPr>
          <w:rFonts w:eastAsia="DengXian" w:cstheme="minorHAnsi"/>
          <w:sz w:val="20"/>
          <w:szCs w:val="20"/>
          <w:lang w:val="en-US" w:eastAsia="en-US" w:bidi="en-US"/>
        </w:rPr>
      </w:pPr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For the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oneBARRIER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PrimeCycle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project, we contributed our two well-established vacuum metallizing deposition processes (transparent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AlOx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or opaque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AluBond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(on EXPERT K5 vacuum metallizer)), and our process for identifying the right coating method and drying profile for primer (on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oneBARRIER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EXPERT COATER). We also supported with the lamination of barrier adhesive on the BOBST NOVA SX 550 LAMINATOR solventless machine.      </w:t>
      </w:r>
    </w:p>
    <w:p w14:paraId="3B6CFD2E" w14:textId="77777777" w:rsidR="00492051" w:rsidRPr="00492051" w:rsidRDefault="00492051" w:rsidP="00492051">
      <w:pPr>
        <w:rPr>
          <w:rFonts w:eastAsia="DengXian" w:cstheme="minorHAnsi"/>
          <w:sz w:val="20"/>
          <w:szCs w:val="20"/>
          <w:lang w:val="en-US" w:eastAsia="en-US" w:bidi="en-US"/>
        </w:rPr>
      </w:pPr>
    </w:p>
    <w:p w14:paraId="0A632D7B" w14:textId="77777777" w:rsidR="00A03EF1" w:rsidRDefault="00A03EF1" w:rsidP="00492051">
      <w:pPr>
        <w:shd w:val="clear" w:color="auto" w:fill="FFFFFF"/>
        <w:spacing w:line="276" w:lineRule="auto"/>
        <w:rPr>
          <w:rFonts w:eastAsia="DengXian" w:cstheme="minorHAnsi"/>
          <w:sz w:val="20"/>
          <w:szCs w:val="20"/>
          <w:lang w:val="en-US" w:eastAsia="en-US" w:bidi="en-US"/>
        </w:rPr>
      </w:pPr>
    </w:p>
    <w:p w14:paraId="3E8DA40C" w14:textId="52C92A28" w:rsidR="00492051" w:rsidRPr="00492051" w:rsidRDefault="00492051" w:rsidP="00492051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ja-JP"/>
        </w:rPr>
      </w:pPr>
      <w:r w:rsidRPr="00492051"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ja-JP"/>
        </w:rPr>
        <w:lastRenderedPageBreak/>
        <w:t xml:space="preserve">Partners involved in </w:t>
      </w:r>
      <w:proofErr w:type="spellStart"/>
      <w:r w:rsidRPr="00492051"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ja-JP"/>
        </w:rPr>
        <w:t>oneBARRIER</w:t>
      </w:r>
      <w:proofErr w:type="spellEnd"/>
      <w:r w:rsidRPr="00492051"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ja-JP"/>
        </w:rPr>
        <w:t xml:space="preserve"> </w:t>
      </w:r>
      <w:proofErr w:type="spellStart"/>
      <w:r w:rsidRPr="00492051"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ja-JP"/>
        </w:rPr>
        <w:t>FibreCycle</w:t>
      </w:r>
      <w:proofErr w:type="spellEnd"/>
    </w:p>
    <w:p w14:paraId="5ADB2DD5" w14:textId="77777777" w:rsidR="00492051" w:rsidRPr="00492051" w:rsidRDefault="00492051" w:rsidP="00492051">
      <w:pPr>
        <w:rPr>
          <w:rFonts w:eastAsia="DengXian" w:cstheme="minorHAnsi"/>
          <w:b/>
          <w:bCs/>
          <w:sz w:val="20"/>
          <w:szCs w:val="20"/>
          <w:lang w:val="en-US" w:eastAsia="en-US" w:bidi="en-US"/>
        </w:rPr>
      </w:pPr>
    </w:p>
    <w:p w14:paraId="257A3D8A" w14:textId="77777777" w:rsidR="00492051" w:rsidRPr="00492051" w:rsidRDefault="00492051" w:rsidP="00492051">
      <w:pPr>
        <w:rPr>
          <w:rFonts w:eastAsia="DengXian" w:cstheme="minorHAnsi"/>
          <w:sz w:val="20"/>
          <w:szCs w:val="20"/>
          <w:lang w:val="en-US" w:eastAsia="en-US" w:bidi="en-US"/>
        </w:rPr>
      </w:pPr>
      <w:proofErr w:type="spellStart"/>
      <w:r w:rsidRPr="00492051">
        <w:rPr>
          <w:rFonts w:eastAsia="DengXian" w:cstheme="minorHAnsi"/>
          <w:b/>
          <w:bCs/>
          <w:sz w:val="20"/>
          <w:szCs w:val="20"/>
          <w:lang w:val="en-US" w:eastAsia="en-US" w:bidi="en-US"/>
        </w:rPr>
        <w:t>Michelman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is well-known as an expert in the development of barrier and functional coatings, as well as digital printing-press primers and OPVs (overprint varnishes) that are used in the production of consumer and industrial packaging, paper products, labels, and commercially printed materials.  </w:t>
      </w:r>
    </w:p>
    <w:p w14:paraId="1DC68524" w14:textId="77777777" w:rsidR="00492051" w:rsidRPr="00492051" w:rsidRDefault="00492051" w:rsidP="00492051">
      <w:pPr>
        <w:rPr>
          <w:rFonts w:eastAsia="Times New Roman" w:cstheme="minorHAnsi"/>
          <w:sz w:val="20"/>
          <w:szCs w:val="20"/>
          <w:lang w:val="en-US" w:eastAsia="en-US"/>
        </w:rPr>
      </w:pPr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For the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oneBARRIER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FibreCycle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project,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Michelman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was responsible for </w:t>
      </w:r>
      <w:r w:rsidRPr="00492051">
        <w:rPr>
          <w:rFonts w:eastAsia="Times New Roman" w:cstheme="minorHAnsi"/>
          <w:sz w:val="20"/>
          <w:szCs w:val="20"/>
          <w:lang w:val="en-US" w:eastAsia="en-US"/>
        </w:rPr>
        <w:t>developing the right chemistry for the paper primer before metal deposition, and again for the topcoat after metallizing.</w:t>
      </w:r>
    </w:p>
    <w:p w14:paraId="63EE8773" w14:textId="77777777" w:rsidR="00492051" w:rsidRPr="00492051" w:rsidRDefault="00492051" w:rsidP="00492051">
      <w:pPr>
        <w:rPr>
          <w:rFonts w:eastAsia="Times New Roman" w:cstheme="minorHAnsi"/>
          <w:sz w:val="20"/>
          <w:szCs w:val="20"/>
          <w:lang w:val="en-US" w:eastAsia="en-US"/>
        </w:rPr>
      </w:pPr>
    </w:p>
    <w:p w14:paraId="50CF2AA8" w14:textId="77777777" w:rsidR="00492051" w:rsidRPr="00492051" w:rsidRDefault="00492051" w:rsidP="00492051">
      <w:pPr>
        <w:rPr>
          <w:rFonts w:eastAsia="Calibri" w:cstheme="minorHAnsi"/>
          <w:sz w:val="20"/>
          <w:szCs w:val="20"/>
          <w:lang w:val="en-GB" w:eastAsia="en-US"/>
        </w:rPr>
      </w:pPr>
      <w:r w:rsidRPr="00492051">
        <w:rPr>
          <w:rFonts w:eastAsia="Calibri" w:cstheme="minorHAnsi"/>
          <w:b/>
          <w:bCs/>
          <w:sz w:val="20"/>
          <w:szCs w:val="20"/>
          <w:lang w:val="en-GB" w:eastAsia="en-US"/>
        </w:rPr>
        <w:t>UPM</w:t>
      </w:r>
      <w:r w:rsidRPr="00492051">
        <w:rPr>
          <w:rFonts w:eastAsia="Calibri" w:cstheme="minorHAnsi"/>
          <w:sz w:val="20"/>
          <w:szCs w:val="20"/>
          <w:lang w:val="en-GB" w:eastAsia="en-US"/>
        </w:rPr>
        <w:t xml:space="preserve"> is a leading producer of packaging and label papers that deliver easy printability, impeccable </w:t>
      </w:r>
      <w:proofErr w:type="gramStart"/>
      <w:r w:rsidRPr="00492051">
        <w:rPr>
          <w:rFonts w:eastAsia="Calibri" w:cstheme="minorHAnsi"/>
          <w:sz w:val="20"/>
          <w:szCs w:val="20"/>
          <w:lang w:val="en-GB" w:eastAsia="en-US"/>
        </w:rPr>
        <w:t>performance</w:t>
      </w:r>
      <w:proofErr w:type="gramEnd"/>
      <w:r w:rsidRPr="00492051">
        <w:rPr>
          <w:rFonts w:eastAsia="Calibri" w:cstheme="minorHAnsi"/>
          <w:sz w:val="20"/>
          <w:szCs w:val="20"/>
          <w:lang w:val="en-GB" w:eastAsia="en-US"/>
        </w:rPr>
        <w:t xml:space="preserve"> and high shelf appeal, while answering the need for sustainability. </w:t>
      </w:r>
    </w:p>
    <w:p w14:paraId="58473C47" w14:textId="77777777" w:rsidR="00492051" w:rsidRPr="00492051" w:rsidRDefault="00492051" w:rsidP="00492051">
      <w:pPr>
        <w:rPr>
          <w:rFonts w:eastAsia="Calibri" w:cstheme="minorHAnsi"/>
          <w:sz w:val="20"/>
          <w:szCs w:val="20"/>
          <w:lang w:val="en-GB" w:eastAsia="en-US"/>
        </w:rPr>
      </w:pPr>
      <w:r w:rsidRPr="00492051">
        <w:rPr>
          <w:rFonts w:eastAsia="Calibri" w:cstheme="minorHAnsi"/>
          <w:sz w:val="20"/>
          <w:szCs w:val="20"/>
          <w:lang w:val="en-GB" w:eastAsia="en-US"/>
        </w:rPr>
        <w:t xml:space="preserve">In the </w:t>
      </w:r>
      <w:proofErr w:type="spellStart"/>
      <w:r w:rsidRPr="00492051">
        <w:rPr>
          <w:rFonts w:eastAsia="Calibri" w:cstheme="minorHAnsi"/>
          <w:sz w:val="20"/>
          <w:szCs w:val="20"/>
          <w:lang w:val="en-GB" w:eastAsia="en-US"/>
        </w:rPr>
        <w:t>FibreCycle</w:t>
      </w:r>
      <w:proofErr w:type="spellEnd"/>
      <w:r w:rsidRPr="00492051">
        <w:rPr>
          <w:rFonts w:eastAsia="Calibri" w:cstheme="minorHAnsi"/>
          <w:sz w:val="20"/>
          <w:szCs w:val="20"/>
          <w:lang w:val="en-GB" w:eastAsia="en-US"/>
        </w:rPr>
        <w:t xml:space="preserve"> project, UPM conceptualized and produced UPM </w:t>
      </w:r>
      <w:proofErr w:type="spellStart"/>
      <w:r w:rsidRPr="00492051">
        <w:rPr>
          <w:rFonts w:eastAsia="Calibri" w:cstheme="minorHAnsi"/>
          <w:sz w:val="20"/>
          <w:szCs w:val="20"/>
          <w:lang w:val="en-GB" w:eastAsia="en-US"/>
        </w:rPr>
        <w:t>Solide</w:t>
      </w:r>
      <w:r w:rsidRPr="00492051">
        <w:rPr>
          <w:rFonts w:eastAsia="Calibri" w:cstheme="minorHAnsi"/>
          <w:sz w:val="20"/>
          <w:szCs w:val="20"/>
          <w:vertAlign w:val="superscript"/>
          <w:lang w:val="en-GB" w:eastAsia="en-US"/>
        </w:rPr>
        <w:t>TM</w:t>
      </w:r>
      <w:proofErr w:type="spellEnd"/>
      <w:r w:rsidRPr="00492051">
        <w:rPr>
          <w:rFonts w:eastAsia="Calibri" w:cstheme="minorHAnsi"/>
          <w:sz w:val="20"/>
          <w:szCs w:val="20"/>
          <w:lang w:val="en-GB" w:eastAsia="en-US"/>
        </w:rPr>
        <w:t xml:space="preserve"> Lucent specialty kraft paper – an optimum choice for maximized functionality in high barrier paper packaging. </w:t>
      </w:r>
    </w:p>
    <w:p w14:paraId="3FE049DB" w14:textId="77777777" w:rsidR="00492051" w:rsidRPr="00492051" w:rsidRDefault="00492051" w:rsidP="00492051">
      <w:pPr>
        <w:rPr>
          <w:rFonts w:eastAsia="Calibri" w:cstheme="minorHAnsi"/>
          <w:sz w:val="20"/>
          <w:szCs w:val="20"/>
          <w:lang w:val="en-GB" w:eastAsia="en-US"/>
        </w:rPr>
      </w:pPr>
    </w:p>
    <w:p w14:paraId="1A7E3D23" w14:textId="77777777" w:rsidR="00492051" w:rsidRPr="00492051" w:rsidRDefault="00492051" w:rsidP="00492051">
      <w:pPr>
        <w:rPr>
          <w:rFonts w:eastAsia="DengXian" w:cstheme="minorHAnsi"/>
          <w:sz w:val="20"/>
          <w:szCs w:val="20"/>
          <w:lang w:val="en-US" w:eastAsia="en-US" w:bidi="en-US"/>
        </w:rPr>
      </w:pPr>
      <w:r w:rsidRPr="00492051">
        <w:rPr>
          <w:rFonts w:eastAsia="DengXian" w:cstheme="minorHAnsi"/>
          <w:b/>
          <w:bCs/>
          <w:sz w:val="20"/>
          <w:szCs w:val="20"/>
          <w:lang w:val="en-US" w:eastAsia="en-US" w:bidi="en-US"/>
        </w:rPr>
        <w:t>BOBST</w:t>
      </w:r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is one of the world’s leading suppliers of substrate processing, </w:t>
      </w:r>
      <w:proofErr w:type="gram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printing</w:t>
      </w:r>
      <w:proofErr w:type="gram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and converting equipment and services for the label, flexible packaging, folding carton and corrugated board industries. </w:t>
      </w:r>
    </w:p>
    <w:p w14:paraId="21802C60" w14:textId="77777777" w:rsidR="00492051" w:rsidRPr="00492051" w:rsidRDefault="00492051" w:rsidP="00492051">
      <w:pPr>
        <w:rPr>
          <w:rFonts w:eastAsia="DengXian" w:cstheme="minorHAnsi"/>
          <w:sz w:val="20"/>
          <w:szCs w:val="20"/>
          <w:lang w:val="en-US" w:eastAsia="en-US" w:bidi="en-US"/>
        </w:rPr>
      </w:pPr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For the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oneBARRIER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FibreCycle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project, we contributed our two well-established vacuum metallizing deposition processes (transparent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AlOx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GEN II or opaque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AluBond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(on EXPERT K5 vacuum metallizer)), and our process for identifying the right coating method and drying profile for primer and top coating (both on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oneBARRIER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MASTER COATER).  </w:t>
      </w:r>
    </w:p>
    <w:p w14:paraId="3D64C092" w14:textId="3A8EE147" w:rsidR="00492051" w:rsidRPr="00492051" w:rsidRDefault="00492051" w:rsidP="00492051">
      <w:pPr>
        <w:spacing w:before="100" w:beforeAutospacing="1" w:after="100" w:afterAutospacing="1"/>
        <w:rPr>
          <w:rFonts w:eastAsia="DengXian" w:cstheme="minorHAnsi"/>
          <w:sz w:val="20"/>
          <w:szCs w:val="20"/>
          <w:lang w:val="en-US" w:eastAsia="en-US" w:bidi="en-US"/>
        </w:rPr>
      </w:pPr>
      <w:r w:rsidRPr="00492051">
        <w:rPr>
          <w:rFonts w:eastAsia="DengXian" w:cstheme="minorHAnsi"/>
          <w:b/>
          <w:bCs/>
          <w:sz w:val="20"/>
          <w:szCs w:val="20"/>
          <w:lang w:val="en-US" w:eastAsia="en-US" w:bidi="en-US"/>
        </w:rPr>
        <w:t>Huhtamaki</w:t>
      </w:r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s a Finnish consumer packaging converter whose production includes food packaging.</w:t>
      </w:r>
      <w:r>
        <w:rPr>
          <w:rFonts w:eastAsia="DengXian" w:cstheme="minorHAnsi"/>
          <w:sz w:val="20"/>
          <w:szCs w:val="20"/>
          <w:lang w:val="en-US" w:eastAsia="en-US" w:bidi="en-US"/>
        </w:rPr>
        <w:br/>
      </w:r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Huhtamaki used the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oneBARRIER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FibreCycle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 solutions to develop the first ever hero samples of converted packaging using </w:t>
      </w:r>
      <w:proofErr w:type="spellStart"/>
      <w:r w:rsidRPr="00492051">
        <w:rPr>
          <w:rFonts w:eastAsia="DengXian" w:cstheme="minorHAnsi"/>
          <w:sz w:val="20"/>
          <w:szCs w:val="20"/>
          <w:lang w:val="en-US" w:eastAsia="en-US" w:bidi="en-US"/>
        </w:rPr>
        <w:t>FibreCycle</w:t>
      </w:r>
      <w:proofErr w:type="spellEnd"/>
      <w:r w:rsidRPr="00492051">
        <w:rPr>
          <w:rFonts w:eastAsia="DengXian" w:cstheme="minorHAnsi"/>
          <w:sz w:val="20"/>
          <w:szCs w:val="20"/>
          <w:lang w:val="en-US" w:eastAsia="en-US" w:bidi="en-US"/>
        </w:rPr>
        <w:t xml:space="preserve">. </w:t>
      </w:r>
    </w:p>
    <w:p w14:paraId="5D3C836B" w14:textId="77777777" w:rsidR="00492051" w:rsidRPr="00492051" w:rsidRDefault="00492051" w:rsidP="0049205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42424"/>
          <w:sz w:val="20"/>
          <w:szCs w:val="20"/>
          <w:u w:val="single"/>
          <w:lang w:val="en-GB" w:eastAsia="en-GB"/>
        </w:rPr>
      </w:pPr>
      <w:r w:rsidRPr="00492051">
        <w:rPr>
          <w:rFonts w:eastAsia="Times New Roman" w:cstheme="minorHAnsi"/>
          <w:b/>
          <w:bCs/>
          <w:color w:val="242424"/>
          <w:sz w:val="20"/>
          <w:szCs w:val="20"/>
          <w:u w:val="single"/>
          <w:lang w:val="en-GB" w:eastAsia="en-GB"/>
        </w:rPr>
        <w:t>Partners involved in BOBST Open House at Bobst Bielefeld</w:t>
      </w:r>
    </w:p>
    <w:p w14:paraId="758A8CAA" w14:textId="77777777" w:rsidR="00492051" w:rsidRPr="00492051" w:rsidRDefault="00492051" w:rsidP="00492051">
      <w:pPr>
        <w:shd w:val="clear" w:color="auto" w:fill="FFFFFF"/>
        <w:spacing w:line="240" w:lineRule="auto"/>
        <w:rPr>
          <w:rFonts w:eastAsia="Calibri" w:cstheme="minorHAnsi"/>
          <w:color w:val="242424"/>
          <w:sz w:val="20"/>
          <w:szCs w:val="20"/>
          <w:lang w:val="en-GB" w:eastAsia="en-GB"/>
        </w:rPr>
      </w:pPr>
      <w:proofErr w:type="spellStart"/>
      <w:r w:rsidRPr="00492051">
        <w:rPr>
          <w:rFonts w:eastAsia="Calibri" w:cstheme="minorHAnsi"/>
          <w:b/>
          <w:bCs/>
          <w:color w:val="242424"/>
          <w:sz w:val="20"/>
          <w:szCs w:val="20"/>
          <w:lang w:val="en-GB" w:eastAsia="en-GB"/>
        </w:rPr>
        <w:t>Miraclon</w:t>
      </w:r>
      <w:proofErr w:type="spellEnd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 xml:space="preserve"> is a developer of plates and platemaking equipment for flexographic printing that drives superior print efficiency and performance.</w:t>
      </w:r>
    </w:p>
    <w:p w14:paraId="33CA2130" w14:textId="77777777" w:rsidR="00492051" w:rsidRPr="00492051" w:rsidRDefault="00492051" w:rsidP="00492051">
      <w:pPr>
        <w:shd w:val="clear" w:color="auto" w:fill="FFFFFF"/>
        <w:spacing w:line="240" w:lineRule="auto"/>
        <w:rPr>
          <w:rFonts w:eastAsia="Calibri" w:cstheme="minorHAnsi"/>
          <w:color w:val="242424"/>
          <w:sz w:val="20"/>
          <w:szCs w:val="20"/>
          <w:lang w:val="en-GB" w:eastAsia="en-GB"/>
        </w:rPr>
      </w:pPr>
      <w:proofErr w:type="spellStart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>Miraclon</w:t>
      </w:r>
      <w:proofErr w:type="spellEnd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 xml:space="preserve"> is the producer of </w:t>
      </w:r>
      <w:proofErr w:type="spellStart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>Flexcel</w:t>
      </w:r>
      <w:proofErr w:type="spellEnd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 xml:space="preserve"> NX System of plates and platemaking equipment for flexographic printing, focused on superior print efficiency and performance. The system comes with </w:t>
      </w:r>
      <w:proofErr w:type="spellStart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>Flexcel</w:t>
      </w:r>
      <w:proofErr w:type="spellEnd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 xml:space="preserve"> NX Central Software, which automates the plate layout process, optimizing and streamlining the delivery of </w:t>
      </w:r>
      <w:proofErr w:type="spellStart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>Miraclon’s</w:t>
      </w:r>
      <w:proofErr w:type="spellEnd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 xml:space="preserve"> advanced plate surface patterning.</w:t>
      </w:r>
    </w:p>
    <w:p w14:paraId="16F06957" w14:textId="259EBC16" w:rsidR="00492051" w:rsidRPr="00492051" w:rsidRDefault="00492051" w:rsidP="00492051">
      <w:pPr>
        <w:shd w:val="clear" w:color="auto" w:fill="FFFFFF"/>
        <w:spacing w:line="240" w:lineRule="auto"/>
        <w:rPr>
          <w:rFonts w:eastAsia="Calibri" w:cstheme="minorHAnsi"/>
          <w:color w:val="242424"/>
          <w:sz w:val="20"/>
          <w:szCs w:val="20"/>
          <w:lang w:val="en-GB" w:eastAsia="en-GB"/>
        </w:rPr>
      </w:pPr>
      <w:proofErr w:type="spellStart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>Flexcel</w:t>
      </w:r>
      <w:proofErr w:type="spellEnd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 xml:space="preserve"> NX system from </w:t>
      </w:r>
      <w:proofErr w:type="spellStart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>Miraclon</w:t>
      </w:r>
      <w:proofErr w:type="spellEnd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 xml:space="preserve"> is featured in the Competence </w:t>
      </w:r>
      <w:proofErr w:type="spellStart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>Center</w:t>
      </w:r>
      <w:proofErr w:type="spellEnd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 xml:space="preserve">. The system in Bielefeld is also equipped with the latest multifunctional surface patterning technology of the company, </w:t>
      </w:r>
      <w:proofErr w:type="spellStart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>PureFlexo</w:t>
      </w:r>
      <w:proofErr w:type="spellEnd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 xml:space="preserve"> Printing™, enabling a wider operating window on press and increasing print latitude at all quality levels for wide web, flexible packaging applications.</w:t>
      </w:r>
    </w:p>
    <w:p w14:paraId="2005E5AE" w14:textId="77777777" w:rsidR="00492051" w:rsidRPr="00492051" w:rsidRDefault="00492051" w:rsidP="00492051">
      <w:pPr>
        <w:shd w:val="clear" w:color="auto" w:fill="FFFFFF"/>
        <w:spacing w:line="240" w:lineRule="auto"/>
        <w:rPr>
          <w:rFonts w:eastAsia="Calibri" w:cstheme="minorHAnsi"/>
          <w:color w:val="242424"/>
          <w:sz w:val="20"/>
          <w:szCs w:val="20"/>
          <w:lang w:val="en-GB" w:eastAsia="en-GB"/>
        </w:rPr>
      </w:pPr>
    </w:p>
    <w:p w14:paraId="1D490B18" w14:textId="77777777" w:rsidR="00492051" w:rsidRPr="00492051" w:rsidRDefault="00492051" w:rsidP="00492051">
      <w:pPr>
        <w:shd w:val="clear" w:color="auto" w:fill="FFFFFF"/>
        <w:spacing w:line="240" w:lineRule="auto"/>
        <w:rPr>
          <w:rFonts w:eastAsia="Calibri" w:cstheme="minorHAnsi"/>
          <w:color w:val="242424"/>
          <w:sz w:val="20"/>
          <w:szCs w:val="20"/>
          <w:lang w:val="en-GB" w:eastAsia="en-GB"/>
        </w:rPr>
      </w:pPr>
      <w:r w:rsidRPr="00492051">
        <w:rPr>
          <w:rFonts w:eastAsia="Calibri" w:cstheme="minorHAnsi"/>
          <w:b/>
          <w:bCs/>
          <w:color w:val="242424"/>
          <w:sz w:val="20"/>
          <w:szCs w:val="20"/>
          <w:lang w:val="en-GB" w:eastAsia="en-GB"/>
        </w:rPr>
        <w:t>U. Gunther</w:t>
      </w:r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 xml:space="preserve"> is an expert prepress company for packaging. The</w:t>
      </w:r>
      <w:r w:rsidRPr="00492051">
        <w:rPr>
          <w:rFonts w:eastAsia="Calibri" w:cstheme="minorHAnsi"/>
          <w:sz w:val="20"/>
          <w:szCs w:val="20"/>
          <w:lang w:val="en-GB" w:eastAsia="en-US"/>
        </w:rPr>
        <w:t xml:space="preserve"> </w:t>
      </w:r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 xml:space="preserve">company produces </w:t>
      </w:r>
      <w:proofErr w:type="spellStart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>flexo</w:t>
      </w:r>
      <w:proofErr w:type="spellEnd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 xml:space="preserve"> plates of the highest quality using the latest technologies – both digital and with conventional manual skills.</w:t>
      </w:r>
    </w:p>
    <w:p w14:paraId="008917BF" w14:textId="77777777" w:rsidR="00492051" w:rsidRPr="00492051" w:rsidRDefault="00492051" w:rsidP="00492051">
      <w:pPr>
        <w:shd w:val="clear" w:color="auto" w:fill="FFFFFF"/>
        <w:spacing w:line="240" w:lineRule="auto"/>
        <w:rPr>
          <w:rFonts w:eastAsia="Calibri" w:cstheme="minorHAnsi"/>
          <w:color w:val="242424"/>
          <w:sz w:val="20"/>
          <w:szCs w:val="20"/>
          <w:lang w:val="en-GB" w:eastAsia="en-GB"/>
        </w:rPr>
      </w:pPr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>The printing plates can be precisely adapted to the individual machine characteristics and requirements associated with the print image, so that an ideal, custom-made result is assured.</w:t>
      </w:r>
    </w:p>
    <w:p w14:paraId="2660B68E" w14:textId="77777777" w:rsidR="00492051" w:rsidRPr="00492051" w:rsidRDefault="00492051" w:rsidP="00492051">
      <w:pPr>
        <w:shd w:val="clear" w:color="auto" w:fill="FFFFFF"/>
        <w:spacing w:line="240" w:lineRule="auto"/>
        <w:rPr>
          <w:rFonts w:eastAsia="Calibri" w:cstheme="minorHAnsi"/>
          <w:color w:val="242424"/>
          <w:sz w:val="20"/>
          <w:szCs w:val="20"/>
          <w:lang w:val="en-GB" w:eastAsia="en-GB"/>
        </w:rPr>
      </w:pPr>
    </w:p>
    <w:p w14:paraId="674839F4" w14:textId="77777777" w:rsidR="00492051" w:rsidRPr="00492051" w:rsidRDefault="00492051" w:rsidP="00492051">
      <w:pPr>
        <w:shd w:val="clear" w:color="auto" w:fill="FFFFFF"/>
        <w:spacing w:line="240" w:lineRule="auto"/>
        <w:rPr>
          <w:rFonts w:eastAsia="Calibri" w:cstheme="minorHAnsi"/>
          <w:b/>
          <w:bCs/>
          <w:color w:val="242424"/>
          <w:sz w:val="20"/>
          <w:szCs w:val="20"/>
          <w:lang w:val="en-GB" w:eastAsia="en-GB"/>
        </w:rPr>
      </w:pPr>
      <w:r w:rsidRPr="00492051">
        <w:rPr>
          <w:rFonts w:eastAsia="Calibri" w:cstheme="minorHAnsi"/>
          <w:b/>
          <w:bCs/>
          <w:color w:val="242424"/>
          <w:sz w:val="20"/>
          <w:szCs w:val="20"/>
          <w:lang w:val="en-GB" w:eastAsia="en-GB"/>
        </w:rPr>
        <w:t xml:space="preserve">Henkel </w:t>
      </w:r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>is a multinational chemical and consumer goods company.</w:t>
      </w:r>
      <w:r w:rsidRPr="00492051">
        <w:rPr>
          <w:rFonts w:eastAsia="Calibri" w:cstheme="minorHAnsi"/>
          <w:b/>
          <w:bCs/>
          <w:color w:val="242424"/>
          <w:sz w:val="20"/>
          <w:szCs w:val="20"/>
          <w:lang w:val="en-GB" w:eastAsia="en-GB"/>
        </w:rPr>
        <w:t xml:space="preserve"> </w:t>
      </w:r>
    </w:p>
    <w:p w14:paraId="4759DCA0" w14:textId="77777777" w:rsidR="00492051" w:rsidRPr="00492051" w:rsidRDefault="00492051" w:rsidP="00492051">
      <w:pPr>
        <w:shd w:val="clear" w:color="auto" w:fill="FFFFFF"/>
        <w:spacing w:line="240" w:lineRule="auto"/>
        <w:rPr>
          <w:rFonts w:eastAsia="Calibri" w:cstheme="minorHAnsi"/>
          <w:color w:val="242424"/>
          <w:sz w:val="20"/>
          <w:szCs w:val="20"/>
          <w:lang w:val="en-GB" w:eastAsia="en-GB"/>
        </w:rPr>
      </w:pPr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 xml:space="preserve">In the Competence </w:t>
      </w:r>
      <w:proofErr w:type="spellStart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>Center</w:t>
      </w:r>
      <w:proofErr w:type="spellEnd"/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>, we are utilizing Henkel’s LOCTITE</w:t>
      </w:r>
      <w:r w:rsidRPr="00492051">
        <w:rPr>
          <w:rFonts w:eastAsia="Calibri" w:cstheme="minorHAnsi"/>
          <w:color w:val="242424"/>
          <w:sz w:val="20"/>
          <w:szCs w:val="20"/>
          <w:vertAlign w:val="superscript"/>
          <w:lang w:val="en-GB" w:eastAsia="en-GB"/>
        </w:rPr>
        <w:t>®</w:t>
      </w:r>
      <w:r w:rsidRPr="00492051">
        <w:rPr>
          <w:rFonts w:eastAsia="Calibri" w:cstheme="minorHAnsi"/>
          <w:color w:val="242424"/>
          <w:sz w:val="20"/>
          <w:szCs w:val="20"/>
          <w:lang w:val="en-GB" w:eastAsia="en-GB"/>
        </w:rPr>
        <w:t> high-quality laminating adhesives and coatings.</w:t>
      </w:r>
    </w:p>
    <w:p w14:paraId="5D71B014" w14:textId="77777777" w:rsidR="00492051" w:rsidRPr="00492051" w:rsidRDefault="00492051" w:rsidP="00492051">
      <w:pPr>
        <w:shd w:val="clear" w:color="auto" w:fill="FFFFFF"/>
        <w:spacing w:line="240" w:lineRule="auto"/>
        <w:rPr>
          <w:rFonts w:eastAsia="Calibri" w:cstheme="minorHAnsi"/>
          <w:color w:val="242424"/>
          <w:sz w:val="20"/>
          <w:szCs w:val="20"/>
          <w:lang w:val="en-GB" w:eastAsia="en-GB"/>
        </w:rPr>
      </w:pPr>
    </w:p>
    <w:p w14:paraId="6D7CD3D1" w14:textId="77777777" w:rsidR="00492051" w:rsidRPr="00492051" w:rsidRDefault="00492051" w:rsidP="00492051">
      <w:pPr>
        <w:shd w:val="clear" w:color="auto" w:fill="FFFFFF"/>
        <w:spacing w:line="240" w:lineRule="auto"/>
        <w:rPr>
          <w:rFonts w:eastAsia="Calibri" w:cstheme="minorHAnsi"/>
          <w:color w:val="242424"/>
          <w:sz w:val="20"/>
          <w:szCs w:val="20"/>
          <w:lang w:val="en-GB" w:eastAsia="en-US"/>
        </w:rPr>
      </w:pPr>
      <w:r w:rsidRPr="00492051">
        <w:rPr>
          <w:rFonts w:eastAsia="Calibri" w:cstheme="minorHAnsi"/>
          <w:b/>
          <w:bCs/>
          <w:color w:val="242424"/>
          <w:sz w:val="20"/>
          <w:szCs w:val="20"/>
          <w:lang w:val="en-GB" w:eastAsia="en-US"/>
        </w:rPr>
        <w:t xml:space="preserve">AV </w:t>
      </w:r>
      <w:proofErr w:type="spellStart"/>
      <w:r w:rsidRPr="00492051">
        <w:rPr>
          <w:rFonts w:eastAsia="Calibri" w:cstheme="minorHAnsi"/>
          <w:b/>
          <w:bCs/>
          <w:color w:val="242424"/>
          <w:sz w:val="20"/>
          <w:szCs w:val="20"/>
          <w:lang w:val="en-GB" w:eastAsia="en-US"/>
        </w:rPr>
        <w:t>Flexologic</w:t>
      </w:r>
      <w:proofErr w:type="spellEnd"/>
      <w:r w:rsidRPr="00492051">
        <w:rPr>
          <w:rFonts w:eastAsia="Calibri" w:cstheme="minorHAnsi"/>
          <w:b/>
          <w:bCs/>
          <w:color w:val="242424"/>
          <w:sz w:val="20"/>
          <w:szCs w:val="20"/>
          <w:lang w:val="en-GB" w:eastAsia="en-US"/>
        </w:rPr>
        <w:t xml:space="preserve"> </w:t>
      </w:r>
      <w:r w:rsidRPr="00492051">
        <w:rPr>
          <w:rFonts w:eastAsia="Calibri" w:cstheme="minorHAnsi"/>
          <w:color w:val="242424"/>
          <w:sz w:val="20"/>
          <w:szCs w:val="20"/>
          <w:lang w:val="en-GB" w:eastAsia="en-US"/>
        </w:rPr>
        <w:t>is a leading manufacturer of mounting and pre-press equipment with 50 years of experience in the flexographic industry.</w:t>
      </w:r>
    </w:p>
    <w:p w14:paraId="0820DE96" w14:textId="0DAA8950" w:rsidR="00A03EF1" w:rsidRPr="00387B04" w:rsidRDefault="00492051" w:rsidP="00492051">
      <w:pPr>
        <w:shd w:val="clear" w:color="auto" w:fill="FFFFFF"/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GB" w:bidi="th-TH"/>
        </w:rPr>
      </w:pPr>
      <w:r w:rsidRPr="00492051">
        <w:rPr>
          <w:rFonts w:eastAsia="Calibri" w:cstheme="minorHAnsi"/>
          <w:color w:val="242424"/>
          <w:sz w:val="20"/>
          <w:szCs w:val="20"/>
          <w:lang w:val="en-GB" w:eastAsia="en-US"/>
        </w:rPr>
        <w:t xml:space="preserve">The company’s plate mounter SAMM 2.0 is in the Competence </w:t>
      </w:r>
      <w:proofErr w:type="spellStart"/>
      <w:r w:rsidRPr="00492051">
        <w:rPr>
          <w:rFonts w:eastAsia="Calibri" w:cstheme="minorHAnsi"/>
          <w:color w:val="242424"/>
          <w:sz w:val="20"/>
          <w:szCs w:val="20"/>
          <w:lang w:val="en-GB" w:eastAsia="en-US"/>
        </w:rPr>
        <w:t>Center</w:t>
      </w:r>
      <w:proofErr w:type="spellEnd"/>
      <w:r w:rsidRPr="00492051">
        <w:rPr>
          <w:rFonts w:eastAsia="Calibri" w:cstheme="minorHAnsi"/>
          <w:color w:val="242424"/>
          <w:sz w:val="20"/>
          <w:szCs w:val="20"/>
          <w:lang w:val="en-GB" w:eastAsia="en-US"/>
        </w:rPr>
        <w:t xml:space="preserve">. </w:t>
      </w:r>
      <w:r w:rsidRPr="00492051">
        <w:rPr>
          <w:rFonts w:eastAsia="Calibri" w:cstheme="minorHAnsi"/>
          <w:color w:val="000000"/>
          <w:sz w:val="20"/>
          <w:szCs w:val="20"/>
          <w:lang w:val="en-GB" w:eastAsia="en-US"/>
        </w:rPr>
        <w:t>The</w:t>
      </w:r>
      <w:r w:rsidRPr="00492051">
        <w:rPr>
          <w:rFonts w:eastAsia="Calibri" w:cstheme="minorHAnsi"/>
          <w:color w:val="242424"/>
          <w:sz w:val="20"/>
          <w:szCs w:val="20"/>
          <w:lang w:val="en-GB" w:eastAsia="en-US"/>
        </w:rPr>
        <w:t xml:space="preserve"> automatic </w:t>
      </w:r>
      <w:proofErr w:type="spellStart"/>
      <w:r w:rsidRPr="00492051">
        <w:rPr>
          <w:rFonts w:eastAsia="Calibri" w:cstheme="minorHAnsi"/>
          <w:color w:val="242424"/>
          <w:sz w:val="20"/>
          <w:szCs w:val="20"/>
          <w:lang w:val="en-GB" w:eastAsia="en-US"/>
        </w:rPr>
        <w:t>flexo</w:t>
      </w:r>
      <w:proofErr w:type="spellEnd"/>
      <w:r w:rsidRPr="00492051">
        <w:rPr>
          <w:rFonts w:eastAsia="Calibri" w:cstheme="minorHAnsi"/>
          <w:color w:val="242424"/>
          <w:sz w:val="20"/>
          <w:szCs w:val="20"/>
          <w:lang w:val="en-GB" w:eastAsia="en-US"/>
        </w:rPr>
        <w:t xml:space="preserve"> plate mounter </w:t>
      </w:r>
      <w:r w:rsidRPr="00492051">
        <w:rPr>
          <w:rFonts w:eastAsia="Calibri" w:cstheme="minorHAnsi"/>
          <w:color w:val="000000"/>
          <w:sz w:val="20"/>
          <w:szCs w:val="20"/>
          <w:lang w:val="en-GB" w:eastAsia="en-US"/>
        </w:rPr>
        <w:t>has</w:t>
      </w:r>
      <w:r w:rsidRPr="00492051">
        <w:rPr>
          <w:rFonts w:eastAsia="Calibri" w:cstheme="minorHAnsi"/>
          <w:color w:val="242424"/>
          <w:sz w:val="20"/>
          <w:szCs w:val="20"/>
          <w:lang w:val="en-GB" w:eastAsia="en-US"/>
        </w:rPr>
        <w:t xml:space="preserve"> unmatched repeatability</w:t>
      </w:r>
      <w:r w:rsidRPr="00492051">
        <w:rPr>
          <w:rFonts w:eastAsia="Calibri" w:cstheme="minorHAnsi"/>
          <w:color w:val="000000"/>
          <w:sz w:val="20"/>
          <w:szCs w:val="20"/>
          <w:lang w:val="en-GB" w:eastAsia="en-US"/>
        </w:rPr>
        <w:t xml:space="preserve">, </w:t>
      </w:r>
      <w:proofErr w:type="gramStart"/>
      <w:r w:rsidRPr="00492051">
        <w:rPr>
          <w:rFonts w:eastAsia="Calibri" w:cstheme="minorHAnsi"/>
          <w:color w:val="242424"/>
          <w:sz w:val="20"/>
          <w:szCs w:val="20"/>
          <w:lang w:val="en-GB" w:eastAsia="en-US"/>
        </w:rPr>
        <w:t>speed</w:t>
      </w:r>
      <w:proofErr w:type="gramEnd"/>
      <w:r w:rsidRPr="00492051">
        <w:rPr>
          <w:rFonts w:eastAsia="Calibri" w:cstheme="minorHAnsi"/>
          <w:color w:val="000000"/>
          <w:sz w:val="20"/>
          <w:szCs w:val="20"/>
          <w:lang w:val="en-GB" w:eastAsia="en-US"/>
        </w:rPr>
        <w:t xml:space="preserve"> and accuracy</w:t>
      </w:r>
      <w:r w:rsidRPr="00492051">
        <w:rPr>
          <w:rFonts w:eastAsia="Calibri" w:cstheme="minorHAnsi"/>
          <w:color w:val="242424"/>
          <w:sz w:val="20"/>
          <w:szCs w:val="20"/>
          <w:lang w:val="en-GB" w:eastAsia="en-US"/>
        </w:rPr>
        <w:t xml:space="preserve">. BOBST’s </w:t>
      </w:r>
      <w:proofErr w:type="spellStart"/>
      <w:r w:rsidRPr="00492051">
        <w:rPr>
          <w:rFonts w:eastAsia="Calibri" w:cstheme="minorHAnsi"/>
          <w:color w:val="242424"/>
          <w:sz w:val="20"/>
          <w:szCs w:val="20"/>
          <w:lang w:val="en-GB" w:eastAsia="en-US"/>
        </w:rPr>
        <w:t>smartGPS</w:t>
      </w:r>
      <w:proofErr w:type="spellEnd"/>
      <w:r w:rsidRPr="00492051">
        <w:rPr>
          <w:rFonts w:eastAsia="Calibri" w:cstheme="minorHAnsi"/>
          <w:color w:val="242424"/>
          <w:sz w:val="20"/>
          <w:szCs w:val="20"/>
          <w:lang w:val="en-GB" w:eastAsia="en-US"/>
        </w:rPr>
        <w:t xml:space="preserve"> – a Graphic Positioning System that ensures all registration and impression settings are generated automatically off-line at the plate mounting stage – is installed on the SAMM 2.0.</w:t>
      </w:r>
      <w:r w:rsidRPr="00387B04">
        <w:rPr>
          <w:rFonts w:asciiTheme="majorHAnsi" w:eastAsia="Microsoft YaHei" w:hAnsiTheme="majorHAnsi" w:cstheme="majorHAnsi"/>
          <w:color w:val="265896"/>
          <w:szCs w:val="19"/>
          <w:u w:val="single"/>
          <w:lang w:val="en-GB" w:bidi="th-TH"/>
        </w:rPr>
        <w:t xml:space="preserve"> </w:t>
      </w:r>
    </w:p>
    <w:sectPr w:rsidR="00A03EF1" w:rsidRPr="00387B04" w:rsidSect="001F5AD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851" w:bottom="1418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EFCB6" w14:textId="77777777" w:rsidR="00CF453B" w:rsidRDefault="00CF453B" w:rsidP="00BB5BE9">
      <w:pPr>
        <w:spacing w:line="240" w:lineRule="auto"/>
      </w:pPr>
      <w:r>
        <w:separator/>
      </w:r>
    </w:p>
  </w:endnote>
  <w:endnote w:type="continuationSeparator" w:id="0">
    <w:p w14:paraId="6EBB4B6C" w14:textId="77777777" w:rsidR="00CF453B" w:rsidRDefault="00CF453B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82BD" w14:textId="151ADD1B" w:rsidR="00546823" w:rsidRDefault="00546823" w:rsidP="00F36CF1">
    <w:pPr>
      <w:pStyle w:val="Footer"/>
      <w:rPr>
        <w:noProof/>
      </w:rPr>
    </w:pPr>
  </w:p>
  <w:p w14:paraId="58465F74" w14:textId="77777777" w:rsidR="00B1191E" w:rsidRDefault="00B1191E" w:rsidP="00F36CF1">
    <w:pPr>
      <w:pStyle w:val="Footer"/>
      <w:rPr>
        <w:noProof/>
      </w:rPr>
    </w:pPr>
  </w:p>
  <w:p w14:paraId="1EC8DA55" w14:textId="77777777" w:rsidR="00B1191E" w:rsidRDefault="00B1191E" w:rsidP="00F36CF1">
    <w:pPr>
      <w:pStyle w:val="Footer"/>
      <w:rPr>
        <w:noProof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1A6CA5A7" w14:textId="2EF2BBA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</w:rPr>
        </w:pPr>
        <w:r w:rsidRPr="00B1191E">
          <w:rPr>
            <w:rFonts w:ascii="Arial" w:eastAsia="SimSun" w:hAnsi="Arial" w:cs="Tahoma"/>
            <w:b/>
            <w:sz w:val="15"/>
          </w:rPr>
          <w:t xml:space="preserve">Bobst </w:t>
        </w:r>
        <w:r w:rsidR="000D37EF">
          <w:rPr>
            <w:rFonts w:ascii="Arial" w:eastAsia="SimSun" w:hAnsi="Arial" w:cs="Tahoma"/>
            <w:b/>
            <w:sz w:val="15"/>
          </w:rPr>
          <w:t>Group</w:t>
        </w:r>
        <w:r w:rsidRPr="00B1191E">
          <w:rPr>
            <w:rFonts w:ascii="Arial" w:eastAsia="SimSun" w:hAnsi="Arial" w:cs="Tahoma"/>
            <w:b/>
            <w:sz w:val="15"/>
          </w:rPr>
          <w:t xml:space="preserve">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551BC90A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sz w:val="14"/>
          </w:rPr>
        </w:pPr>
        <w:r w:rsidRPr="00B1191E">
          <w:rPr>
            <w:rFonts w:ascii="Arial" w:eastAsia="SimSun" w:hAnsi="Arial" w:cs="Tahoma"/>
            <w:sz w:val="14"/>
          </w:rPr>
          <w:t xml:space="preserve">PO Box | CH-1001 Lausanne | </w:t>
        </w:r>
        <w:proofErr w:type="spellStart"/>
        <w:r w:rsidRPr="00B1191E">
          <w:rPr>
            <w:rFonts w:ascii="Arial" w:eastAsia="SimSun" w:hAnsi="Arial" w:cs="Tahoma"/>
            <w:sz w:val="14"/>
          </w:rPr>
          <w:t>Switzerland</w:t>
        </w:r>
        <w:proofErr w:type="spellEnd"/>
        <w:r w:rsidRPr="00B1191E">
          <w:rPr>
            <w:rFonts w:ascii="Arial" w:eastAsia="SimSun" w:hAnsi="Arial" w:cs="Tahoma"/>
            <w:sz w:val="14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9723" w14:textId="2971B832" w:rsidR="00F36CF1" w:rsidRPr="001100A0" w:rsidRDefault="000012A4" w:rsidP="00F36CF1">
    <w:pPr>
      <w:pStyle w:val="LegalFooter"/>
    </w:pPr>
    <w:r>
      <w:fldChar w:fldCharType="begin"/>
    </w:r>
    <w:r w:rsidRPr="000C3D9A">
      <w:rPr>
        <w:lang w:val="fr-BE"/>
      </w:rPr>
      <w:instrText xml:space="preserve"> FILENAME   \* MERGEFORMAT </w:instrText>
    </w:r>
    <w:r>
      <w:fldChar w:fldCharType="separate"/>
    </w:r>
    <w:r w:rsidR="00463D93" w:rsidRPr="00463D93">
      <w:rPr>
        <w:noProof/>
      </w:rPr>
      <w:t>PR</w:t>
    </w:r>
    <w:r w:rsidR="00463D93">
      <w:rPr>
        <w:noProof/>
        <w:lang w:val="fr-BE"/>
      </w:rPr>
      <w:t>_BOBST_name_XX-XX-2019_EG.docx</w:t>
    </w:r>
    <w:r>
      <w:rPr>
        <w:noProof/>
      </w:rPr>
      <w:fldChar w:fldCharType="end"/>
    </w:r>
    <w:r w:rsidR="00F36CF1" w:rsidRPr="001100A0">
      <w:t xml:space="preserve"> | </w:t>
    </w:r>
    <w:sdt>
      <w:sdtPr>
        <w:tag w:val="T_Page"/>
        <w:id w:val="209380030"/>
      </w:sdtPr>
      <w:sdtEndPr/>
      <w:sdtContent>
        <w:r w:rsidR="00D21ADD" w:rsidRPr="001100A0">
          <w:t>Page</w:t>
        </w:r>
      </w:sdtContent>
    </w:sdt>
    <w:r w:rsidR="00F36CF1" w:rsidRPr="001100A0">
      <w:t xml:space="preserve"> </w:t>
    </w:r>
    <w:r w:rsidR="00F36CF1" w:rsidRPr="00D21ADD">
      <w:fldChar w:fldCharType="begin"/>
    </w:r>
    <w:r w:rsidR="00F36CF1" w:rsidRPr="001100A0">
      <w:instrText xml:space="preserve"> PAGE   \* MERGEFORMAT </w:instrText>
    </w:r>
    <w:r w:rsidR="00F36CF1" w:rsidRPr="00D21ADD">
      <w:fldChar w:fldCharType="separate"/>
    </w:r>
    <w:r w:rsidR="0052511D">
      <w:rPr>
        <w:noProof/>
      </w:rPr>
      <w:t>1</w:t>
    </w:r>
    <w:r w:rsidR="00F36CF1" w:rsidRPr="00D21ADD">
      <w:fldChar w:fldCharType="end"/>
    </w:r>
    <w:r w:rsidR="00F36CF1" w:rsidRPr="001100A0">
      <w:t xml:space="preserve"> </w:t>
    </w:r>
    <w:sdt>
      <w:sdtPr>
        <w:tag w:val="T_PageOf"/>
        <w:id w:val="232359844"/>
      </w:sdtPr>
      <w:sdtEndPr/>
      <w:sdtContent>
        <w:r w:rsidR="00D21ADD" w:rsidRPr="001100A0">
          <w:t>of</w:t>
        </w:r>
      </w:sdtContent>
    </w:sdt>
    <w:r w:rsidR="00F36CF1" w:rsidRPr="001100A0">
      <w:t xml:space="preserve"> </w:t>
    </w:r>
    <w:r>
      <w:fldChar w:fldCharType="begin"/>
    </w:r>
    <w:r w:rsidRPr="001100A0">
      <w:instrText xml:space="preserve"> NUMPAGES   \* MERGEFORMAT </w:instrText>
    </w:r>
    <w:r>
      <w:fldChar w:fldCharType="separate"/>
    </w:r>
    <w:r w:rsidR="0052511D">
      <w:rPr>
        <w:noProof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0930D9EF" w14:textId="77777777" w:rsidR="00F36CF1" w:rsidRPr="001100A0" w:rsidRDefault="00D21ADD" w:rsidP="00F36CF1">
        <w:pPr>
          <w:pStyle w:val="LegalFooter1"/>
        </w:pPr>
        <w:r w:rsidRPr="001100A0">
          <w:t>Bobst Mex SA</w:t>
        </w:r>
      </w:p>
    </w:sdtContent>
  </w:sdt>
  <w:sdt>
    <w:sdtPr>
      <w:tag w:val="M_LegalFooter"/>
      <w:id w:val="188571317"/>
    </w:sdtPr>
    <w:sdtEndPr/>
    <w:sdtContent>
      <w:p w14:paraId="32254C7D" w14:textId="77777777" w:rsidR="00F36CF1" w:rsidRPr="001100A0" w:rsidRDefault="00D21ADD" w:rsidP="00F36CF1">
        <w:pPr>
          <w:pStyle w:val="LegalFooter2"/>
        </w:pPr>
        <w:r w:rsidRPr="001100A0">
          <w:t xml:space="preserve">PO Box | CH-1001 Lausanne | </w:t>
        </w:r>
        <w:proofErr w:type="spellStart"/>
        <w:r w:rsidRPr="001100A0">
          <w:t>Switzerland</w:t>
        </w:r>
        <w:proofErr w:type="spellEnd"/>
        <w:r w:rsidRPr="001100A0"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24450" w14:textId="77777777" w:rsidR="00CF453B" w:rsidRDefault="00CF453B" w:rsidP="00BB5BE9">
      <w:pPr>
        <w:spacing w:line="240" w:lineRule="auto"/>
      </w:pPr>
      <w:r>
        <w:separator/>
      </w:r>
    </w:p>
  </w:footnote>
  <w:footnote w:type="continuationSeparator" w:id="0">
    <w:p w14:paraId="2753C458" w14:textId="77777777" w:rsidR="00CF453B" w:rsidRDefault="00CF453B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192B" w14:textId="77777777" w:rsidR="005E4C3A" w:rsidRDefault="005E4C3A">
    <w:pPr>
      <w:pStyle w:val="Header"/>
    </w:pPr>
    <w:r w:rsidRPr="00250299">
      <w:rPr>
        <w:noProof/>
        <w:lang w:val="nl-BE" w:eastAsia="zh-TW"/>
      </w:rPr>
      <w:drawing>
        <wp:inline distT="0" distB="0" distL="0" distR="0" wp14:anchorId="20620D9D" wp14:editId="6CB0FCA6">
          <wp:extent cx="1476000" cy="2242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484C" w14:textId="77777777" w:rsidR="00F36CF1" w:rsidRPr="00D21ADD" w:rsidRDefault="00CF453B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D21ADD">
          <w:rPr>
            <w:noProof/>
            <w:lang w:val="nl-BE" w:eastAsia="zh-TW"/>
          </w:rPr>
          <w:drawing>
            <wp:inline distT="0" distB="0" distL="0" distR="0" wp14:anchorId="5CD96A7C" wp14:editId="1BD6EC65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42323"/>
    <w:multiLevelType w:val="hybridMultilevel"/>
    <w:tmpl w:val="7DB87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C4EB6"/>
    <w:multiLevelType w:val="hybridMultilevel"/>
    <w:tmpl w:val="9D2C25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D410D"/>
    <w:multiLevelType w:val="hybridMultilevel"/>
    <w:tmpl w:val="94FAA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91FFA"/>
    <w:multiLevelType w:val="hybridMultilevel"/>
    <w:tmpl w:val="7DBAADF6"/>
    <w:lvl w:ilvl="0" w:tplc="50CAC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43906"/>
    <w:rsid w:val="00043CF5"/>
    <w:rsid w:val="00043F57"/>
    <w:rsid w:val="000576C6"/>
    <w:rsid w:val="000C3D9A"/>
    <w:rsid w:val="000D37EF"/>
    <w:rsid w:val="000E4ED6"/>
    <w:rsid w:val="000E65F0"/>
    <w:rsid w:val="00105274"/>
    <w:rsid w:val="001100A0"/>
    <w:rsid w:val="00111A70"/>
    <w:rsid w:val="001122C3"/>
    <w:rsid w:val="00112F31"/>
    <w:rsid w:val="00152612"/>
    <w:rsid w:val="00162F04"/>
    <w:rsid w:val="00165731"/>
    <w:rsid w:val="00185617"/>
    <w:rsid w:val="00193DE7"/>
    <w:rsid w:val="001C1E38"/>
    <w:rsid w:val="001C67D0"/>
    <w:rsid w:val="001F5AD0"/>
    <w:rsid w:val="00203F19"/>
    <w:rsid w:val="0027064C"/>
    <w:rsid w:val="00273281"/>
    <w:rsid w:val="002A0B31"/>
    <w:rsid w:val="002E75CC"/>
    <w:rsid w:val="00305571"/>
    <w:rsid w:val="00333E4F"/>
    <w:rsid w:val="0036467D"/>
    <w:rsid w:val="00387B04"/>
    <w:rsid w:val="003E16F3"/>
    <w:rsid w:val="00451714"/>
    <w:rsid w:val="00451BC6"/>
    <w:rsid w:val="00463D93"/>
    <w:rsid w:val="00467FEC"/>
    <w:rsid w:val="0047059D"/>
    <w:rsid w:val="00492051"/>
    <w:rsid w:val="004A327C"/>
    <w:rsid w:val="004C2489"/>
    <w:rsid w:val="004D62CA"/>
    <w:rsid w:val="004E5B8C"/>
    <w:rsid w:val="004F3549"/>
    <w:rsid w:val="00515A2B"/>
    <w:rsid w:val="0052511D"/>
    <w:rsid w:val="005447E0"/>
    <w:rsid w:val="00546823"/>
    <w:rsid w:val="00587DDB"/>
    <w:rsid w:val="005A48B2"/>
    <w:rsid w:val="005B2A76"/>
    <w:rsid w:val="005B3F21"/>
    <w:rsid w:val="005C2EF5"/>
    <w:rsid w:val="005E0453"/>
    <w:rsid w:val="005E4C3A"/>
    <w:rsid w:val="006209F8"/>
    <w:rsid w:val="006A45F6"/>
    <w:rsid w:val="006D35BD"/>
    <w:rsid w:val="00720A43"/>
    <w:rsid w:val="00835855"/>
    <w:rsid w:val="00845AE3"/>
    <w:rsid w:val="008677A6"/>
    <w:rsid w:val="00876193"/>
    <w:rsid w:val="008B5EF4"/>
    <w:rsid w:val="008C5DF4"/>
    <w:rsid w:val="008D353F"/>
    <w:rsid w:val="00900CAA"/>
    <w:rsid w:val="0097702D"/>
    <w:rsid w:val="009A0420"/>
    <w:rsid w:val="009A468B"/>
    <w:rsid w:val="009C07C8"/>
    <w:rsid w:val="009E2584"/>
    <w:rsid w:val="00A0324C"/>
    <w:rsid w:val="00A03EF1"/>
    <w:rsid w:val="00A131E9"/>
    <w:rsid w:val="00A30651"/>
    <w:rsid w:val="00A41ED3"/>
    <w:rsid w:val="00A6173F"/>
    <w:rsid w:val="00A70AEF"/>
    <w:rsid w:val="00A77DA1"/>
    <w:rsid w:val="00A86D0D"/>
    <w:rsid w:val="00AA6BB0"/>
    <w:rsid w:val="00AB644E"/>
    <w:rsid w:val="00AC47B8"/>
    <w:rsid w:val="00AD7E81"/>
    <w:rsid w:val="00AF3F20"/>
    <w:rsid w:val="00B1191E"/>
    <w:rsid w:val="00B367D7"/>
    <w:rsid w:val="00B374B3"/>
    <w:rsid w:val="00B47A6B"/>
    <w:rsid w:val="00B61174"/>
    <w:rsid w:val="00B7331C"/>
    <w:rsid w:val="00B86280"/>
    <w:rsid w:val="00BB5BE9"/>
    <w:rsid w:val="00BB6337"/>
    <w:rsid w:val="00BC2E69"/>
    <w:rsid w:val="00C20D00"/>
    <w:rsid w:val="00C31EDB"/>
    <w:rsid w:val="00C92096"/>
    <w:rsid w:val="00C92EF8"/>
    <w:rsid w:val="00C970A9"/>
    <w:rsid w:val="00CA214B"/>
    <w:rsid w:val="00CC7F9D"/>
    <w:rsid w:val="00CD33CB"/>
    <w:rsid w:val="00CF0D3C"/>
    <w:rsid w:val="00CF453B"/>
    <w:rsid w:val="00D022B9"/>
    <w:rsid w:val="00D21ADD"/>
    <w:rsid w:val="00D34E2F"/>
    <w:rsid w:val="00D533C1"/>
    <w:rsid w:val="00D6254D"/>
    <w:rsid w:val="00DB1DC2"/>
    <w:rsid w:val="00DB761C"/>
    <w:rsid w:val="00DD2D6F"/>
    <w:rsid w:val="00DE5DD2"/>
    <w:rsid w:val="00E00C83"/>
    <w:rsid w:val="00E363B9"/>
    <w:rsid w:val="00E55AE4"/>
    <w:rsid w:val="00E653AC"/>
    <w:rsid w:val="00EA0EB6"/>
    <w:rsid w:val="00EB6594"/>
    <w:rsid w:val="00EE0E0A"/>
    <w:rsid w:val="00EE399C"/>
    <w:rsid w:val="00EF5A44"/>
    <w:rsid w:val="00F03D8B"/>
    <w:rsid w:val="00F23038"/>
    <w:rsid w:val="00F36CF1"/>
    <w:rsid w:val="00F512DD"/>
    <w:rsid w:val="00F65D8D"/>
    <w:rsid w:val="00FC4372"/>
    <w:rsid w:val="00FC7AD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B74AA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fr-CH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  <w:style w:type="paragraph" w:customStyle="1" w:styleId="ox-37bcbdf2c8-msolistparagraph">
    <w:name w:val="ox-37bcbdf2c8-msolistparagraph"/>
    <w:basedOn w:val="Normal"/>
    <w:rsid w:val="001F5AD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val="en-GB" w:eastAsia="en-GB"/>
    </w:rPr>
  </w:style>
  <w:style w:type="paragraph" w:customStyle="1" w:styleId="Default">
    <w:name w:val="Default"/>
    <w:rsid w:val="009A468B"/>
    <w:pPr>
      <w:autoSpaceDE w:val="0"/>
      <w:autoSpaceDN w:val="0"/>
      <w:adjustRightInd w:val="0"/>
      <w:spacing w:after="0" w:line="240" w:lineRule="auto"/>
    </w:pPr>
    <w:rPr>
      <w:rFonts w:ascii="Noto Sans" w:eastAsiaTheme="minorHAnsi" w:hAnsi="Noto Sans" w:cs="Noto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D8F2-5AE3-794D-B34A-8ADF0AD9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EN_28504.dotx</Template>
  <TotalTime>6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5</cp:revision>
  <cp:lastPrinted>2020-02-21T14:53:00Z</cp:lastPrinted>
  <dcterms:created xsi:type="dcterms:W3CDTF">2022-10-17T08:07:00Z</dcterms:created>
  <dcterms:modified xsi:type="dcterms:W3CDTF">2022-10-17T08:09:00Z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