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D84269" w:rsidRPr="00CD493F" w:rsidTr="00D84269">
        <w:tc>
          <w:tcPr>
            <w:tcW w:w="9212" w:type="dxa"/>
          </w:tcPr>
          <w:p w:rsidR="00D84269" w:rsidRPr="00CD493F" w:rsidRDefault="00D84269" w:rsidP="00D84269">
            <w:pPr>
              <w:rPr>
                <w:rFonts w:ascii="Verdana" w:hAnsi="Verdana"/>
                <w:b/>
                <w:sz w:val="22"/>
              </w:rPr>
            </w:pPr>
            <w:r w:rsidRPr="00CD493F">
              <w:rPr>
                <w:rFonts w:ascii="Verdana" w:hAnsi="Verdana"/>
                <w:b/>
                <w:sz w:val="22"/>
              </w:rPr>
              <w:t xml:space="preserve"> </w:t>
            </w:r>
          </w:p>
          <w:p w:rsidR="00D84269" w:rsidRPr="00CD493F" w:rsidRDefault="00D84269" w:rsidP="00D84269">
            <w:pPr>
              <w:rPr>
                <w:rFonts w:ascii="Verdana" w:hAnsi="Verdana"/>
                <w:b/>
                <w:sz w:val="22"/>
              </w:rPr>
            </w:pPr>
          </w:p>
          <w:p w:rsidR="00D84269" w:rsidRPr="00CD493F" w:rsidRDefault="00D84269" w:rsidP="009245AA">
            <w:pPr>
              <w:jc w:val="center"/>
              <w:rPr>
                <w:rFonts w:ascii="Verdana" w:hAnsi="Verdana"/>
                <w:b/>
                <w:caps/>
                <w:sz w:val="22"/>
              </w:rPr>
            </w:pPr>
            <w:r w:rsidRPr="00CD493F">
              <w:rPr>
                <w:rFonts w:ascii="Verdana" w:hAnsi="Verdana"/>
                <w:b/>
                <w:caps/>
                <w:sz w:val="22"/>
              </w:rPr>
              <w:t>Exposé des motifs</w:t>
            </w:r>
          </w:p>
          <w:p w:rsidR="00D84269" w:rsidRPr="00CD493F" w:rsidRDefault="00D84269" w:rsidP="00D84269">
            <w:pPr>
              <w:pStyle w:val="Titre4"/>
              <w:rPr>
                <w:rFonts w:ascii="Verdana" w:hAnsi="Verdana"/>
                <w:sz w:val="22"/>
                <w:szCs w:val="24"/>
              </w:rPr>
            </w:pPr>
          </w:p>
        </w:tc>
      </w:tr>
    </w:tbl>
    <w:p w:rsidR="00BC655E" w:rsidRPr="00CD493F" w:rsidRDefault="00BC655E">
      <w:pPr>
        <w:rPr>
          <w:rFonts w:ascii="Verdana" w:hAnsi="Verdana"/>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6"/>
        <w:gridCol w:w="7967"/>
      </w:tblGrid>
      <w:tr w:rsidR="009245AA" w:rsidRPr="00CD493F" w:rsidTr="00BF43DE">
        <w:trPr>
          <w:trHeight w:val="948"/>
        </w:trPr>
        <w:tc>
          <w:tcPr>
            <w:tcW w:w="985" w:type="dxa"/>
          </w:tcPr>
          <w:p w:rsidR="009245AA" w:rsidRPr="00CD493F" w:rsidRDefault="009245AA" w:rsidP="00BF43DE">
            <w:pPr>
              <w:pStyle w:val="Titre4"/>
              <w:jc w:val="both"/>
              <w:rPr>
                <w:rFonts w:ascii="Verdana" w:hAnsi="Verdana"/>
                <w:sz w:val="22"/>
                <w:szCs w:val="24"/>
                <w:lang w:val="fr-BE"/>
              </w:rPr>
            </w:pPr>
            <w:r w:rsidRPr="00CD493F">
              <w:rPr>
                <w:rFonts w:ascii="Verdana" w:hAnsi="Verdana"/>
                <w:sz w:val="22"/>
                <w:szCs w:val="24"/>
                <w:lang w:val="fr-BE"/>
              </w:rPr>
              <w:t xml:space="preserve">Objet : </w:t>
            </w:r>
          </w:p>
        </w:tc>
        <w:tc>
          <w:tcPr>
            <w:tcW w:w="7967" w:type="dxa"/>
          </w:tcPr>
          <w:p w:rsidR="00923C97" w:rsidRPr="00923C97" w:rsidRDefault="00923C97" w:rsidP="00923C97">
            <w:pPr>
              <w:pStyle w:val="Titre4"/>
              <w:jc w:val="both"/>
              <w:rPr>
                <w:rFonts w:ascii="Verdana" w:hAnsi="Verdana"/>
                <w:sz w:val="22"/>
                <w:lang w:val="fr-BE"/>
              </w:rPr>
            </w:pPr>
            <w:r w:rsidRPr="00923C97">
              <w:rPr>
                <w:rFonts w:ascii="Verdana" w:hAnsi="Verdana"/>
                <w:sz w:val="22"/>
                <w:lang w:val="fr-BE"/>
              </w:rPr>
              <w:t xml:space="preserve">Avant-projet de décret modifiant la loi du 14 août 1986 relative à la protection et au bien-être des animaux afin d’interdire la commercialisation d’animaux dans les lieux publics </w:t>
            </w:r>
          </w:p>
          <w:p w:rsidR="009245AA" w:rsidRPr="00CD493F" w:rsidRDefault="009245AA" w:rsidP="00267EA4">
            <w:pPr>
              <w:pStyle w:val="Titre4"/>
              <w:jc w:val="both"/>
              <w:rPr>
                <w:rFonts w:ascii="Verdana" w:hAnsi="Verdana"/>
                <w:sz w:val="22"/>
                <w:szCs w:val="24"/>
                <w:lang w:val="fr-BE"/>
              </w:rPr>
            </w:pPr>
          </w:p>
        </w:tc>
      </w:tr>
    </w:tbl>
    <w:p w:rsidR="009245AA" w:rsidRPr="00CD493F" w:rsidRDefault="009245AA" w:rsidP="009245AA">
      <w:pPr>
        <w:jc w:val="both"/>
        <w:rPr>
          <w:rFonts w:ascii="Verdana" w:hAnsi="Verdana"/>
          <w:caps/>
          <w:sz w:val="22"/>
        </w:rPr>
      </w:pPr>
    </w:p>
    <w:p w:rsidR="00D84FF3" w:rsidRPr="00CD493F" w:rsidRDefault="00D84FF3" w:rsidP="00D84FF3">
      <w:pPr>
        <w:pStyle w:val="Paragraphedeliste"/>
        <w:numPr>
          <w:ilvl w:val="1"/>
          <w:numId w:val="0"/>
        </w:numPr>
        <w:tabs>
          <w:tab w:val="num" w:pos="1440"/>
        </w:tabs>
        <w:ind w:left="1440" w:hanging="360"/>
        <w:jc w:val="both"/>
        <w:rPr>
          <w:rFonts w:ascii="Verdana" w:hAnsi="Verdana"/>
          <w:b/>
          <w:sz w:val="22"/>
          <w:u w:val="single"/>
        </w:rPr>
      </w:pPr>
      <w:r w:rsidRPr="00CD493F">
        <w:rPr>
          <w:rFonts w:ascii="Verdana" w:hAnsi="Verdana"/>
          <w:b/>
          <w:sz w:val="22"/>
          <w:u w:val="single"/>
        </w:rPr>
        <w:t>Contexte</w:t>
      </w:r>
    </w:p>
    <w:p w:rsidR="00D84FF3" w:rsidRPr="00CD493F" w:rsidRDefault="00D84FF3" w:rsidP="00D84FF3">
      <w:pPr>
        <w:pStyle w:val="Paragraphedeliste"/>
        <w:ind w:left="1440"/>
        <w:jc w:val="both"/>
        <w:rPr>
          <w:rFonts w:ascii="Verdana" w:hAnsi="Verdana"/>
          <w:sz w:val="22"/>
        </w:rPr>
      </w:pPr>
    </w:p>
    <w:p w:rsidR="00D84FF3" w:rsidRPr="00CD493F" w:rsidRDefault="00D84FF3" w:rsidP="00D84FF3">
      <w:pPr>
        <w:jc w:val="both"/>
        <w:rPr>
          <w:rFonts w:ascii="Verdana" w:hAnsi="Verdana"/>
          <w:sz w:val="22"/>
        </w:rPr>
      </w:pPr>
      <w:r w:rsidRPr="00CD493F">
        <w:rPr>
          <w:rFonts w:ascii="Verdana" w:hAnsi="Verdana"/>
          <w:sz w:val="22"/>
        </w:rPr>
        <w:t>L’article 24 de la Loi spéciale relative à la Sixième Réforme de l’Etat du 6 janvier 2014 modifiant le §1 de l’article 6 de la Loi spéciale du 8 août 1980 de réformes institutionnelles attribue la compétence du bien-être des animaux aux Régions à partir du 1</w:t>
      </w:r>
      <w:r w:rsidRPr="00CD493F">
        <w:rPr>
          <w:rFonts w:ascii="Verdana" w:hAnsi="Verdana"/>
          <w:sz w:val="22"/>
          <w:vertAlign w:val="superscript"/>
        </w:rPr>
        <w:t>er</w:t>
      </w:r>
      <w:r w:rsidRPr="00CD493F">
        <w:rPr>
          <w:rFonts w:ascii="Verdana" w:hAnsi="Verdana"/>
          <w:sz w:val="22"/>
        </w:rPr>
        <w:t xml:space="preserve"> juillet 2014. </w:t>
      </w:r>
    </w:p>
    <w:p w:rsidR="00D84FF3" w:rsidRPr="00CD493F" w:rsidRDefault="00D84FF3" w:rsidP="00D84FF3">
      <w:pPr>
        <w:jc w:val="both"/>
        <w:rPr>
          <w:rFonts w:ascii="Verdana" w:hAnsi="Verdana"/>
          <w:sz w:val="22"/>
        </w:rPr>
      </w:pPr>
    </w:p>
    <w:p w:rsidR="00D84FF3" w:rsidRPr="00CD493F" w:rsidRDefault="00D84FF3" w:rsidP="00D84FF3">
      <w:pPr>
        <w:jc w:val="both"/>
        <w:rPr>
          <w:rFonts w:ascii="Verdana" w:hAnsi="Verdana"/>
          <w:sz w:val="22"/>
          <w:lang w:val="fr-BE"/>
        </w:rPr>
      </w:pPr>
      <w:r w:rsidRPr="00CD493F">
        <w:rPr>
          <w:rFonts w:ascii="Verdana" w:hAnsi="Verdana"/>
          <w:sz w:val="22"/>
        </w:rPr>
        <w:t xml:space="preserve">La Wallonie </w:t>
      </w:r>
      <w:r w:rsidRPr="00CD493F">
        <w:rPr>
          <w:rFonts w:ascii="Verdana" w:hAnsi="Verdana"/>
          <w:sz w:val="22"/>
          <w:lang w:val="fr-BE"/>
        </w:rPr>
        <w:t xml:space="preserve">est désormais compétente pour prendre toute mesure en vue de protéger les animaux et favoriser leur bien-être, dans le cadre d’un dialogue constructif avec les secteurs économiques concernés. </w:t>
      </w:r>
    </w:p>
    <w:p w:rsidR="00D84FF3" w:rsidRPr="00CD493F" w:rsidRDefault="00D84FF3" w:rsidP="00D84FF3">
      <w:pPr>
        <w:jc w:val="both"/>
        <w:rPr>
          <w:rFonts w:ascii="Verdana" w:hAnsi="Verdana"/>
          <w:sz w:val="22"/>
          <w:lang w:val="fr-BE"/>
        </w:rPr>
      </w:pPr>
    </w:p>
    <w:p w:rsidR="00D84FF3" w:rsidRPr="00CD493F" w:rsidRDefault="00D84FF3" w:rsidP="00D84FF3">
      <w:pPr>
        <w:pStyle w:val="Paragraphedeliste"/>
        <w:numPr>
          <w:ilvl w:val="1"/>
          <w:numId w:val="0"/>
        </w:numPr>
        <w:tabs>
          <w:tab w:val="num" w:pos="1440"/>
        </w:tabs>
        <w:ind w:left="1440" w:hanging="360"/>
        <w:jc w:val="both"/>
        <w:rPr>
          <w:rFonts w:ascii="Verdana" w:hAnsi="Verdana"/>
          <w:b/>
          <w:sz w:val="22"/>
          <w:u w:val="single"/>
        </w:rPr>
      </w:pPr>
      <w:r w:rsidRPr="00CD493F">
        <w:rPr>
          <w:rFonts w:ascii="Verdana" w:hAnsi="Verdana"/>
          <w:b/>
          <w:sz w:val="22"/>
          <w:u w:val="single"/>
        </w:rPr>
        <w:t>Argumentaire</w:t>
      </w:r>
    </w:p>
    <w:p w:rsidR="00D84FF3" w:rsidRPr="00CD493F" w:rsidRDefault="00D84FF3" w:rsidP="00D84FF3">
      <w:pPr>
        <w:pStyle w:val="Paragraphedeliste"/>
        <w:numPr>
          <w:ilvl w:val="1"/>
          <w:numId w:val="0"/>
        </w:numPr>
        <w:tabs>
          <w:tab w:val="num" w:pos="1440"/>
        </w:tabs>
        <w:ind w:left="1440" w:hanging="360"/>
        <w:jc w:val="both"/>
        <w:rPr>
          <w:rFonts w:ascii="Verdana" w:hAnsi="Verdana"/>
          <w:b/>
          <w:sz w:val="22"/>
          <w:u w:val="single"/>
        </w:rPr>
      </w:pPr>
    </w:p>
    <w:p w:rsidR="001544FA" w:rsidRDefault="001544FA" w:rsidP="00D84FF3">
      <w:pPr>
        <w:jc w:val="both"/>
        <w:rPr>
          <w:rFonts w:ascii="Verdana" w:hAnsi="Verdana"/>
          <w:sz w:val="22"/>
        </w:rPr>
      </w:pPr>
    </w:p>
    <w:p w:rsidR="001544FA" w:rsidRPr="00CD493F" w:rsidRDefault="001544FA" w:rsidP="001544FA">
      <w:pPr>
        <w:jc w:val="both"/>
        <w:rPr>
          <w:rFonts w:ascii="Verdana" w:hAnsi="Verdana"/>
          <w:sz w:val="22"/>
        </w:rPr>
      </w:pPr>
      <w:r>
        <w:rPr>
          <w:rFonts w:ascii="Verdana" w:hAnsi="Verdana"/>
          <w:sz w:val="22"/>
        </w:rPr>
        <w:t xml:space="preserve">L’article 36, 16°, punit celui qui propose ou décerne des animaux à titre de prix, de récompense ou de don lors de concours, de loteries, de paris ou dans d’autres circonstances similaires. Or, il apparait que cette interdiction est bien souvent contournée lors des kermesses et fêtes foraines. Effectivement, le  gain remporté n’est plus un animal mais un nombre de points permettant d’acheter un animal. L’animal n’est alors plus gagné mais bien échangé par les points gagnés. </w:t>
      </w:r>
      <w:r w:rsidR="002B31CB">
        <w:rPr>
          <w:rFonts w:ascii="Verdana" w:hAnsi="Verdana"/>
          <w:sz w:val="22"/>
        </w:rPr>
        <w:t>Afin de remédier à cette situation, il y a lieu d’interdire la commercialisation d’animaux dans les kermesses, fêtes foraines et évènements similaires.</w:t>
      </w:r>
    </w:p>
    <w:p w:rsidR="001544FA" w:rsidRDefault="001544FA" w:rsidP="00D84FF3">
      <w:pPr>
        <w:jc w:val="both"/>
        <w:rPr>
          <w:rFonts w:ascii="Verdana" w:hAnsi="Verdana"/>
          <w:sz w:val="22"/>
        </w:rPr>
      </w:pPr>
    </w:p>
    <w:p w:rsidR="0049667B" w:rsidRPr="00CD493F" w:rsidRDefault="001544FA" w:rsidP="00D84FF3">
      <w:pPr>
        <w:jc w:val="both"/>
        <w:rPr>
          <w:rFonts w:ascii="Verdana" w:hAnsi="Verdana"/>
          <w:sz w:val="22"/>
        </w:rPr>
      </w:pPr>
      <w:r>
        <w:rPr>
          <w:rFonts w:ascii="Verdana" w:hAnsi="Verdana"/>
          <w:sz w:val="22"/>
        </w:rPr>
        <w:t>Par ailleurs, il</w:t>
      </w:r>
      <w:r w:rsidR="00D84FF3" w:rsidRPr="00CD493F">
        <w:rPr>
          <w:rFonts w:ascii="Verdana" w:hAnsi="Verdana"/>
          <w:sz w:val="22"/>
        </w:rPr>
        <w:t xml:space="preserve"> est d’avis assez unanime que les </w:t>
      </w:r>
      <w:r w:rsidR="0049667B" w:rsidRPr="00CD493F">
        <w:rPr>
          <w:rFonts w:ascii="Verdana" w:hAnsi="Verdana"/>
          <w:sz w:val="22"/>
        </w:rPr>
        <w:t xml:space="preserve">lieux publics en général </w:t>
      </w:r>
      <w:r w:rsidR="00D84FF3" w:rsidRPr="00CD493F">
        <w:rPr>
          <w:rFonts w:ascii="Verdana" w:hAnsi="Verdana"/>
          <w:sz w:val="22"/>
        </w:rPr>
        <w:t>ne représentent pas un endroit o</w:t>
      </w:r>
      <w:r w:rsidR="003157FF" w:rsidRPr="00CD493F">
        <w:rPr>
          <w:rFonts w:ascii="Verdana" w:hAnsi="Verdana"/>
          <w:sz w:val="22"/>
        </w:rPr>
        <w:t>ù</w:t>
      </w:r>
      <w:r w:rsidR="00D84FF3" w:rsidRPr="00CD493F">
        <w:rPr>
          <w:rFonts w:ascii="Verdana" w:hAnsi="Verdana"/>
          <w:sz w:val="22"/>
        </w:rPr>
        <w:t xml:space="preserve"> la commercialisation des animaux peut se faire de façon à éviter les achats impulsifs et garantir le bien-être des animaux. Non seulement les conditions de détention et d’exposition des animaux sur de tels lieux ne garantissent pas le bien-être, mais en plus, il découle des circonstances aléatoires dans lesquels les animaux sont acquis</w:t>
      </w:r>
      <w:r w:rsidR="003157FF" w:rsidRPr="00CD493F">
        <w:rPr>
          <w:rFonts w:ascii="Verdana" w:hAnsi="Verdana"/>
          <w:sz w:val="22"/>
        </w:rPr>
        <w:t>,</w:t>
      </w:r>
      <w:r w:rsidR="00D84FF3" w:rsidRPr="00CD493F">
        <w:rPr>
          <w:rFonts w:ascii="Verdana" w:hAnsi="Verdana"/>
          <w:sz w:val="22"/>
        </w:rPr>
        <w:t xml:space="preserve"> qu’ils risquent par la suite, de ne pas être détenus dans les condition</w:t>
      </w:r>
      <w:r w:rsidR="0049667B" w:rsidRPr="00CD493F">
        <w:rPr>
          <w:rFonts w:ascii="Verdana" w:hAnsi="Verdana"/>
          <w:sz w:val="22"/>
        </w:rPr>
        <w:t xml:space="preserve">s qui répondent à leurs besoins. </w:t>
      </w:r>
    </w:p>
    <w:p w:rsidR="0049667B" w:rsidRPr="00CD493F" w:rsidRDefault="0049667B" w:rsidP="00D84FF3">
      <w:pPr>
        <w:jc w:val="both"/>
        <w:rPr>
          <w:rFonts w:ascii="Verdana" w:hAnsi="Verdana"/>
          <w:sz w:val="22"/>
        </w:rPr>
      </w:pPr>
    </w:p>
    <w:p w:rsidR="00D84FF3" w:rsidRPr="00CD493F" w:rsidRDefault="0049667B" w:rsidP="00D84FF3">
      <w:pPr>
        <w:jc w:val="both"/>
        <w:rPr>
          <w:rFonts w:ascii="Verdana" w:hAnsi="Verdana"/>
          <w:sz w:val="22"/>
        </w:rPr>
      </w:pPr>
      <w:r w:rsidRPr="00CD493F">
        <w:rPr>
          <w:rFonts w:ascii="Verdana" w:hAnsi="Verdana"/>
          <w:sz w:val="22"/>
        </w:rPr>
        <w:t xml:space="preserve">Il </w:t>
      </w:r>
      <w:r w:rsidR="00202B98" w:rsidRPr="00CD493F">
        <w:rPr>
          <w:rFonts w:ascii="Verdana" w:hAnsi="Verdana"/>
          <w:sz w:val="22"/>
        </w:rPr>
        <w:t xml:space="preserve">y a donc lieu de considérer que la commercialisation de tous les animaux sur des lieux publics tels que la voie publique, les </w:t>
      </w:r>
      <w:r w:rsidR="00D84FF3" w:rsidRPr="00CD493F">
        <w:rPr>
          <w:rFonts w:ascii="Verdana" w:hAnsi="Verdana"/>
          <w:sz w:val="22"/>
        </w:rPr>
        <w:t xml:space="preserve"> </w:t>
      </w:r>
      <w:r w:rsidR="00202B98" w:rsidRPr="00CD493F">
        <w:rPr>
          <w:rFonts w:ascii="Verdana" w:hAnsi="Verdana"/>
          <w:sz w:val="22"/>
        </w:rPr>
        <w:t>kermesses</w:t>
      </w:r>
      <w:r w:rsidR="0038695B" w:rsidRPr="00D3116A">
        <w:rPr>
          <w:rFonts w:ascii="Verdana" w:hAnsi="Verdana"/>
          <w:sz w:val="22"/>
        </w:rPr>
        <w:t xml:space="preserve">, </w:t>
      </w:r>
      <w:r w:rsidR="00202B98" w:rsidRPr="00D3116A">
        <w:rPr>
          <w:rFonts w:ascii="Verdana" w:hAnsi="Verdana"/>
          <w:sz w:val="22"/>
        </w:rPr>
        <w:t xml:space="preserve"> les </w:t>
      </w:r>
      <w:r w:rsidRPr="00D3116A">
        <w:rPr>
          <w:rFonts w:ascii="Verdana" w:hAnsi="Verdana"/>
          <w:sz w:val="22"/>
        </w:rPr>
        <w:t> </w:t>
      </w:r>
      <w:r w:rsidR="0038695B" w:rsidRPr="00D3116A">
        <w:rPr>
          <w:rFonts w:ascii="Verdana" w:hAnsi="Verdana"/>
          <w:sz w:val="22"/>
          <w:szCs w:val="22"/>
        </w:rPr>
        <w:t>fêtes foraines</w:t>
      </w:r>
      <w:r w:rsidRPr="00CD493F">
        <w:rPr>
          <w:rFonts w:ascii="Verdana" w:hAnsi="Verdana"/>
          <w:sz w:val="22"/>
        </w:rPr>
        <w:t xml:space="preserve"> et </w:t>
      </w:r>
      <w:r w:rsidR="00202B98" w:rsidRPr="00CD493F">
        <w:rPr>
          <w:rFonts w:ascii="Verdana" w:hAnsi="Verdana"/>
          <w:sz w:val="22"/>
        </w:rPr>
        <w:t>les salons </w:t>
      </w:r>
      <w:r w:rsidRPr="00CD493F">
        <w:rPr>
          <w:rFonts w:ascii="Verdana" w:hAnsi="Verdana"/>
          <w:sz w:val="22"/>
        </w:rPr>
        <w:t xml:space="preserve"> (type salon de l’auto ou des arts ménagers)</w:t>
      </w:r>
      <w:r w:rsidR="00202B98" w:rsidRPr="00CD493F">
        <w:rPr>
          <w:rFonts w:ascii="Verdana" w:hAnsi="Verdana"/>
          <w:sz w:val="22"/>
        </w:rPr>
        <w:t xml:space="preserve"> doit être interdite. </w:t>
      </w:r>
    </w:p>
    <w:p w:rsidR="00202B98" w:rsidRPr="00CD493F" w:rsidRDefault="00202B98" w:rsidP="00D84FF3">
      <w:pPr>
        <w:jc w:val="both"/>
        <w:rPr>
          <w:rFonts w:ascii="Verdana" w:hAnsi="Verdana"/>
          <w:sz w:val="22"/>
        </w:rPr>
      </w:pPr>
    </w:p>
    <w:p w:rsidR="00202B98" w:rsidRDefault="00202B98" w:rsidP="00D84FF3">
      <w:pPr>
        <w:jc w:val="both"/>
        <w:rPr>
          <w:rFonts w:ascii="Verdana" w:hAnsi="Verdana"/>
          <w:sz w:val="22"/>
        </w:rPr>
      </w:pPr>
      <w:r w:rsidRPr="00CD493F">
        <w:rPr>
          <w:rFonts w:ascii="Verdana" w:hAnsi="Verdana"/>
          <w:sz w:val="22"/>
        </w:rPr>
        <w:t xml:space="preserve">Il est cependant nécessaire de considérer distinctement certains lieux publics dans lesquels la commercialisation d’animaux est autorisée sous certaines </w:t>
      </w:r>
      <w:r w:rsidRPr="00CD493F">
        <w:rPr>
          <w:rFonts w:ascii="Verdana" w:hAnsi="Verdana"/>
          <w:sz w:val="22"/>
        </w:rPr>
        <w:lastRenderedPageBreak/>
        <w:t xml:space="preserve">conditions et à l’exclusion des chiens et des chats : il s’agit des marchés d’animaux, des marchés communaux et des expositions d’animaux. </w:t>
      </w:r>
    </w:p>
    <w:p w:rsidR="00202B98" w:rsidRPr="00CD493F" w:rsidRDefault="00202B98" w:rsidP="00D84FF3">
      <w:pPr>
        <w:jc w:val="both"/>
        <w:rPr>
          <w:rFonts w:ascii="Verdana" w:hAnsi="Verdana"/>
          <w:sz w:val="22"/>
        </w:rPr>
      </w:pPr>
    </w:p>
    <w:p w:rsidR="00D84FF3" w:rsidRPr="00CD493F" w:rsidRDefault="00202B98" w:rsidP="00D84FF3">
      <w:pPr>
        <w:jc w:val="both"/>
        <w:rPr>
          <w:rFonts w:ascii="Verdana" w:hAnsi="Verdana"/>
          <w:sz w:val="22"/>
        </w:rPr>
      </w:pPr>
      <w:r w:rsidRPr="00CD493F">
        <w:rPr>
          <w:rFonts w:ascii="Verdana" w:hAnsi="Verdana"/>
          <w:sz w:val="22"/>
        </w:rPr>
        <w:t>De telles dispositions peuvent être mises en œuvre</w:t>
      </w:r>
      <w:r w:rsidR="00D84FF3" w:rsidRPr="00CD493F">
        <w:rPr>
          <w:rFonts w:ascii="Verdana" w:hAnsi="Verdana"/>
          <w:sz w:val="22"/>
        </w:rPr>
        <w:t xml:space="preserve"> par une modification de l’article 12 de la loi</w:t>
      </w:r>
      <w:r w:rsidR="001121D9" w:rsidRPr="00CD493F">
        <w:rPr>
          <w:rFonts w:ascii="Verdana" w:hAnsi="Verdana"/>
          <w:sz w:val="22"/>
        </w:rPr>
        <w:t xml:space="preserve"> du 14 août 1986 relative à la protection et au bien-être des animaux</w:t>
      </w:r>
      <w:r w:rsidR="00D84FF3" w:rsidRPr="00CD493F">
        <w:rPr>
          <w:rFonts w:ascii="Verdana" w:hAnsi="Verdana"/>
          <w:sz w:val="22"/>
        </w:rPr>
        <w:t>. Cet article mérite d’ailleurs d’être éclairci car il peut induire des confusions entre les notions de salons, marchés, bourses, ex</w:t>
      </w:r>
      <w:r w:rsidRPr="00CD493F">
        <w:rPr>
          <w:rFonts w:ascii="Verdana" w:hAnsi="Verdana"/>
          <w:sz w:val="22"/>
        </w:rPr>
        <w:t xml:space="preserve">positions qui y sont énumérées, c’est pourquoi il est opté pour un remplacement complet de cet article par une nouvelle disposition. </w:t>
      </w:r>
    </w:p>
    <w:p w:rsidR="00BF43DE" w:rsidRPr="00CD493F" w:rsidRDefault="00BF43DE" w:rsidP="00D84FF3">
      <w:pPr>
        <w:jc w:val="both"/>
        <w:rPr>
          <w:rFonts w:ascii="Verdana" w:hAnsi="Verdana"/>
          <w:sz w:val="22"/>
        </w:rPr>
      </w:pPr>
    </w:p>
    <w:p w:rsidR="00D84FF3" w:rsidRPr="00CD493F" w:rsidRDefault="00BF43DE" w:rsidP="00D84FF3">
      <w:pPr>
        <w:jc w:val="both"/>
        <w:rPr>
          <w:rFonts w:ascii="Verdana" w:hAnsi="Verdana"/>
          <w:sz w:val="22"/>
        </w:rPr>
      </w:pPr>
      <w:r w:rsidRPr="00CD493F">
        <w:rPr>
          <w:rFonts w:ascii="Verdana" w:hAnsi="Verdana"/>
          <w:sz w:val="22"/>
        </w:rPr>
        <w:t xml:space="preserve">En outre, la nouvelle disposition prévoit la possibilité pour le Gouvernement de fixer des conditions pour la commercialisation d’animaux (autres que les chiens et les chats) sur les marchés d’animaux, marchés communaux et expositions d’animaux. </w:t>
      </w:r>
    </w:p>
    <w:p w:rsidR="00202B98" w:rsidRPr="00CD493F" w:rsidRDefault="00D84FF3" w:rsidP="004B4CB9">
      <w:pPr>
        <w:jc w:val="both"/>
        <w:rPr>
          <w:rFonts w:ascii="Verdana" w:hAnsi="Verdana"/>
          <w:sz w:val="22"/>
        </w:rPr>
      </w:pPr>
      <w:r w:rsidRPr="00CD493F">
        <w:rPr>
          <w:rFonts w:ascii="Verdana" w:hAnsi="Verdana"/>
          <w:sz w:val="22"/>
        </w:rPr>
        <w:t xml:space="preserve">Pour la cohérence du dispositif législatif, il y a lieu de revoir la définition de « marché » dans la loi et d’y apporter la distinction entre </w:t>
      </w:r>
      <w:r w:rsidRPr="00CD493F">
        <w:rPr>
          <w:rFonts w:ascii="Verdana" w:hAnsi="Verdana"/>
          <w:i/>
          <w:sz w:val="22"/>
        </w:rPr>
        <w:t>marché d’animaux</w:t>
      </w:r>
      <w:r w:rsidRPr="00CD493F">
        <w:rPr>
          <w:rFonts w:ascii="Verdana" w:hAnsi="Verdana"/>
          <w:sz w:val="22"/>
        </w:rPr>
        <w:t xml:space="preserve"> au sens de la définition actuelle, c’est-à-dire un lieu </w:t>
      </w:r>
      <w:r w:rsidR="00202B98" w:rsidRPr="00CD493F">
        <w:rPr>
          <w:rFonts w:ascii="Verdana" w:hAnsi="Verdana"/>
          <w:sz w:val="22"/>
        </w:rPr>
        <w:t xml:space="preserve">de rassemblement d’animaux pour les </w:t>
      </w:r>
      <w:r w:rsidRPr="00CD493F">
        <w:rPr>
          <w:rFonts w:ascii="Verdana" w:hAnsi="Verdana"/>
          <w:sz w:val="22"/>
        </w:rPr>
        <w:t xml:space="preserve">commercialiser </w:t>
      </w:r>
      <w:r w:rsidR="004C0A99" w:rsidRPr="00CD493F">
        <w:rPr>
          <w:rFonts w:ascii="Verdana" w:hAnsi="Verdana"/>
          <w:sz w:val="22"/>
        </w:rPr>
        <w:t xml:space="preserve">et </w:t>
      </w:r>
      <w:r w:rsidRPr="00CD493F">
        <w:rPr>
          <w:rFonts w:ascii="Verdana" w:hAnsi="Verdana"/>
          <w:i/>
          <w:sz w:val="22"/>
        </w:rPr>
        <w:t>marché communal</w:t>
      </w:r>
      <w:r w:rsidRPr="00CD493F">
        <w:rPr>
          <w:rFonts w:ascii="Verdana" w:hAnsi="Verdana"/>
          <w:sz w:val="22"/>
        </w:rPr>
        <w:t xml:space="preserve"> sur lequel on peut trouver au milieu d’autres étals, des animaux commercialisés (poules</w:t>
      </w:r>
      <w:r w:rsidR="004C0A99" w:rsidRPr="00CD493F">
        <w:rPr>
          <w:rFonts w:ascii="Verdana" w:hAnsi="Verdana"/>
          <w:sz w:val="22"/>
        </w:rPr>
        <w:t>,</w:t>
      </w:r>
      <w:r w:rsidRPr="00CD493F">
        <w:rPr>
          <w:rFonts w:ascii="Verdana" w:hAnsi="Verdana"/>
          <w:sz w:val="22"/>
        </w:rPr>
        <w:t xml:space="preserve"> lapins, hamsters …). </w:t>
      </w:r>
    </w:p>
    <w:p w:rsidR="00202B98" w:rsidRPr="00CD493F" w:rsidRDefault="00202B98" w:rsidP="004B4CB9">
      <w:pPr>
        <w:jc w:val="both"/>
        <w:rPr>
          <w:rFonts w:ascii="Verdana" w:hAnsi="Verdana"/>
          <w:sz w:val="22"/>
        </w:rPr>
      </w:pPr>
    </w:p>
    <w:p w:rsidR="00202B98" w:rsidRPr="00CD493F" w:rsidRDefault="00BF43DE" w:rsidP="004B4CB9">
      <w:pPr>
        <w:jc w:val="both"/>
        <w:rPr>
          <w:rFonts w:ascii="Verdana" w:hAnsi="Verdana"/>
          <w:sz w:val="22"/>
        </w:rPr>
      </w:pPr>
      <w:r w:rsidRPr="00CD493F">
        <w:rPr>
          <w:rFonts w:ascii="Verdana" w:hAnsi="Verdana"/>
          <w:sz w:val="22"/>
        </w:rPr>
        <w:t>La définition d’une « exposition » e</w:t>
      </w:r>
      <w:r w:rsidR="003157FF" w:rsidRPr="00CD493F">
        <w:rPr>
          <w:rFonts w:ascii="Verdana" w:hAnsi="Verdana"/>
          <w:sz w:val="22"/>
        </w:rPr>
        <w:t>st aussi revue afin de différenc</w:t>
      </w:r>
      <w:r w:rsidRPr="00CD493F">
        <w:rPr>
          <w:rFonts w:ascii="Verdana" w:hAnsi="Verdana"/>
          <w:sz w:val="22"/>
        </w:rPr>
        <w:t xml:space="preserve">ier explicitement une exposition d’animaux d’une autre exposition à considérer comme lieu public. </w:t>
      </w:r>
    </w:p>
    <w:p w:rsidR="00BF43DE" w:rsidRPr="00CD493F" w:rsidRDefault="00BF43DE" w:rsidP="004B4CB9">
      <w:pPr>
        <w:jc w:val="both"/>
        <w:rPr>
          <w:rFonts w:ascii="Verdana" w:hAnsi="Verdana"/>
          <w:sz w:val="22"/>
        </w:rPr>
      </w:pPr>
    </w:p>
    <w:p w:rsidR="00202B98" w:rsidRPr="00CD493F" w:rsidRDefault="00BF43DE" w:rsidP="004B4CB9">
      <w:pPr>
        <w:jc w:val="both"/>
        <w:rPr>
          <w:rFonts w:ascii="Verdana" w:hAnsi="Verdana"/>
          <w:sz w:val="22"/>
        </w:rPr>
      </w:pPr>
      <w:r w:rsidRPr="00CD493F">
        <w:rPr>
          <w:rFonts w:ascii="Verdana" w:hAnsi="Verdana"/>
          <w:sz w:val="22"/>
        </w:rPr>
        <w:t>Enfin, l</w:t>
      </w:r>
      <w:r w:rsidR="00202B98" w:rsidRPr="00CD493F">
        <w:rPr>
          <w:rFonts w:ascii="Verdana" w:hAnsi="Verdana"/>
          <w:sz w:val="22"/>
        </w:rPr>
        <w:t xml:space="preserve">’article 5 de la loi </w:t>
      </w:r>
      <w:r w:rsidRPr="00CD493F">
        <w:rPr>
          <w:rFonts w:ascii="Verdana" w:hAnsi="Verdana"/>
          <w:sz w:val="22"/>
        </w:rPr>
        <w:t xml:space="preserve">prévoyant l’agrément des marchés (au sens marchés d’animaux), il y a lieu de préciser </w:t>
      </w:r>
      <w:r w:rsidR="00222BE0" w:rsidRPr="00CD493F">
        <w:rPr>
          <w:rFonts w:ascii="Verdana" w:hAnsi="Verdana"/>
          <w:sz w:val="22"/>
        </w:rPr>
        <w:t xml:space="preserve"> le terme tel que modifié par </w:t>
      </w:r>
      <w:r w:rsidRPr="00CD493F">
        <w:rPr>
          <w:rFonts w:ascii="Verdana" w:hAnsi="Verdana"/>
          <w:sz w:val="22"/>
        </w:rPr>
        <w:t>la définition de « marché </w:t>
      </w:r>
      <w:r w:rsidR="00222BE0" w:rsidRPr="00CD493F">
        <w:rPr>
          <w:rFonts w:ascii="Verdana" w:hAnsi="Verdana"/>
          <w:sz w:val="22"/>
        </w:rPr>
        <w:t xml:space="preserve">d’animaux </w:t>
      </w:r>
      <w:r w:rsidRPr="00CD493F">
        <w:rPr>
          <w:rFonts w:ascii="Verdana" w:hAnsi="Verdana"/>
          <w:sz w:val="22"/>
        </w:rPr>
        <w:t xml:space="preserve">». </w:t>
      </w:r>
    </w:p>
    <w:sectPr w:rsidR="00202B98" w:rsidRPr="00CD493F" w:rsidSect="00E24FB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4FA" w:rsidRDefault="001544FA" w:rsidP="009245AA">
      <w:r>
        <w:separator/>
      </w:r>
    </w:p>
  </w:endnote>
  <w:endnote w:type="continuationSeparator" w:id="0">
    <w:p w:rsidR="001544FA" w:rsidRDefault="001544FA" w:rsidP="00924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093614"/>
      <w:docPartObj>
        <w:docPartGallery w:val="Page Numbers (Bottom of Page)"/>
        <w:docPartUnique/>
      </w:docPartObj>
    </w:sdtPr>
    <w:sdtContent>
      <w:p w:rsidR="001544FA" w:rsidRDefault="001544FA">
        <w:pPr>
          <w:pStyle w:val="Pieddepage"/>
          <w:jc w:val="right"/>
        </w:pPr>
        <w:fldSimple w:instr=" PAGE   \* MERGEFORMAT ">
          <w:r w:rsidR="002B31CB">
            <w:rPr>
              <w:noProof/>
            </w:rPr>
            <w:t>1</w:t>
          </w:r>
        </w:fldSimple>
      </w:p>
    </w:sdtContent>
  </w:sdt>
  <w:p w:rsidR="001544FA" w:rsidRDefault="001544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4FA" w:rsidRDefault="001544FA" w:rsidP="009245AA">
      <w:r>
        <w:separator/>
      </w:r>
    </w:p>
  </w:footnote>
  <w:footnote w:type="continuationSeparator" w:id="0">
    <w:p w:rsidR="001544FA" w:rsidRDefault="001544FA" w:rsidP="009245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1642E"/>
    <w:multiLevelType w:val="hybridMultilevel"/>
    <w:tmpl w:val="F29CE2E2"/>
    <w:lvl w:ilvl="0" w:tplc="9084A636">
      <w:start w:val="1"/>
      <w:numFmt w:val="decimal"/>
      <w:lvlText w:val="%1."/>
      <w:lvlJc w:val="left"/>
      <w:pPr>
        <w:ind w:left="1440" w:hanging="360"/>
      </w:pPr>
      <w:rPr>
        <w:rFonts w:hint="default"/>
      </w:rPr>
    </w:lvl>
    <w:lvl w:ilvl="1" w:tplc="040C000F"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BC655E"/>
    <w:rsid w:val="000035CC"/>
    <w:rsid w:val="0002480C"/>
    <w:rsid w:val="00094A02"/>
    <w:rsid w:val="000A53C0"/>
    <w:rsid w:val="000B24A0"/>
    <w:rsid w:val="00105EE2"/>
    <w:rsid w:val="001121D9"/>
    <w:rsid w:val="001544FA"/>
    <w:rsid w:val="00184CEE"/>
    <w:rsid w:val="00202B98"/>
    <w:rsid w:val="00222BE0"/>
    <w:rsid w:val="0022537E"/>
    <w:rsid w:val="00247741"/>
    <w:rsid w:val="0025242E"/>
    <w:rsid w:val="00267EA4"/>
    <w:rsid w:val="002B31CB"/>
    <w:rsid w:val="003157FF"/>
    <w:rsid w:val="0038695B"/>
    <w:rsid w:val="003B5288"/>
    <w:rsid w:val="003D39DA"/>
    <w:rsid w:val="0049667B"/>
    <w:rsid w:val="004A6C43"/>
    <w:rsid w:val="004B4CB9"/>
    <w:rsid w:val="004C0A99"/>
    <w:rsid w:val="00614440"/>
    <w:rsid w:val="00664502"/>
    <w:rsid w:val="0079459C"/>
    <w:rsid w:val="00851FE2"/>
    <w:rsid w:val="008A3476"/>
    <w:rsid w:val="00923C97"/>
    <w:rsid w:val="009245AA"/>
    <w:rsid w:val="00987C7E"/>
    <w:rsid w:val="00997C29"/>
    <w:rsid w:val="00A41CA7"/>
    <w:rsid w:val="00A90889"/>
    <w:rsid w:val="00AC5566"/>
    <w:rsid w:val="00AF2AF3"/>
    <w:rsid w:val="00AF74C0"/>
    <w:rsid w:val="00BB0D11"/>
    <w:rsid w:val="00BC655E"/>
    <w:rsid w:val="00BF43DE"/>
    <w:rsid w:val="00C60BCF"/>
    <w:rsid w:val="00CD493F"/>
    <w:rsid w:val="00D3116A"/>
    <w:rsid w:val="00D533B5"/>
    <w:rsid w:val="00D777CE"/>
    <w:rsid w:val="00D84269"/>
    <w:rsid w:val="00D84FF3"/>
    <w:rsid w:val="00E21871"/>
    <w:rsid w:val="00E24FB0"/>
    <w:rsid w:val="00E51B59"/>
    <w:rsid w:val="00E70D99"/>
    <w:rsid w:val="00EA2BAE"/>
    <w:rsid w:val="00ED065C"/>
    <w:rsid w:val="00F84009"/>
    <w:rsid w:val="00FD79F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69"/>
    <w:rPr>
      <w:rFonts w:ascii="Times New Roman" w:eastAsia="Times New Roman" w:hAnsi="Times New Roman" w:cs="Times New Roman"/>
      <w:lang w:val="fr-FR" w:eastAsia="fr-FR"/>
    </w:rPr>
  </w:style>
  <w:style w:type="paragraph" w:styleId="Titre1">
    <w:name w:val="heading 1"/>
    <w:basedOn w:val="Normal"/>
    <w:next w:val="Normal"/>
    <w:link w:val="Titre1Car"/>
    <w:qFormat/>
    <w:rsid w:val="009245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qFormat/>
    <w:rsid w:val="00D8426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D84269"/>
    <w:rPr>
      <w:rFonts w:ascii="Times New Roman" w:eastAsia="Times New Roman" w:hAnsi="Times New Roman" w:cs="Times New Roman"/>
      <w:b/>
      <w:bCs/>
      <w:sz w:val="28"/>
      <w:szCs w:val="28"/>
      <w:lang w:val="fr-FR" w:eastAsia="fr-FR"/>
    </w:rPr>
  </w:style>
  <w:style w:type="table" w:styleId="Grilledutableau">
    <w:name w:val="Table Grid"/>
    <w:basedOn w:val="TableauNormal"/>
    <w:uiPriority w:val="59"/>
    <w:rsid w:val="00D8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9245AA"/>
    <w:rPr>
      <w:rFonts w:asciiTheme="majorHAnsi" w:eastAsiaTheme="majorEastAsia" w:hAnsiTheme="majorHAnsi" w:cstheme="majorBidi"/>
      <w:b/>
      <w:bCs/>
      <w:color w:val="365F91" w:themeColor="accent1" w:themeShade="BF"/>
      <w:sz w:val="28"/>
      <w:szCs w:val="28"/>
      <w:lang w:val="fr-FR" w:eastAsia="fr-FR"/>
    </w:rPr>
  </w:style>
  <w:style w:type="paragraph" w:styleId="Paragraphedeliste">
    <w:name w:val="List Paragraph"/>
    <w:basedOn w:val="Normal"/>
    <w:link w:val="ParagraphedelisteCar"/>
    <w:uiPriority w:val="34"/>
    <w:qFormat/>
    <w:rsid w:val="009245AA"/>
    <w:pPr>
      <w:ind w:left="708"/>
    </w:pPr>
  </w:style>
  <w:style w:type="character" w:customStyle="1" w:styleId="ParagraphedelisteCar">
    <w:name w:val="Paragraphe de liste Car"/>
    <w:link w:val="Paragraphedeliste"/>
    <w:uiPriority w:val="34"/>
    <w:rsid w:val="009245AA"/>
    <w:rPr>
      <w:rFonts w:ascii="Times New Roman" w:eastAsia="Times New Roman" w:hAnsi="Times New Roman" w:cs="Times New Roman"/>
      <w:lang w:val="fr-FR" w:eastAsia="fr-FR"/>
    </w:rPr>
  </w:style>
  <w:style w:type="paragraph" w:styleId="En-tte">
    <w:name w:val="header"/>
    <w:basedOn w:val="Normal"/>
    <w:link w:val="En-tteCar"/>
    <w:uiPriority w:val="99"/>
    <w:semiHidden/>
    <w:unhideWhenUsed/>
    <w:rsid w:val="009245AA"/>
    <w:pPr>
      <w:tabs>
        <w:tab w:val="center" w:pos="4536"/>
        <w:tab w:val="right" w:pos="9072"/>
      </w:tabs>
    </w:pPr>
  </w:style>
  <w:style w:type="character" w:customStyle="1" w:styleId="En-tteCar">
    <w:name w:val="En-tête Car"/>
    <w:basedOn w:val="Policepardfaut"/>
    <w:link w:val="En-tte"/>
    <w:uiPriority w:val="99"/>
    <w:semiHidden/>
    <w:rsid w:val="009245AA"/>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rsid w:val="009245AA"/>
    <w:pPr>
      <w:tabs>
        <w:tab w:val="center" w:pos="4536"/>
        <w:tab w:val="right" w:pos="9072"/>
      </w:tabs>
    </w:pPr>
  </w:style>
  <w:style w:type="character" w:customStyle="1" w:styleId="PieddepageCar">
    <w:name w:val="Pied de page Car"/>
    <w:basedOn w:val="Policepardfaut"/>
    <w:link w:val="Pieddepage"/>
    <w:uiPriority w:val="99"/>
    <w:rsid w:val="009245AA"/>
    <w:rPr>
      <w:rFonts w:ascii="Times New Roman" w:eastAsia="Times New Roman" w:hAnsi="Times New Roman" w:cs="Times New Roman"/>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596</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DEROECK</dc:creator>
  <cp:lastModifiedBy>DEROECK</cp:lastModifiedBy>
  <cp:revision>12</cp:revision>
  <cp:lastPrinted>2014-10-01T14:26:00Z</cp:lastPrinted>
  <dcterms:created xsi:type="dcterms:W3CDTF">2015-03-05T15:04:00Z</dcterms:created>
  <dcterms:modified xsi:type="dcterms:W3CDTF">2015-04-21T17:01:00Z</dcterms:modified>
</cp:coreProperties>
</file>