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71B6" w14:textId="77777777" w:rsidR="00416FB4" w:rsidRPr="00D512EC" w:rsidRDefault="00416FB4" w:rsidP="00416FB4">
      <w:pPr>
        <w:rPr>
          <w:rFonts w:eastAsia="Times New Roman" w:cs="Arial"/>
          <w:b/>
          <w:bCs/>
          <w:sz w:val="21"/>
          <w:szCs w:val="21"/>
          <w:lang w:eastAsia="es-MX"/>
        </w:rPr>
      </w:pPr>
    </w:p>
    <w:p w14:paraId="4D7215EE" w14:textId="2CC01CAF" w:rsidR="00797D30" w:rsidRPr="00D512EC" w:rsidRDefault="00416FB4" w:rsidP="00797D30">
      <w:pPr>
        <w:jc w:val="center"/>
        <w:rPr>
          <w:rFonts w:eastAsia="Times New Roman" w:cs="Arial"/>
          <w:b/>
          <w:bCs/>
          <w:sz w:val="21"/>
          <w:szCs w:val="21"/>
          <w:lang w:eastAsia="es-MX"/>
        </w:rPr>
      </w:pPr>
      <w:proofErr w:type="spellStart"/>
      <w:r w:rsidRPr="00D512EC">
        <w:rPr>
          <w:rFonts w:eastAsia="Times New Roman" w:cs="Arial"/>
          <w:b/>
          <w:bCs/>
          <w:sz w:val="21"/>
          <w:szCs w:val="21"/>
          <w:lang w:eastAsia="es-MX"/>
        </w:rPr>
        <w:t>Mastercard</w:t>
      </w:r>
      <w:proofErr w:type="spellEnd"/>
      <w:r w:rsidRPr="00D512EC">
        <w:rPr>
          <w:rFonts w:eastAsia="Times New Roman" w:cs="Arial"/>
          <w:b/>
          <w:bCs/>
          <w:sz w:val="21"/>
          <w:szCs w:val="21"/>
          <w:lang w:eastAsia="es-MX"/>
        </w:rPr>
        <w:t xml:space="preserve"> </w:t>
      </w:r>
      <w:proofErr w:type="spellStart"/>
      <w:r w:rsidRPr="00D512EC">
        <w:rPr>
          <w:rFonts w:eastAsia="Times New Roman" w:cs="Arial"/>
          <w:b/>
          <w:bCs/>
          <w:sz w:val="21"/>
          <w:szCs w:val="21"/>
          <w:lang w:eastAsia="es-MX"/>
        </w:rPr>
        <w:t>Economics</w:t>
      </w:r>
      <w:proofErr w:type="spellEnd"/>
      <w:r w:rsidRPr="00D512EC">
        <w:rPr>
          <w:rFonts w:eastAsia="Times New Roman" w:cs="Arial"/>
          <w:b/>
          <w:bCs/>
          <w:sz w:val="21"/>
          <w:szCs w:val="21"/>
          <w:lang w:eastAsia="es-MX"/>
        </w:rPr>
        <w:t xml:space="preserve"> </w:t>
      </w:r>
      <w:proofErr w:type="spellStart"/>
      <w:r w:rsidRPr="00D512EC">
        <w:rPr>
          <w:rFonts w:eastAsia="Times New Roman" w:cs="Arial"/>
          <w:b/>
          <w:bCs/>
          <w:sz w:val="21"/>
          <w:szCs w:val="21"/>
          <w:lang w:eastAsia="es-MX"/>
        </w:rPr>
        <w:t>Institute</w:t>
      </w:r>
      <w:proofErr w:type="spellEnd"/>
      <w:r w:rsidRPr="00D512EC">
        <w:rPr>
          <w:rFonts w:eastAsia="Times New Roman" w:cs="Arial"/>
          <w:b/>
          <w:bCs/>
          <w:sz w:val="21"/>
          <w:szCs w:val="21"/>
          <w:lang w:eastAsia="es-MX"/>
        </w:rPr>
        <w:t>:</w:t>
      </w:r>
    </w:p>
    <w:p w14:paraId="2019ED1A" w14:textId="41B77D84" w:rsidR="00416FB4" w:rsidRPr="00D512EC" w:rsidRDefault="00416FB4" w:rsidP="00416FB4">
      <w:pPr>
        <w:jc w:val="center"/>
        <w:rPr>
          <w:rFonts w:eastAsia="Times New Roman"/>
          <w:color w:val="auto"/>
          <w:sz w:val="24"/>
          <w:szCs w:val="24"/>
          <w:lang w:eastAsia="es-MX"/>
        </w:rPr>
      </w:pPr>
      <w:r w:rsidRPr="00D512EC">
        <w:rPr>
          <w:rFonts w:eastAsia="Times New Roman" w:cs="Arial"/>
          <w:b/>
          <w:bCs/>
          <w:sz w:val="21"/>
          <w:szCs w:val="21"/>
          <w:lang w:eastAsia="es-MX"/>
        </w:rPr>
        <w:t xml:space="preserve">Las perspectivas económicas para 2022 están determinadas por la resiliencia digital </w:t>
      </w:r>
      <w:r w:rsidR="00A642A7">
        <w:rPr>
          <w:rFonts w:eastAsia="Times New Roman" w:cs="Arial"/>
          <w:b/>
          <w:bCs/>
          <w:sz w:val="21"/>
          <w:szCs w:val="21"/>
          <w:lang w:eastAsia="es-MX"/>
        </w:rPr>
        <w:br/>
      </w:r>
      <w:r w:rsidRPr="00D512EC">
        <w:rPr>
          <w:rFonts w:eastAsia="Times New Roman" w:cs="Arial"/>
          <w:b/>
          <w:bCs/>
          <w:sz w:val="21"/>
          <w:szCs w:val="21"/>
          <w:lang w:eastAsia="es-MX"/>
        </w:rPr>
        <w:t>y un retorno a la "economía de la experiencia”</w:t>
      </w:r>
    </w:p>
    <w:p w14:paraId="1DA9C268"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lang w:eastAsia="es-MX"/>
        </w:rPr>
        <w:t> </w:t>
      </w:r>
    </w:p>
    <w:p w14:paraId="1493DFF5" w14:textId="77777777" w:rsidR="00416FB4" w:rsidRPr="00D512EC" w:rsidRDefault="00416FB4" w:rsidP="00416FB4">
      <w:pPr>
        <w:jc w:val="center"/>
        <w:rPr>
          <w:rFonts w:eastAsia="Times New Roman"/>
          <w:color w:val="auto"/>
          <w:sz w:val="24"/>
          <w:szCs w:val="24"/>
          <w:lang w:eastAsia="es-MX"/>
        </w:rPr>
      </w:pPr>
      <w:r w:rsidRPr="00D512EC">
        <w:rPr>
          <w:rFonts w:eastAsia="Times New Roman" w:cs="Arial"/>
          <w:i/>
          <w:iCs/>
          <w:lang w:eastAsia="es-MX"/>
        </w:rPr>
        <w:t>Al tiempo que los negocios continúan su conversión digital, el ahorro doméstico, el crecimiento económico y el desplazamiento de “cosas” a “experiencias'' en los hábitos de consumo serán el centro de atención. </w:t>
      </w:r>
    </w:p>
    <w:p w14:paraId="08037B1F"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 </w:t>
      </w:r>
    </w:p>
    <w:p w14:paraId="089701D2" w14:textId="42ECBE1A" w:rsidR="00416FB4" w:rsidRPr="00D512EC" w:rsidRDefault="00CD3918" w:rsidP="00416FB4">
      <w:pPr>
        <w:jc w:val="both"/>
        <w:rPr>
          <w:rFonts w:eastAsia="Times New Roman"/>
          <w:color w:val="auto"/>
          <w:sz w:val="24"/>
          <w:szCs w:val="24"/>
          <w:lang w:eastAsia="es-MX"/>
        </w:rPr>
      </w:pPr>
      <w:r>
        <w:rPr>
          <w:rFonts w:eastAsia="Times New Roman" w:cs="Arial"/>
          <w:b/>
          <w:bCs/>
          <w:sz w:val="20"/>
          <w:szCs w:val="20"/>
          <w:lang w:eastAsia="es-MX"/>
        </w:rPr>
        <w:t>Miami, enero 2022.</w:t>
      </w:r>
      <w:r w:rsidR="4BDA4FC8" w:rsidRPr="00D512EC">
        <w:rPr>
          <w:rFonts w:eastAsia="Times New Roman" w:cs="Arial"/>
          <w:b/>
          <w:bCs/>
          <w:sz w:val="20"/>
          <w:szCs w:val="20"/>
          <w:lang w:eastAsia="es-MX"/>
        </w:rPr>
        <w:t xml:space="preserve">– </w:t>
      </w:r>
      <w:r w:rsidR="0A8A928B" w:rsidRPr="00D512EC">
        <w:rPr>
          <w:rFonts w:eastAsia="Times New Roman" w:cs="Arial"/>
          <w:sz w:val="20"/>
          <w:szCs w:val="20"/>
          <w:lang w:eastAsia="es-MX"/>
        </w:rPr>
        <w:t>En vísperas de cumplirse el segundo aniversario de la pandemia, el</w:t>
      </w:r>
      <w:hyperlink r:id="rId4">
        <w:r w:rsidR="0A8A928B" w:rsidRPr="00D512EC">
          <w:rPr>
            <w:rFonts w:eastAsia="Times New Roman" w:cs="Arial"/>
            <w:sz w:val="20"/>
            <w:szCs w:val="20"/>
            <w:u w:val="single"/>
            <w:lang w:eastAsia="es-MX"/>
          </w:rPr>
          <w:t xml:space="preserve"> </w:t>
        </w:r>
        <w:r w:rsidR="0A8A928B" w:rsidRPr="00D512EC">
          <w:rPr>
            <w:rFonts w:eastAsia="Times New Roman" w:cs="Arial"/>
            <w:color w:val="0563C1"/>
            <w:sz w:val="20"/>
            <w:szCs w:val="20"/>
            <w:u w:val="single"/>
            <w:lang w:eastAsia="es-MX"/>
          </w:rPr>
          <w:t xml:space="preserve">Instituto Económico </w:t>
        </w:r>
        <w:proofErr w:type="spellStart"/>
        <w:r w:rsidR="0A8A928B" w:rsidRPr="00D512EC">
          <w:rPr>
            <w:rFonts w:eastAsia="Times New Roman" w:cs="Arial"/>
            <w:color w:val="0563C1"/>
            <w:sz w:val="20"/>
            <w:szCs w:val="20"/>
            <w:u w:val="single"/>
            <w:lang w:eastAsia="es-MX"/>
          </w:rPr>
          <w:t>Mastercard</w:t>
        </w:r>
        <w:proofErr w:type="spellEnd"/>
      </w:hyperlink>
      <w:r w:rsidR="0A8A928B" w:rsidRPr="00D512EC">
        <w:rPr>
          <w:rFonts w:eastAsia="Times New Roman" w:cs="Arial"/>
          <w:color w:val="0563C1"/>
          <w:sz w:val="20"/>
          <w:szCs w:val="20"/>
          <w:u w:val="single"/>
          <w:lang w:eastAsia="es-MX"/>
        </w:rPr>
        <w:t xml:space="preserve"> </w:t>
      </w:r>
      <w:r w:rsidR="0A8A928B" w:rsidRPr="00D512EC">
        <w:rPr>
          <w:rFonts w:eastAsia="Times New Roman" w:cs="Arial"/>
          <w:sz w:val="20"/>
          <w:szCs w:val="20"/>
          <w:lang w:eastAsia="es-MX"/>
        </w:rPr>
        <w:t xml:space="preserve"> publica Economía 2022, una perspectiva global basada en las tendencias económicas más importantes según </w:t>
      </w:r>
      <w:r>
        <w:rPr>
          <w:rFonts w:eastAsia="Times New Roman" w:cs="Arial"/>
          <w:sz w:val="20"/>
          <w:szCs w:val="20"/>
          <w:lang w:eastAsia="es-MX"/>
        </w:rPr>
        <w:t>el</w:t>
      </w:r>
      <w:r w:rsidR="0A8A928B" w:rsidRPr="00D512EC">
        <w:rPr>
          <w:rFonts w:eastAsia="Times New Roman" w:cs="Arial"/>
          <w:sz w:val="20"/>
          <w:szCs w:val="20"/>
          <w:lang w:eastAsia="es-MX"/>
        </w:rPr>
        <w:t xml:space="preserve"> lente del consumidor. El informe revela cómo cinco factores fundamentales seguirán dando forma a la economía mundial: el ahorro y el gasto, las cadenas de suministro, la aceleración digital, los viajes globales y una creciente lista de riesgos económicos.</w:t>
      </w:r>
    </w:p>
    <w:p w14:paraId="242D998D"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 </w:t>
      </w:r>
    </w:p>
    <w:p w14:paraId="04687BE9"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Nuestras principales conclusiones son las siguientes:</w:t>
      </w:r>
    </w:p>
    <w:p w14:paraId="37664A46"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 </w:t>
      </w:r>
    </w:p>
    <w:p w14:paraId="1AB6F1BE" w14:textId="11CC813E" w:rsidR="6F676E80" w:rsidRPr="00D512EC" w:rsidRDefault="0A8A928B" w:rsidP="7F1BB321">
      <w:pPr>
        <w:ind w:left="720" w:hanging="360"/>
        <w:jc w:val="both"/>
        <w:rPr>
          <w:rFonts w:eastAsia="Times New Roman" w:cs="Arial"/>
          <w:sz w:val="20"/>
          <w:szCs w:val="20"/>
          <w:lang w:eastAsia="es-MX"/>
        </w:rPr>
      </w:pPr>
      <w:r w:rsidRPr="00D512EC">
        <w:rPr>
          <w:rFonts w:eastAsia="Times New Roman" w:cs="Arial"/>
          <w:sz w:val="20"/>
          <w:szCs w:val="20"/>
          <w:lang w:eastAsia="es-MX"/>
        </w:rPr>
        <w:t>-</w:t>
      </w:r>
      <w:r w:rsidRPr="00D512EC">
        <w:rPr>
          <w:rFonts w:eastAsia="Times New Roman"/>
          <w:sz w:val="14"/>
          <w:szCs w:val="14"/>
          <w:lang w:eastAsia="es-MX"/>
        </w:rPr>
        <w:t xml:space="preserve">    </w:t>
      </w:r>
      <w:r w:rsidR="6F676E80" w:rsidRPr="00D512EC">
        <w:tab/>
      </w:r>
      <w:r w:rsidRPr="00D512EC">
        <w:rPr>
          <w:rFonts w:eastAsia="Times New Roman" w:cs="Arial"/>
          <w:b/>
          <w:bCs/>
          <w:color w:val="ED7C31"/>
          <w:sz w:val="20"/>
          <w:szCs w:val="20"/>
          <w:lang w:eastAsia="es-MX"/>
        </w:rPr>
        <w:t xml:space="preserve">Ahorro y gasto*: </w:t>
      </w:r>
      <w:r w:rsidRPr="00D512EC">
        <w:rPr>
          <w:rFonts w:eastAsia="Times New Roman" w:cs="Arial"/>
          <w:sz w:val="20"/>
          <w:szCs w:val="20"/>
          <w:lang w:eastAsia="es-MX"/>
        </w:rPr>
        <w:t xml:space="preserve">El gasto de los ahorros acumulados por los consumidores podría contribuir a un crecimiento de tres puntos porcentuales del PIB mundial en 2022. Durante 2021, las tasas de ahorro de los hogares casi se duplicaron. La rapidez o lentitud con la que los consumidores gasten estos ahorros tendrá un efecto dominó en la economía mundial.  </w:t>
      </w:r>
    </w:p>
    <w:p w14:paraId="55C3F5EC" w14:textId="561AE210" w:rsidR="6F676E80" w:rsidRPr="00D512EC" w:rsidRDefault="6F676E80" w:rsidP="7F1BB321">
      <w:pPr>
        <w:ind w:left="720" w:hanging="360"/>
        <w:jc w:val="both"/>
        <w:rPr>
          <w:rFonts w:eastAsia="Times New Roman" w:cs="Arial"/>
          <w:sz w:val="20"/>
          <w:szCs w:val="20"/>
          <w:lang w:eastAsia="es-MX"/>
        </w:rPr>
      </w:pPr>
    </w:p>
    <w:p w14:paraId="571ACD80" w14:textId="73B3AB77" w:rsidR="6F676E80" w:rsidRPr="00D512EC" w:rsidRDefault="67FC954D" w:rsidP="000E61A5">
      <w:pPr>
        <w:ind w:left="720" w:hanging="360"/>
        <w:jc w:val="both"/>
        <w:rPr>
          <w:rFonts w:eastAsia="Times New Roman" w:cs="Arial"/>
          <w:sz w:val="20"/>
          <w:szCs w:val="20"/>
          <w:lang w:eastAsia="es-MX"/>
        </w:rPr>
      </w:pPr>
      <w:r w:rsidRPr="00D512EC">
        <w:rPr>
          <w:rFonts w:eastAsia="Times New Roman" w:cs="Arial"/>
          <w:sz w:val="20"/>
          <w:szCs w:val="20"/>
          <w:lang w:eastAsia="es-MX"/>
        </w:rPr>
        <w:t xml:space="preserve"> </w:t>
      </w:r>
      <w:r w:rsidR="00797D30" w:rsidRPr="00D512EC">
        <w:rPr>
          <w:rFonts w:eastAsia="Times New Roman" w:cs="Arial"/>
          <w:sz w:val="20"/>
          <w:szCs w:val="20"/>
          <w:lang w:eastAsia="es-MX"/>
        </w:rPr>
        <w:t xml:space="preserve">   </w:t>
      </w:r>
      <w:r w:rsidRPr="00D512EC">
        <w:rPr>
          <w:rFonts w:eastAsia="Times New Roman" w:cs="Arial"/>
          <w:sz w:val="20"/>
          <w:szCs w:val="20"/>
          <w:lang w:eastAsia="es-MX"/>
        </w:rPr>
        <w:t xml:space="preserve">    </w:t>
      </w:r>
      <w:r w:rsidR="55C5928D" w:rsidRPr="00D512EC">
        <w:rPr>
          <w:rFonts w:eastAsia="Times New Roman" w:cs="Arial"/>
          <w:sz w:val="20"/>
          <w:szCs w:val="20"/>
          <w:lang w:eastAsia="es-MX"/>
        </w:rPr>
        <w:t>Si el ahorro se utiliza rápidamente, podría</w:t>
      </w:r>
      <w:r w:rsidR="382EA2B1" w:rsidRPr="00D512EC">
        <w:rPr>
          <w:rFonts w:eastAsia="Times New Roman" w:cs="Arial"/>
          <w:sz w:val="20"/>
          <w:szCs w:val="20"/>
          <w:lang w:eastAsia="es-MX"/>
        </w:rPr>
        <w:t xml:space="preserve"> generar </w:t>
      </w:r>
      <w:r w:rsidR="55C5928D" w:rsidRPr="00D512EC">
        <w:rPr>
          <w:rFonts w:eastAsia="Times New Roman" w:cs="Arial"/>
          <w:sz w:val="20"/>
          <w:szCs w:val="20"/>
          <w:lang w:eastAsia="es-MX"/>
        </w:rPr>
        <w:t xml:space="preserve">un impulso de 4,5 puntos porcentuales al producto </w:t>
      </w:r>
      <w:r w:rsidR="4A0285A4" w:rsidRPr="00D512EC">
        <w:rPr>
          <w:rFonts w:eastAsia="Times New Roman" w:cs="Arial"/>
          <w:sz w:val="20"/>
          <w:szCs w:val="20"/>
          <w:lang w:eastAsia="es-MX"/>
        </w:rPr>
        <w:t xml:space="preserve">interno </w:t>
      </w:r>
      <w:r w:rsidR="55C5928D" w:rsidRPr="00D512EC">
        <w:rPr>
          <w:rFonts w:eastAsia="Times New Roman" w:cs="Arial"/>
          <w:sz w:val="20"/>
          <w:szCs w:val="20"/>
          <w:lang w:eastAsia="es-MX"/>
        </w:rPr>
        <w:t xml:space="preserve">bruto mundial. Dicho esto, </w:t>
      </w:r>
      <w:r w:rsidR="0E591D13" w:rsidRPr="00D512EC">
        <w:rPr>
          <w:rFonts w:eastAsia="Times New Roman" w:cs="Arial"/>
          <w:sz w:val="20"/>
          <w:szCs w:val="20"/>
          <w:lang w:eastAsia="es-MX"/>
        </w:rPr>
        <w:t xml:space="preserve">se espera </w:t>
      </w:r>
      <w:r w:rsidR="55C5928D" w:rsidRPr="00D512EC">
        <w:rPr>
          <w:rFonts w:eastAsia="Times New Roman" w:cs="Arial"/>
          <w:sz w:val="20"/>
          <w:szCs w:val="20"/>
          <w:lang w:eastAsia="es-MX"/>
        </w:rPr>
        <w:t>que el crecimiento económico se ralentice en 2022 tras el repunte del crecimiento en 2021, a medida que los estímulos gubernamentales desaparezcan y la inflación aumente, especialmente en las economías avanzadas.</w:t>
      </w:r>
    </w:p>
    <w:p w14:paraId="22C4455F"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 </w:t>
      </w:r>
    </w:p>
    <w:p w14:paraId="2360C5FD" w14:textId="1CC73518" w:rsidR="00416FB4" w:rsidRPr="00D512EC" w:rsidRDefault="0A8A928B" w:rsidP="64B6E589">
      <w:pPr>
        <w:ind w:left="720" w:hanging="360"/>
        <w:jc w:val="both"/>
        <w:rPr>
          <w:rFonts w:eastAsia="Times New Roman"/>
          <w:color w:val="auto"/>
          <w:sz w:val="24"/>
          <w:szCs w:val="24"/>
          <w:lang w:eastAsia="es-MX"/>
        </w:rPr>
      </w:pPr>
      <w:r w:rsidRPr="00D512EC">
        <w:rPr>
          <w:rFonts w:eastAsia="Times New Roman" w:cs="Arial"/>
          <w:sz w:val="20"/>
          <w:szCs w:val="20"/>
          <w:lang w:eastAsia="es-MX"/>
        </w:rPr>
        <w:t>-</w:t>
      </w:r>
      <w:r w:rsidRPr="00D512EC">
        <w:rPr>
          <w:rFonts w:eastAsia="Times New Roman"/>
          <w:sz w:val="14"/>
          <w:szCs w:val="14"/>
          <w:lang w:eastAsia="es-MX"/>
        </w:rPr>
        <w:t xml:space="preserve">    </w:t>
      </w:r>
      <w:r w:rsidR="00416FB4" w:rsidRPr="00D512EC">
        <w:tab/>
      </w:r>
      <w:r w:rsidRPr="00D512EC">
        <w:rPr>
          <w:rFonts w:eastAsia="Times New Roman" w:cs="Arial"/>
          <w:b/>
          <w:bCs/>
          <w:color w:val="ED7C31"/>
          <w:sz w:val="20"/>
          <w:szCs w:val="20"/>
          <w:lang w:eastAsia="es-MX"/>
        </w:rPr>
        <w:t>Cadenas de suministro:</w:t>
      </w:r>
      <w:r w:rsidRPr="00D512EC">
        <w:rPr>
          <w:rFonts w:eastAsia="Times New Roman" w:cs="Arial"/>
          <w:color w:val="ED7C31"/>
          <w:sz w:val="20"/>
          <w:szCs w:val="20"/>
          <w:lang w:eastAsia="es-MX"/>
        </w:rPr>
        <w:t xml:space="preserve"> </w:t>
      </w:r>
      <w:r w:rsidRPr="00D512EC">
        <w:rPr>
          <w:rFonts w:eastAsia="Times New Roman" w:cs="Arial"/>
          <w:sz w:val="20"/>
          <w:szCs w:val="20"/>
          <w:lang w:eastAsia="es-MX"/>
        </w:rPr>
        <w:t>El récord de 27 años de viraje del gasto doméstico de bienes a servicios retrocede</w:t>
      </w:r>
      <w:r w:rsidRPr="00D512EC">
        <w:rPr>
          <w:rFonts w:eastAsia="Times New Roman" w:cs="Arial"/>
          <w:b/>
          <w:bCs/>
          <w:sz w:val="20"/>
          <w:szCs w:val="20"/>
          <w:lang w:eastAsia="es-MX"/>
        </w:rPr>
        <w:t xml:space="preserve"> </w:t>
      </w:r>
      <w:r w:rsidRPr="00D512EC">
        <w:rPr>
          <w:rFonts w:eastAsia="Times New Roman" w:cs="Arial"/>
          <w:sz w:val="20"/>
          <w:szCs w:val="20"/>
          <w:lang w:eastAsia="es-MX"/>
        </w:rPr>
        <w:t>seis puntos porcentuales desde su punto más alto. La pandemia hizo que el gasto en bienes pase del 39</w:t>
      </w:r>
      <w:r w:rsidR="002473D8">
        <w:rPr>
          <w:rFonts w:eastAsia="Times New Roman" w:cs="Arial"/>
          <w:sz w:val="20"/>
          <w:szCs w:val="20"/>
          <w:lang w:eastAsia="es-MX"/>
        </w:rPr>
        <w:t xml:space="preserve"> </w:t>
      </w:r>
      <w:r w:rsidRPr="00D512EC">
        <w:rPr>
          <w:rFonts w:eastAsia="Times New Roman" w:cs="Arial"/>
          <w:sz w:val="20"/>
          <w:szCs w:val="20"/>
          <w:lang w:eastAsia="es-MX"/>
        </w:rPr>
        <w:t>% a cerca del 47</w:t>
      </w:r>
      <w:r w:rsidR="002473D8">
        <w:rPr>
          <w:rFonts w:eastAsia="Times New Roman" w:cs="Arial"/>
          <w:sz w:val="20"/>
          <w:szCs w:val="20"/>
          <w:lang w:eastAsia="es-MX"/>
        </w:rPr>
        <w:t xml:space="preserve"> </w:t>
      </w:r>
      <w:r w:rsidRPr="00D512EC">
        <w:rPr>
          <w:rFonts w:eastAsia="Times New Roman" w:cs="Arial"/>
          <w:sz w:val="20"/>
          <w:szCs w:val="20"/>
          <w:lang w:eastAsia="es-MX"/>
        </w:rPr>
        <w:t xml:space="preserve">% en su punto más alto. Esto hizo tambalear la economía de los servicios, al tiempo que agotó las cadenas de suministro. </w:t>
      </w:r>
      <w:r w:rsidR="160B897D" w:rsidRPr="00D512EC">
        <w:rPr>
          <w:rFonts w:eastAsia="Times New Roman" w:cs="Arial"/>
          <w:sz w:val="20"/>
          <w:szCs w:val="20"/>
          <w:lang w:eastAsia="es-MX"/>
        </w:rPr>
        <w:t>A medida que las fronteras se abran, se va a lograr obtener una mayor disponibilidad de productos a precios más accesibles y, por ende, deseables para el consumidor, haciendo que el equilibrio del mercado se normalice</w:t>
      </w:r>
      <w:r w:rsidR="5766A44B" w:rsidRPr="00D512EC">
        <w:rPr>
          <w:rFonts w:eastAsia="Times New Roman" w:cs="Arial"/>
          <w:sz w:val="20"/>
          <w:szCs w:val="20"/>
          <w:lang w:eastAsia="es-MX"/>
        </w:rPr>
        <w:t xml:space="preserve"> este año. </w:t>
      </w:r>
      <w:r w:rsidRPr="00D512EC">
        <w:rPr>
          <w:rFonts w:eastAsia="Times New Roman" w:cs="Arial"/>
          <w:sz w:val="20"/>
          <w:szCs w:val="20"/>
          <w:lang w:eastAsia="es-MX"/>
        </w:rPr>
        <w:t> </w:t>
      </w:r>
    </w:p>
    <w:p w14:paraId="07BA1588" w14:textId="35E67458" w:rsidR="7F1BB321" w:rsidRPr="00D512EC" w:rsidRDefault="7F1BB321" w:rsidP="7F1BB321">
      <w:pPr>
        <w:ind w:left="720" w:hanging="360"/>
        <w:jc w:val="both"/>
        <w:rPr>
          <w:rFonts w:eastAsia="Times New Roman" w:cs="Arial"/>
          <w:sz w:val="20"/>
          <w:szCs w:val="20"/>
          <w:lang w:eastAsia="es-MX"/>
        </w:rPr>
      </w:pPr>
    </w:p>
    <w:p w14:paraId="52983042" w14:textId="5044D1B0" w:rsidR="00416FB4" w:rsidRPr="00D512EC" w:rsidRDefault="00416FB4" w:rsidP="00416FB4">
      <w:pPr>
        <w:ind w:left="720" w:hanging="360"/>
        <w:jc w:val="both"/>
        <w:rPr>
          <w:rFonts w:eastAsia="Times New Roman"/>
          <w:color w:val="auto"/>
          <w:sz w:val="24"/>
          <w:szCs w:val="24"/>
          <w:lang w:eastAsia="es-MX"/>
        </w:rPr>
      </w:pPr>
      <w:r w:rsidRPr="00D512EC">
        <w:rPr>
          <w:rFonts w:eastAsia="Times New Roman" w:cs="Arial"/>
          <w:sz w:val="20"/>
          <w:szCs w:val="20"/>
          <w:lang w:eastAsia="es-MX"/>
        </w:rPr>
        <w:t>-</w:t>
      </w:r>
      <w:r w:rsidRPr="00D512EC">
        <w:rPr>
          <w:rFonts w:eastAsia="Times New Roman"/>
          <w:sz w:val="14"/>
          <w:szCs w:val="14"/>
          <w:lang w:eastAsia="es-MX"/>
        </w:rPr>
        <w:t xml:space="preserve">    </w:t>
      </w:r>
      <w:r w:rsidRPr="00D512EC">
        <w:rPr>
          <w:rFonts w:eastAsia="Times New Roman"/>
          <w:sz w:val="14"/>
          <w:szCs w:val="14"/>
          <w:lang w:eastAsia="es-MX"/>
        </w:rPr>
        <w:tab/>
      </w:r>
      <w:r w:rsidRPr="00D512EC">
        <w:rPr>
          <w:rFonts w:eastAsia="Times New Roman" w:cs="Arial"/>
          <w:b/>
          <w:bCs/>
          <w:color w:val="ED7D31"/>
          <w:sz w:val="20"/>
          <w:szCs w:val="20"/>
          <w:lang w:eastAsia="es-MX"/>
        </w:rPr>
        <w:t>Digital:</w:t>
      </w:r>
      <w:r w:rsidRPr="00D512EC">
        <w:rPr>
          <w:rFonts w:eastAsia="Times New Roman" w:cs="Arial"/>
          <w:sz w:val="20"/>
          <w:szCs w:val="20"/>
          <w:lang w:eastAsia="es-MX"/>
        </w:rPr>
        <w:t xml:space="preserve"> 20</w:t>
      </w:r>
      <w:r w:rsidR="002473D8">
        <w:rPr>
          <w:rFonts w:eastAsia="Times New Roman" w:cs="Arial"/>
          <w:sz w:val="20"/>
          <w:szCs w:val="20"/>
          <w:lang w:eastAsia="es-MX"/>
        </w:rPr>
        <w:t xml:space="preserve"> </w:t>
      </w:r>
      <w:r w:rsidRPr="00D512EC">
        <w:rPr>
          <w:rFonts w:eastAsia="Times New Roman" w:cs="Arial"/>
          <w:sz w:val="20"/>
          <w:szCs w:val="20"/>
          <w:lang w:eastAsia="es-MX"/>
        </w:rPr>
        <w:t>% de la transición a digital en el comercio minorista se mantiene igual, y redefine qué y cómo compran los consumidores. Las suscripciones de comercio electrónico ganaron terreno en 2021: casi 88</w:t>
      </w:r>
      <w:r w:rsidR="0090488F">
        <w:rPr>
          <w:rFonts w:eastAsia="Times New Roman" w:cs="Arial"/>
          <w:sz w:val="20"/>
          <w:szCs w:val="20"/>
          <w:lang w:eastAsia="es-MX"/>
        </w:rPr>
        <w:t xml:space="preserve"> </w:t>
      </w:r>
      <w:r w:rsidRPr="00D512EC">
        <w:rPr>
          <w:rFonts w:eastAsia="Times New Roman" w:cs="Arial"/>
          <w:sz w:val="20"/>
          <w:szCs w:val="20"/>
          <w:lang w:eastAsia="es-MX"/>
        </w:rPr>
        <w:t>% de los países de 32 mercados vieron aumentar sus servicios de suscripción en comparación con el año anterior. En particular, las empresas de automóviles, las plataformas para entrenar en línea, el alquiler de bicicletas y los servicios para mascotas son algunos de los negocios que se benefician con este modelo.</w:t>
      </w:r>
    </w:p>
    <w:p w14:paraId="33803A68" w14:textId="77777777" w:rsidR="00416FB4" w:rsidRPr="00D512EC" w:rsidRDefault="00416FB4" w:rsidP="00416FB4">
      <w:pPr>
        <w:ind w:left="720"/>
        <w:jc w:val="both"/>
        <w:rPr>
          <w:rFonts w:eastAsia="Times New Roman"/>
          <w:color w:val="auto"/>
          <w:sz w:val="24"/>
          <w:szCs w:val="24"/>
          <w:lang w:eastAsia="es-MX"/>
        </w:rPr>
      </w:pPr>
      <w:r w:rsidRPr="00D512EC">
        <w:rPr>
          <w:rFonts w:eastAsia="Times New Roman" w:cs="Arial"/>
          <w:sz w:val="20"/>
          <w:szCs w:val="20"/>
          <w:lang w:eastAsia="es-MX"/>
        </w:rPr>
        <w:t> </w:t>
      </w:r>
    </w:p>
    <w:p w14:paraId="77C46B9A" w14:textId="45087FE6" w:rsidR="00416FB4" w:rsidRPr="00D512EC" w:rsidRDefault="0A8A928B" w:rsidP="0090488F">
      <w:pPr>
        <w:ind w:left="720" w:hanging="360"/>
        <w:jc w:val="both"/>
        <w:rPr>
          <w:rFonts w:eastAsia="Times New Roman"/>
          <w:color w:val="auto"/>
          <w:sz w:val="24"/>
          <w:szCs w:val="24"/>
          <w:lang w:eastAsia="es-MX"/>
        </w:rPr>
      </w:pPr>
      <w:r w:rsidRPr="00D512EC">
        <w:rPr>
          <w:rFonts w:eastAsia="Times New Roman" w:cs="Arial"/>
          <w:sz w:val="20"/>
          <w:szCs w:val="20"/>
          <w:lang w:eastAsia="es-MX"/>
        </w:rPr>
        <w:t>-</w:t>
      </w:r>
      <w:r w:rsidRPr="00D512EC">
        <w:rPr>
          <w:rFonts w:eastAsia="Times New Roman"/>
          <w:sz w:val="14"/>
          <w:szCs w:val="14"/>
          <w:lang w:eastAsia="es-MX"/>
        </w:rPr>
        <w:t xml:space="preserve">    </w:t>
      </w:r>
      <w:r w:rsidR="00416FB4" w:rsidRPr="00D512EC">
        <w:tab/>
      </w:r>
      <w:r w:rsidRPr="00D512EC">
        <w:rPr>
          <w:rFonts w:eastAsia="Times New Roman" w:cs="Arial"/>
          <w:b/>
          <w:bCs/>
          <w:color w:val="ED7D31" w:themeColor="accent2"/>
          <w:sz w:val="20"/>
          <w:szCs w:val="20"/>
          <w:lang w:eastAsia="es-MX"/>
        </w:rPr>
        <w:t>Viajes:</w:t>
      </w:r>
      <w:r w:rsidRPr="00D512EC">
        <w:rPr>
          <w:rFonts w:eastAsia="Times New Roman" w:cs="Arial"/>
          <w:color w:val="ED7D31" w:themeColor="accent2"/>
          <w:sz w:val="20"/>
          <w:szCs w:val="20"/>
          <w:lang w:eastAsia="es-MX"/>
        </w:rPr>
        <w:t xml:space="preserve"> </w:t>
      </w:r>
      <w:r w:rsidRPr="00D512EC">
        <w:rPr>
          <w:rFonts w:eastAsia="Times New Roman" w:cs="Arial"/>
          <w:sz w:val="20"/>
          <w:szCs w:val="20"/>
          <w:lang w:eastAsia="es-MX"/>
        </w:rPr>
        <w:t xml:space="preserve">Con la apertura de los viajes internacionales y los vuelos de media y larga distancia </w:t>
      </w:r>
      <w:r w:rsidR="002C2BFB">
        <w:rPr>
          <w:rFonts w:eastAsia="Times New Roman" w:cs="Arial"/>
          <w:sz w:val="20"/>
          <w:szCs w:val="20"/>
          <w:lang w:eastAsia="es-MX"/>
        </w:rPr>
        <w:t>--</w:t>
      </w:r>
      <w:r w:rsidRPr="00D512EC">
        <w:rPr>
          <w:rFonts w:eastAsia="Times New Roman" w:cs="Arial"/>
          <w:sz w:val="20"/>
          <w:szCs w:val="20"/>
          <w:lang w:eastAsia="es-MX"/>
        </w:rPr>
        <w:t xml:space="preserve">que ganarán terreno en 2022-- la recuperación del turismo será sostenida. La vuelta a los viajes por carretera y en aeropuertos fue una tendencia marcada en 2021, pero su continuidad dependerá de la contención de las variantes del virus, que son el principal motivo por el que no se viaja. El reporte de </w:t>
      </w:r>
      <w:proofErr w:type="spellStart"/>
      <w:r w:rsidRPr="00D512EC">
        <w:rPr>
          <w:rFonts w:eastAsia="Times New Roman" w:cs="Arial"/>
          <w:sz w:val="20"/>
          <w:szCs w:val="20"/>
          <w:lang w:eastAsia="es-MX"/>
        </w:rPr>
        <w:t>Mastercard</w:t>
      </w:r>
      <w:proofErr w:type="spellEnd"/>
      <w:r w:rsidRPr="00D512EC">
        <w:rPr>
          <w:rFonts w:eastAsia="Times New Roman" w:cs="Arial"/>
          <w:sz w:val="20"/>
          <w:szCs w:val="20"/>
          <w:lang w:eastAsia="es-MX"/>
        </w:rPr>
        <w:t xml:space="preserve"> apunta a un rápido repunte en los viajes nacionales y de corta distancia (realizados a menos de </w:t>
      </w:r>
      <w:r w:rsidR="5FFB922A" w:rsidRPr="00D512EC">
        <w:rPr>
          <w:rFonts w:eastAsia="Times New Roman" w:cs="Arial"/>
          <w:sz w:val="20"/>
          <w:szCs w:val="20"/>
          <w:lang w:eastAsia="es-MX"/>
        </w:rPr>
        <w:t xml:space="preserve">965 </w:t>
      </w:r>
      <w:r w:rsidR="23E4E7D6" w:rsidRPr="00D512EC">
        <w:rPr>
          <w:rFonts w:eastAsia="Times New Roman" w:cs="Arial"/>
          <w:sz w:val="20"/>
          <w:szCs w:val="20"/>
          <w:lang w:eastAsia="es-MX"/>
        </w:rPr>
        <w:t>kilómetros</w:t>
      </w:r>
      <w:r w:rsidRPr="00D512EC">
        <w:rPr>
          <w:rFonts w:eastAsia="Times New Roman" w:cs="Arial"/>
          <w:sz w:val="20"/>
          <w:szCs w:val="20"/>
          <w:lang w:eastAsia="es-MX"/>
        </w:rPr>
        <w:t xml:space="preserve">) y los viajes de media distancia (de </w:t>
      </w:r>
      <w:r w:rsidR="3CF9942F" w:rsidRPr="00D512EC">
        <w:rPr>
          <w:rFonts w:eastAsia="Times New Roman" w:cs="Arial"/>
          <w:sz w:val="20"/>
          <w:szCs w:val="20"/>
          <w:lang w:eastAsia="es-MX"/>
        </w:rPr>
        <w:t>965</w:t>
      </w:r>
      <w:r w:rsidR="4818A090" w:rsidRPr="00D512EC">
        <w:rPr>
          <w:rFonts w:eastAsia="Times New Roman" w:cs="Arial"/>
          <w:sz w:val="20"/>
          <w:szCs w:val="20"/>
          <w:lang w:eastAsia="es-MX"/>
        </w:rPr>
        <w:t xml:space="preserve"> </w:t>
      </w:r>
      <w:r w:rsidRPr="00D512EC">
        <w:rPr>
          <w:rFonts w:eastAsia="Times New Roman" w:cs="Arial"/>
          <w:sz w:val="20"/>
          <w:szCs w:val="20"/>
          <w:lang w:eastAsia="es-MX"/>
        </w:rPr>
        <w:t xml:space="preserve">a </w:t>
      </w:r>
      <w:r w:rsidR="29C74C18" w:rsidRPr="00D512EC">
        <w:rPr>
          <w:rFonts w:eastAsia="Times New Roman" w:cs="Arial"/>
          <w:sz w:val="20"/>
          <w:szCs w:val="20"/>
          <w:lang w:eastAsia="es-MX"/>
        </w:rPr>
        <w:t>2</w:t>
      </w:r>
      <w:r w:rsidR="00B273B3">
        <w:rPr>
          <w:rFonts w:eastAsia="Times New Roman" w:cs="Arial"/>
          <w:sz w:val="20"/>
          <w:szCs w:val="20"/>
          <w:lang w:eastAsia="es-MX"/>
        </w:rPr>
        <w:t>.</w:t>
      </w:r>
      <w:r w:rsidR="29C74C18" w:rsidRPr="00D512EC">
        <w:rPr>
          <w:rFonts w:eastAsia="Times New Roman" w:cs="Arial"/>
          <w:sz w:val="20"/>
          <w:szCs w:val="20"/>
          <w:lang w:eastAsia="es-MX"/>
        </w:rPr>
        <w:t>896 kilómetro</w:t>
      </w:r>
      <w:r w:rsidR="6632441A" w:rsidRPr="00D512EC">
        <w:rPr>
          <w:rFonts w:eastAsia="Times New Roman" w:cs="Arial"/>
          <w:sz w:val="20"/>
          <w:szCs w:val="20"/>
          <w:lang w:eastAsia="es-MX"/>
        </w:rPr>
        <w:t>s</w:t>
      </w:r>
      <w:r w:rsidRPr="00D512EC">
        <w:rPr>
          <w:rFonts w:eastAsia="Times New Roman" w:cs="Arial"/>
          <w:sz w:val="20"/>
          <w:szCs w:val="20"/>
          <w:lang w:eastAsia="es-MX"/>
        </w:rPr>
        <w:t>), que son los que menos restricciones tienen; aunque los viajes de larga distancia siguen afectados.</w:t>
      </w:r>
    </w:p>
    <w:p w14:paraId="31EFBAE7"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 </w:t>
      </w:r>
    </w:p>
    <w:p w14:paraId="54E1FB98" w14:textId="27172180" w:rsidR="00416FB4" w:rsidRPr="00D512EC" w:rsidRDefault="0A8A928B" w:rsidP="00416FB4">
      <w:pPr>
        <w:ind w:left="720" w:hanging="360"/>
        <w:jc w:val="both"/>
        <w:rPr>
          <w:rFonts w:eastAsia="Times New Roman"/>
          <w:color w:val="auto"/>
          <w:sz w:val="24"/>
          <w:szCs w:val="24"/>
          <w:lang w:eastAsia="es-MX"/>
        </w:rPr>
      </w:pPr>
      <w:r w:rsidRPr="00D512EC">
        <w:rPr>
          <w:rFonts w:eastAsia="Times New Roman" w:cs="Arial"/>
          <w:sz w:val="20"/>
          <w:szCs w:val="20"/>
          <w:lang w:eastAsia="es-MX"/>
        </w:rPr>
        <w:t>-</w:t>
      </w:r>
      <w:r w:rsidRPr="00D512EC">
        <w:rPr>
          <w:rFonts w:eastAsia="Times New Roman"/>
          <w:sz w:val="14"/>
          <w:szCs w:val="14"/>
          <w:lang w:eastAsia="es-MX"/>
        </w:rPr>
        <w:t xml:space="preserve">    </w:t>
      </w:r>
      <w:r w:rsidR="00416FB4" w:rsidRPr="00D512EC">
        <w:tab/>
      </w:r>
      <w:r w:rsidRPr="00D512EC">
        <w:rPr>
          <w:rFonts w:eastAsia="Times New Roman" w:cs="Arial"/>
          <w:b/>
          <w:bCs/>
          <w:color w:val="ED7D31" w:themeColor="accent2"/>
          <w:sz w:val="20"/>
          <w:szCs w:val="20"/>
          <w:lang w:eastAsia="es-MX"/>
        </w:rPr>
        <w:t>Riesgos:</w:t>
      </w:r>
      <w:r w:rsidRPr="00D512EC">
        <w:rPr>
          <w:rFonts w:eastAsia="Times New Roman" w:cs="Arial"/>
          <w:color w:val="ED7D31" w:themeColor="accent2"/>
          <w:sz w:val="20"/>
          <w:szCs w:val="20"/>
          <w:lang w:eastAsia="es-MX"/>
        </w:rPr>
        <w:t xml:space="preserve"> </w:t>
      </w:r>
      <w:r w:rsidR="535C2BE7" w:rsidRPr="00D512EC">
        <w:rPr>
          <w:rFonts w:eastAsia="Times New Roman" w:cs="Arial"/>
          <w:sz w:val="20"/>
          <w:szCs w:val="20"/>
          <w:lang w:eastAsia="es-MX"/>
        </w:rPr>
        <w:t>Sigue</w:t>
      </w:r>
      <w:r w:rsidR="00B273B3">
        <w:rPr>
          <w:rFonts w:eastAsia="Times New Roman" w:cs="Arial"/>
          <w:sz w:val="20"/>
          <w:szCs w:val="20"/>
          <w:lang w:eastAsia="es-MX"/>
        </w:rPr>
        <w:t xml:space="preserve">n existiendo </w:t>
      </w:r>
      <w:r w:rsidRPr="00D512EC">
        <w:rPr>
          <w:rFonts w:eastAsia="Times New Roman" w:cs="Arial"/>
          <w:sz w:val="20"/>
          <w:szCs w:val="20"/>
          <w:lang w:eastAsia="es-MX"/>
        </w:rPr>
        <w:t xml:space="preserve">riesgos que pueden poner en jaque a la economía mundial. Las nuevas variantes de </w:t>
      </w:r>
      <w:proofErr w:type="spellStart"/>
      <w:r w:rsidRPr="00D512EC">
        <w:rPr>
          <w:rFonts w:eastAsia="Times New Roman" w:cs="Arial"/>
          <w:sz w:val="20"/>
          <w:szCs w:val="20"/>
          <w:lang w:eastAsia="es-MX"/>
        </w:rPr>
        <w:t>Covid</w:t>
      </w:r>
      <w:proofErr w:type="spellEnd"/>
      <w:r w:rsidRPr="00D512EC">
        <w:rPr>
          <w:rFonts w:eastAsia="Times New Roman" w:cs="Arial"/>
          <w:sz w:val="20"/>
          <w:szCs w:val="20"/>
          <w:lang w:eastAsia="es-MX"/>
        </w:rPr>
        <w:t xml:space="preserve">, como </w:t>
      </w:r>
      <w:r w:rsidR="005D632E">
        <w:rPr>
          <w:rFonts w:eastAsia="Times New Roman" w:cs="Arial"/>
          <w:sz w:val="20"/>
          <w:szCs w:val="20"/>
          <w:lang w:eastAsia="es-MX"/>
        </w:rPr>
        <w:t>Ó</w:t>
      </w:r>
      <w:r w:rsidRPr="00D512EC">
        <w:rPr>
          <w:rFonts w:eastAsia="Times New Roman" w:cs="Arial"/>
          <w:sz w:val="20"/>
          <w:szCs w:val="20"/>
          <w:lang w:eastAsia="es-MX"/>
        </w:rPr>
        <w:t>micr</w:t>
      </w:r>
      <w:r w:rsidR="005D632E">
        <w:rPr>
          <w:rFonts w:eastAsia="Times New Roman" w:cs="Arial"/>
          <w:sz w:val="20"/>
          <w:szCs w:val="20"/>
          <w:lang w:eastAsia="es-MX"/>
        </w:rPr>
        <w:t>o</w:t>
      </w:r>
      <w:r w:rsidRPr="00D512EC">
        <w:rPr>
          <w:rFonts w:eastAsia="Times New Roman" w:cs="Arial"/>
          <w:sz w:val="20"/>
          <w:szCs w:val="20"/>
          <w:lang w:eastAsia="es-MX"/>
        </w:rPr>
        <w:t>n, suponen la mayor amenaza inmediata, pero no perdemos de vista la casi docena de riesgos adicionales que tienen el potencial de hacer descarrilar la recuperación, incluyendo una fuerte recalibración de los precios de la vivienda -</w:t>
      </w:r>
      <w:r w:rsidRPr="00D512EC">
        <w:rPr>
          <w:rFonts w:eastAsia="Times New Roman" w:cs="Arial"/>
          <w:sz w:val="20"/>
          <w:szCs w:val="20"/>
          <w:lang w:eastAsia="es-MX"/>
        </w:rPr>
        <w:lastRenderedPageBreak/>
        <w:t>que se han apreciado un 66</w:t>
      </w:r>
      <w:r w:rsidR="005D632E">
        <w:rPr>
          <w:rFonts w:eastAsia="Times New Roman" w:cs="Arial"/>
          <w:sz w:val="20"/>
          <w:szCs w:val="20"/>
          <w:lang w:eastAsia="es-MX"/>
        </w:rPr>
        <w:t xml:space="preserve"> </w:t>
      </w:r>
      <w:r w:rsidRPr="00D512EC">
        <w:rPr>
          <w:rFonts w:eastAsia="Times New Roman" w:cs="Arial"/>
          <w:sz w:val="20"/>
          <w:szCs w:val="20"/>
          <w:lang w:eastAsia="es-MX"/>
        </w:rPr>
        <w:t>% en los últimos dos años-, un aumento de los precios del petróleo, acantilados fiscales en las economías avanzadas y guerras arancelarias internacionales.</w:t>
      </w:r>
    </w:p>
    <w:p w14:paraId="7C7DE196"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 </w:t>
      </w:r>
    </w:p>
    <w:p w14:paraId="044442DD" w14:textId="7E9740E7" w:rsidR="00416FB4" w:rsidRPr="00F774FB" w:rsidRDefault="00416FB4" w:rsidP="7F013731">
      <w:pPr>
        <w:jc w:val="both"/>
        <w:rPr>
          <w:rFonts w:eastAsia="Times New Roman"/>
          <w:i/>
          <w:iCs/>
          <w:color w:val="auto"/>
          <w:sz w:val="24"/>
          <w:szCs w:val="24"/>
          <w:lang w:eastAsia="es-MX"/>
        </w:rPr>
      </w:pPr>
      <w:r w:rsidRPr="7F013731">
        <w:rPr>
          <w:rFonts w:eastAsia="Times New Roman" w:cs="Arial"/>
          <w:i/>
          <w:iCs/>
          <w:sz w:val="20"/>
          <w:szCs w:val="20"/>
          <w:lang w:eastAsia="es-MX"/>
        </w:rPr>
        <w:t>"2021 no significó la vuelta a la normalidad que muchos anhelaban, pero colectivamente hemos hecho enormes progresos",</w:t>
      </w:r>
      <w:r w:rsidRPr="7F013731">
        <w:rPr>
          <w:rFonts w:eastAsia="Times New Roman" w:cs="Arial"/>
          <w:sz w:val="20"/>
          <w:szCs w:val="20"/>
          <w:lang w:eastAsia="es-MX"/>
        </w:rPr>
        <w:t xml:space="preserve"> dijo Bricklin </w:t>
      </w:r>
      <w:proofErr w:type="spellStart"/>
      <w:r w:rsidRPr="7F013731">
        <w:rPr>
          <w:rFonts w:eastAsia="Times New Roman" w:cs="Arial"/>
          <w:sz w:val="20"/>
          <w:szCs w:val="20"/>
          <w:lang w:eastAsia="es-MX"/>
        </w:rPr>
        <w:t>Dwyer</w:t>
      </w:r>
      <w:proofErr w:type="spellEnd"/>
      <w:r w:rsidRPr="7F013731">
        <w:rPr>
          <w:rFonts w:eastAsia="Times New Roman" w:cs="Arial"/>
          <w:sz w:val="20"/>
          <w:szCs w:val="20"/>
          <w:lang w:eastAsia="es-MX"/>
        </w:rPr>
        <w:t xml:space="preserve">, economista jefe de </w:t>
      </w:r>
      <w:proofErr w:type="spellStart"/>
      <w:r w:rsidRPr="7F013731">
        <w:rPr>
          <w:rFonts w:eastAsia="Times New Roman" w:cs="Arial"/>
          <w:sz w:val="20"/>
          <w:szCs w:val="20"/>
          <w:lang w:eastAsia="es-MX"/>
        </w:rPr>
        <w:t>Mastercard</w:t>
      </w:r>
      <w:proofErr w:type="spellEnd"/>
      <w:r w:rsidRPr="7F013731">
        <w:rPr>
          <w:rFonts w:eastAsia="Times New Roman" w:cs="Arial"/>
          <w:sz w:val="20"/>
          <w:szCs w:val="20"/>
          <w:lang w:eastAsia="es-MX"/>
        </w:rPr>
        <w:t xml:space="preserve"> y director del Instituto de Economía de </w:t>
      </w:r>
      <w:proofErr w:type="spellStart"/>
      <w:r w:rsidRPr="7F013731">
        <w:rPr>
          <w:rFonts w:eastAsia="Times New Roman" w:cs="Arial"/>
          <w:sz w:val="20"/>
          <w:szCs w:val="20"/>
          <w:lang w:eastAsia="es-MX"/>
        </w:rPr>
        <w:t>Mastercard</w:t>
      </w:r>
      <w:proofErr w:type="spellEnd"/>
      <w:r w:rsidRPr="7F013731">
        <w:rPr>
          <w:rFonts w:eastAsia="Times New Roman" w:cs="Arial"/>
          <w:sz w:val="20"/>
          <w:szCs w:val="20"/>
          <w:lang w:eastAsia="es-MX"/>
        </w:rPr>
        <w:t xml:space="preserve">. </w:t>
      </w:r>
      <w:r w:rsidRPr="7F013731">
        <w:rPr>
          <w:rFonts w:eastAsia="Times New Roman" w:cs="Arial"/>
          <w:i/>
          <w:iCs/>
          <w:sz w:val="20"/>
          <w:szCs w:val="20"/>
          <w:lang w:eastAsia="es-MX"/>
        </w:rPr>
        <w:t xml:space="preserve">"A nivel mundial, el crecimiento económico, los avances en materia de vacunas y las transformaciones digitales que tornaron más resilientes a las empresas grandes y pequeñas, siguen dando forma al futuro. En este contexto, prevemos que la demanda de los consumidores -y el poder adquisitivo- crezca, y que la economía de la experiencia resurja el </w:t>
      </w:r>
      <w:proofErr w:type="spellStart"/>
      <w:r w:rsidR="092EC2BF" w:rsidRPr="7F013731">
        <w:rPr>
          <w:rFonts w:eastAsia="Times New Roman" w:cs="Arial"/>
          <w:i/>
          <w:iCs/>
          <w:sz w:val="20"/>
          <w:szCs w:val="20"/>
          <w:lang w:eastAsia="es-MX"/>
        </w:rPr>
        <w:t>druante</w:t>
      </w:r>
      <w:proofErr w:type="spellEnd"/>
      <w:r w:rsidR="092EC2BF" w:rsidRPr="7F013731">
        <w:rPr>
          <w:rFonts w:eastAsia="Times New Roman" w:cs="Arial"/>
          <w:i/>
          <w:iCs/>
          <w:sz w:val="20"/>
          <w:szCs w:val="20"/>
          <w:lang w:eastAsia="es-MX"/>
        </w:rPr>
        <w:t xml:space="preserve"> el 2022</w:t>
      </w:r>
      <w:r w:rsidRPr="7F013731">
        <w:rPr>
          <w:rFonts w:eastAsia="Times New Roman" w:cs="Arial"/>
          <w:i/>
          <w:iCs/>
          <w:sz w:val="20"/>
          <w:szCs w:val="20"/>
          <w:lang w:eastAsia="es-MX"/>
        </w:rPr>
        <w:t>."</w:t>
      </w:r>
    </w:p>
    <w:p w14:paraId="49C5C611" w14:textId="77777777" w:rsidR="00416FB4" w:rsidRPr="00F774FB" w:rsidRDefault="00416FB4" w:rsidP="00416FB4">
      <w:pPr>
        <w:jc w:val="both"/>
        <w:rPr>
          <w:rFonts w:eastAsia="Times New Roman"/>
          <w:i/>
          <w:iCs/>
          <w:color w:val="auto"/>
          <w:sz w:val="24"/>
          <w:szCs w:val="24"/>
          <w:lang w:eastAsia="es-MX"/>
        </w:rPr>
      </w:pPr>
      <w:r w:rsidRPr="00F774FB">
        <w:rPr>
          <w:rFonts w:eastAsia="Times New Roman" w:cs="Arial"/>
          <w:i/>
          <w:iCs/>
          <w:sz w:val="20"/>
          <w:szCs w:val="20"/>
          <w:lang w:eastAsia="es-MX"/>
        </w:rPr>
        <w:t> </w:t>
      </w:r>
    </w:p>
    <w:p w14:paraId="434C5357"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Puede consultar el informe completo sobre Economía 2022</w:t>
      </w:r>
      <w:hyperlink r:id="rId5" w:history="1">
        <w:r w:rsidRPr="00D512EC">
          <w:rPr>
            <w:rFonts w:eastAsia="Times New Roman" w:cs="Arial"/>
            <w:sz w:val="20"/>
            <w:szCs w:val="20"/>
            <w:u w:val="single"/>
            <w:lang w:eastAsia="es-MX"/>
          </w:rPr>
          <w:t xml:space="preserve"> </w:t>
        </w:r>
        <w:r w:rsidRPr="00D512EC">
          <w:rPr>
            <w:rFonts w:eastAsia="Times New Roman" w:cs="Arial"/>
            <w:color w:val="0563C1"/>
            <w:sz w:val="20"/>
            <w:szCs w:val="20"/>
            <w:u w:val="single"/>
            <w:lang w:eastAsia="es-MX"/>
          </w:rPr>
          <w:t>aquí.</w:t>
        </w:r>
      </w:hyperlink>
      <w:r w:rsidRPr="00D512EC">
        <w:rPr>
          <w:rFonts w:eastAsia="Times New Roman" w:cs="Arial"/>
          <w:sz w:val="20"/>
          <w:szCs w:val="20"/>
          <w:lang w:eastAsia="es-MX"/>
        </w:rPr>
        <w:t xml:space="preserve"> Este es el tercer informe de perspectivas del </w:t>
      </w:r>
      <w:proofErr w:type="spellStart"/>
      <w:r w:rsidRPr="00D512EC">
        <w:rPr>
          <w:rFonts w:eastAsia="Times New Roman" w:cs="Arial"/>
          <w:sz w:val="20"/>
          <w:szCs w:val="20"/>
          <w:lang w:eastAsia="es-MX"/>
        </w:rPr>
        <w:t>Mastercard</w:t>
      </w:r>
      <w:proofErr w:type="spellEnd"/>
      <w:r w:rsidRPr="00D512EC">
        <w:rPr>
          <w:rFonts w:eastAsia="Times New Roman" w:cs="Arial"/>
          <w:sz w:val="20"/>
          <w:szCs w:val="20"/>
          <w:lang w:eastAsia="es-MX"/>
        </w:rPr>
        <w:t xml:space="preserve"> </w:t>
      </w:r>
      <w:proofErr w:type="spellStart"/>
      <w:r w:rsidRPr="00D512EC">
        <w:rPr>
          <w:rFonts w:eastAsia="Times New Roman" w:cs="Arial"/>
          <w:sz w:val="20"/>
          <w:szCs w:val="20"/>
          <w:lang w:eastAsia="es-MX"/>
        </w:rPr>
        <w:t>Economics</w:t>
      </w:r>
      <w:proofErr w:type="spellEnd"/>
      <w:r w:rsidRPr="00D512EC">
        <w:rPr>
          <w:rFonts w:eastAsia="Times New Roman" w:cs="Arial"/>
          <w:sz w:val="20"/>
          <w:szCs w:val="20"/>
          <w:lang w:eastAsia="es-MX"/>
        </w:rPr>
        <w:t xml:space="preserve"> </w:t>
      </w:r>
      <w:proofErr w:type="spellStart"/>
      <w:r w:rsidRPr="00D512EC">
        <w:rPr>
          <w:rFonts w:eastAsia="Times New Roman" w:cs="Arial"/>
          <w:sz w:val="20"/>
          <w:szCs w:val="20"/>
          <w:lang w:eastAsia="es-MX"/>
        </w:rPr>
        <w:t>Institute</w:t>
      </w:r>
      <w:proofErr w:type="spellEnd"/>
      <w:r w:rsidRPr="00D512EC">
        <w:rPr>
          <w:rFonts w:eastAsia="Times New Roman" w:cs="Arial"/>
          <w:sz w:val="20"/>
          <w:szCs w:val="20"/>
          <w:lang w:eastAsia="es-MX"/>
        </w:rPr>
        <w:t>; los demás informes pueden consultarse</w:t>
      </w:r>
      <w:hyperlink r:id="rId6" w:history="1">
        <w:r w:rsidRPr="00D512EC">
          <w:rPr>
            <w:rFonts w:eastAsia="Times New Roman" w:cs="Arial"/>
            <w:sz w:val="20"/>
            <w:szCs w:val="20"/>
            <w:u w:val="single"/>
            <w:lang w:eastAsia="es-MX"/>
          </w:rPr>
          <w:t xml:space="preserve"> </w:t>
        </w:r>
        <w:r w:rsidRPr="00D512EC">
          <w:rPr>
            <w:rFonts w:eastAsia="Times New Roman" w:cs="Arial"/>
            <w:color w:val="0563C1"/>
            <w:sz w:val="20"/>
            <w:szCs w:val="20"/>
            <w:u w:val="single"/>
            <w:lang w:eastAsia="es-MX"/>
          </w:rPr>
          <w:t>aquí.</w:t>
        </w:r>
      </w:hyperlink>
      <w:r w:rsidRPr="00D512EC">
        <w:rPr>
          <w:rFonts w:eastAsia="Times New Roman" w:cs="Arial"/>
          <w:color w:val="0563C1"/>
          <w:sz w:val="20"/>
          <w:szCs w:val="20"/>
          <w:u w:val="single"/>
          <w:lang w:eastAsia="es-MX"/>
        </w:rPr>
        <w:t xml:space="preserve"> </w:t>
      </w:r>
      <w:r w:rsidRPr="00D512EC">
        <w:rPr>
          <w:rFonts w:eastAsia="Times New Roman" w:cs="Arial"/>
          <w:sz w:val="20"/>
          <w:szCs w:val="20"/>
          <w:lang w:eastAsia="es-MX"/>
        </w:rPr>
        <w:t> </w:t>
      </w:r>
    </w:p>
    <w:p w14:paraId="6226104A"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 </w:t>
      </w:r>
    </w:p>
    <w:p w14:paraId="694BBEFF"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b/>
          <w:bCs/>
          <w:sz w:val="20"/>
          <w:szCs w:val="20"/>
          <w:lang w:eastAsia="es-MX"/>
        </w:rPr>
        <w:t>*Metodología</w:t>
      </w:r>
    </w:p>
    <w:p w14:paraId="19EB2DDB"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 xml:space="preserve">El Instituto de Economía de </w:t>
      </w:r>
      <w:proofErr w:type="spellStart"/>
      <w:r w:rsidRPr="00D512EC">
        <w:rPr>
          <w:rFonts w:eastAsia="Times New Roman" w:cs="Arial"/>
          <w:sz w:val="20"/>
          <w:szCs w:val="20"/>
          <w:lang w:eastAsia="es-MX"/>
        </w:rPr>
        <w:t>Mastercard</w:t>
      </w:r>
      <w:proofErr w:type="spellEnd"/>
      <w:r w:rsidRPr="00D512EC">
        <w:rPr>
          <w:rFonts w:eastAsia="Times New Roman" w:cs="Arial"/>
          <w:sz w:val="20"/>
          <w:szCs w:val="20"/>
          <w:lang w:eastAsia="es-MX"/>
        </w:rPr>
        <w:t xml:space="preserve"> se basa en la actividad de ventas agregada y anónima en la red de </w:t>
      </w:r>
      <w:proofErr w:type="spellStart"/>
      <w:r w:rsidRPr="00D512EC">
        <w:rPr>
          <w:rFonts w:eastAsia="Times New Roman" w:cs="Arial"/>
          <w:sz w:val="20"/>
          <w:szCs w:val="20"/>
          <w:lang w:eastAsia="es-MX"/>
        </w:rPr>
        <w:t>Mastercard</w:t>
      </w:r>
      <w:proofErr w:type="spellEnd"/>
      <w:r w:rsidRPr="00D512EC">
        <w:rPr>
          <w:rFonts w:eastAsia="Times New Roman" w:cs="Arial"/>
          <w:sz w:val="20"/>
          <w:szCs w:val="20"/>
          <w:lang w:eastAsia="es-MX"/>
        </w:rPr>
        <w:t>, entre otras fuentes, para desarrollar una medida de la cantidad y los precios de los bienes y servicios consumidos para las economías de todo el mundo.</w:t>
      </w:r>
    </w:p>
    <w:p w14:paraId="6E4AEFA4"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20"/>
          <w:szCs w:val="20"/>
          <w:lang w:eastAsia="es-MX"/>
        </w:rPr>
        <w:t> </w:t>
      </w:r>
    </w:p>
    <w:p w14:paraId="4BD8528D" w14:textId="77777777" w:rsidR="00416FB4" w:rsidRPr="00D512EC" w:rsidRDefault="00416FB4" w:rsidP="00416FB4">
      <w:pPr>
        <w:jc w:val="center"/>
        <w:rPr>
          <w:rFonts w:eastAsia="Times New Roman"/>
          <w:color w:val="auto"/>
          <w:sz w:val="24"/>
          <w:szCs w:val="24"/>
          <w:lang w:eastAsia="es-MX"/>
        </w:rPr>
      </w:pPr>
      <w:r w:rsidRPr="00D512EC">
        <w:rPr>
          <w:rFonts w:eastAsia="Times New Roman" w:cs="Arial"/>
          <w:sz w:val="20"/>
          <w:szCs w:val="20"/>
          <w:lang w:eastAsia="es-MX"/>
        </w:rPr>
        <w:t>###</w:t>
      </w:r>
    </w:p>
    <w:p w14:paraId="44E3BB52" w14:textId="77777777" w:rsidR="00416FB4" w:rsidRPr="00D512EC" w:rsidRDefault="00416FB4" w:rsidP="00416FB4">
      <w:pPr>
        <w:shd w:val="clear" w:color="auto" w:fill="FFFFFF"/>
        <w:jc w:val="both"/>
        <w:rPr>
          <w:rFonts w:eastAsia="Times New Roman"/>
          <w:color w:val="auto"/>
          <w:sz w:val="24"/>
          <w:szCs w:val="24"/>
          <w:lang w:eastAsia="es-MX"/>
        </w:rPr>
      </w:pPr>
      <w:proofErr w:type="spellStart"/>
      <w:r w:rsidRPr="00D512EC">
        <w:rPr>
          <w:rFonts w:eastAsia="Times New Roman" w:cs="Arial"/>
          <w:b/>
          <w:bCs/>
          <w:sz w:val="16"/>
          <w:szCs w:val="16"/>
          <w:lang w:eastAsia="es-MX"/>
        </w:rPr>
        <w:t>Disclaimer</w:t>
      </w:r>
      <w:proofErr w:type="spellEnd"/>
    </w:p>
    <w:p w14:paraId="6F96194B" w14:textId="77777777" w:rsidR="00416FB4" w:rsidRPr="00D512EC" w:rsidRDefault="00416FB4" w:rsidP="00416FB4">
      <w:pPr>
        <w:shd w:val="clear" w:color="auto" w:fill="FFFFFF"/>
        <w:jc w:val="both"/>
        <w:rPr>
          <w:rFonts w:eastAsia="Times New Roman"/>
          <w:color w:val="auto"/>
          <w:sz w:val="24"/>
          <w:szCs w:val="24"/>
          <w:lang w:eastAsia="es-MX"/>
        </w:rPr>
      </w:pPr>
      <w:r w:rsidRPr="00D512EC">
        <w:rPr>
          <w:rFonts w:eastAsia="Times New Roman" w:cs="Arial"/>
          <w:sz w:val="16"/>
          <w:szCs w:val="16"/>
          <w:lang w:eastAsia="es-MX"/>
        </w:rPr>
        <w:t xml:space="preserve">Esta presentación y contenido están destinados únicamente como una herramienta de investigación con fines informativos y no como asesoramiento o recomendaciones de inversión para ninguna acción o inversión en particular y no se debe confiar, en su totalidad o en parte, como base para la toma de decisiones o fines de inversión. Esta presentación y contenido no están garantizados en cuanto a la exactitud y se proporcionan "tal cual" a los usuarios autorizados, que revisan y utilizan esta información bajo su propio riesgo. Esta presentación y contenido, incluidos los pronósticos económicos estimados, las simulaciones o los escenarios del </w:t>
      </w:r>
      <w:proofErr w:type="spellStart"/>
      <w:r w:rsidRPr="00D512EC">
        <w:rPr>
          <w:rFonts w:eastAsia="Times New Roman" w:cs="Arial"/>
          <w:sz w:val="16"/>
          <w:szCs w:val="16"/>
          <w:lang w:eastAsia="es-MX"/>
        </w:rPr>
        <w:t>Mastercard</w:t>
      </w:r>
      <w:proofErr w:type="spellEnd"/>
      <w:r w:rsidRPr="00D512EC">
        <w:rPr>
          <w:rFonts w:eastAsia="Times New Roman" w:cs="Arial"/>
          <w:sz w:val="16"/>
          <w:szCs w:val="16"/>
          <w:lang w:eastAsia="es-MX"/>
        </w:rPr>
        <w:t xml:space="preserve"> </w:t>
      </w:r>
      <w:proofErr w:type="spellStart"/>
      <w:r w:rsidRPr="00D512EC">
        <w:rPr>
          <w:rFonts w:eastAsia="Times New Roman" w:cs="Arial"/>
          <w:sz w:val="16"/>
          <w:szCs w:val="16"/>
          <w:lang w:eastAsia="es-MX"/>
        </w:rPr>
        <w:t>Economics</w:t>
      </w:r>
      <w:proofErr w:type="spellEnd"/>
      <w:r w:rsidRPr="00D512EC">
        <w:rPr>
          <w:rFonts w:eastAsia="Times New Roman" w:cs="Arial"/>
          <w:sz w:val="16"/>
          <w:szCs w:val="16"/>
          <w:lang w:eastAsia="es-MX"/>
        </w:rPr>
        <w:t xml:space="preserve"> </w:t>
      </w:r>
      <w:proofErr w:type="spellStart"/>
      <w:r w:rsidRPr="00D512EC">
        <w:rPr>
          <w:rFonts w:eastAsia="Times New Roman" w:cs="Arial"/>
          <w:sz w:val="16"/>
          <w:szCs w:val="16"/>
          <w:lang w:eastAsia="es-MX"/>
        </w:rPr>
        <w:t>Institute</w:t>
      </w:r>
      <w:proofErr w:type="spellEnd"/>
      <w:r w:rsidRPr="00D512EC">
        <w:rPr>
          <w:rFonts w:eastAsia="Times New Roman" w:cs="Arial"/>
          <w:sz w:val="16"/>
          <w:szCs w:val="16"/>
          <w:lang w:eastAsia="es-MX"/>
        </w:rPr>
        <w:t xml:space="preserve">, no reflejan de ninguna manera las expectativas para el rendimiento operativo o financiero (o real) de </w:t>
      </w:r>
      <w:proofErr w:type="spellStart"/>
      <w:r w:rsidRPr="00D512EC">
        <w:rPr>
          <w:rFonts w:eastAsia="Times New Roman" w:cs="Arial"/>
          <w:sz w:val="16"/>
          <w:szCs w:val="16"/>
          <w:lang w:eastAsia="es-MX"/>
        </w:rPr>
        <w:t>Mastercard</w:t>
      </w:r>
      <w:proofErr w:type="spellEnd"/>
      <w:r w:rsidRPr="00D512EC">
        <w:rPr>
          <w:rFonts w:eastAsia="Times New Roman" w:cs="Arial"/>
          <w:sz w:val="16"/>
          <w:szCs w:val="16"/>
          <w:lang w:eastAsia="es-MX"/>
        </w:rPr>
        <w:t>.</w:t>
      </w:r>
    </w:p>
    <w:p w14:paraId="6C5550A6" w14:textId="77777777" w:rsidR="00416FB4" w:rsidRPr="00D512EC" w:rsidRDefault="00416FB4" w:rsidP="00416FB4">
      <w:pPr>
        <w:rPr>
          <w:rFonts w:eastAsia="Times New Roman"/>
          <w:color w:val="auto"/>
          <w:sz w:val="24"/>
          <w:szCs w:val="24"/>
          <w:lang w:eastAsia="es-MX"/>
        </w:rPr>
      </w:pPr>
      <w:r w:rsidRPr="00D512EC">
        <w:rPr>
          <w:rFonts w:eastAsia="Times New Roman" w:cs="Arial"/>
          <w:sz w:val="16"/>
          <w:szCs w:val="16"/>
          <w:lang w:eastAsia="es-MX"/>
        </w:rPr>
        <w:t> </w:t>
      </w:r>
    </w:p>
    <w:p w14:paraId="2003DAA1"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b/>
          <w:bCs/>
          <w:sz w:val="16"/>
          <w:szCs w:val="16"/>
          <w:lang w:eastAsia="es-MX"/>
        </w:rPr>
        <w:t xml:space="preserve">Acerca del </w:t>
      </w:r>
      <w:proofErr w:type="spellStart"/>
      <w:r w:rsidRPr="00D512EC">
        <w:rPr>
          <w:rFonts w:eastAsia="Times New Roman" w:cs="Arial"/>
          <w:b/>
          <w:bCs/>
          <w:sz w:val="16"/>
          <w:szCs w:val="16"/>
          <w:lang w:eastAsia="es-MX"/>
        </w:rPr>
        <w:t>Mastercard</w:t>
      </w:r>
      <w:proofErr w:type="spellEnd"/>
      <w:r w:rsidRPr="00D512EC">
        <w:rPr>
          <w:rFonts w:eastAsia="Times New Roman" w:cs="Arial"/>
          <w:b/>
          <w:bCs/>
          <w:sz w:val="16"/>
          <w:szCs w:val="16"/>
          <w:lang w:eastAsia="es-MX"/>
        </w:rPr>
        <w:t xml:space="preserve"> </w:t>
      </w:r>
      <w:proofErr w:type="spellStart"/>
      <w:r w:rsidRPr="00D512EC">
        <w:rPr>
          <w:rFonts w:eastAsia="Times New Roman" w:cs="Arial"/>
          <w:b/>
          <w:bCs/>
          <w:sz w:val="16"/>
          <w:szCs w:val="16"/>
          <w:lang w:eastAsia="es-MX"/>
        </w:rPr>
        <w:t>Economics</w:t>
      </w:r>
      <w:proofErr w:type="spellEnd"/>
      <w:r w:rsidRPr="00D512EC">
        <w:rPr>
          <w:rFonts w:eastAsia="Times New Roman" w:cs="Arial"/>
          <w:b/>
          <w:bCs/>
          <w:sz w:val="16"/>
          <w:szCs w:val="16"/>
          <w:lang w:eastAsia="es-MX"/>
        </w:rPr>
        <w:t xml:space="preserve"> </w:t>
      </w:r>
      <w:proofErr w:type="spellStart"/>
      <w:r w:rsidRPr="00D512EC">
        <w:rPr>
          <w:rFonts w:eastAsia="Times New Roman" w:cs="Arial"/>
          <w:b/>
          <w:bCs/>
          <w:sz w:val="16"/>
          <w:szCs w:val="16"/>
          <w:lang w:eastAsia="es-MX"/>
        </w:rPr>
        <w:t>Institute</w:t>
      </w:r>
      <w:proofErr w:type="spellEnd"/>
    </w:p>
    <w:p w14:paraId="4EE722BC"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16"/>
          <w:szCs w:val="16"/>
          <w:lang w:eastAsia="es-MX"/>
        </w:rPr>
        <w:t xml:space="preserve">El </w:t>
      </w:r>
      <w:proofErr w:type="spellStart"/>
      <w:r w:rsidRPr="00D512EC">
        <w:rPr>
          <w:rFonts w:eastAsia="Times New Roman" w:cs="Arial"/>
          <w:sz w:val="16"/>
          <w:szCs w:val="16"/>
          <w:lang w:eastAsia="es-MX"/>
        </w:rPr>
        <w:t>Mastercard</w:t>
      </w:r>
      <w:proofErr w:type="spellEnd"/>
      <w:r w:rsidRPr="00D512EC">
        <w:rPr>
          <w:rFonts w:eastAsia="Times New Roman" w:cs="Arial"/>
          <w:sz w:val="16"/>
          <w:szCs w:val="16"/>
          <w:lang w:eastAsia="es-MX"/>
        </w:rPr>
        <w:t xml:space="preserve"> </w:t>
      </w:r>
      <w:proofErr w:type="spellStart"/>
      <w:r w:rsidRPr="00D512EC">
        <w:rPr>
          <w:rFonts w:eastAsia="Times New Roman" w:cs="Arial"/>
          <w:sz w:val="16"/>
          <w:szCs w:val="16"/>
          <w:lang w:eastAsia="es-MX"/>
        </w:rPr>
        <w:t>Economics</w:t>
      </w:r>
      <w:proofErr w:type="spellEnd"/>
      <w:r w:rsidRPr="00D512EC">
        <w:rPr>
          <w:rFonts w:eastAsia="Times New Roman" w:cs="Arial"/>
          <w:sz w:val="16"/>
          <w:szCs w:val="16"/>
          <w:lang w:eastAsia="es-MX"/>
        </w:rPr>
        <w:t xml:space="preserve"> </w:t>
      </w:r>
      <w:proofErr w:type="spellStart"/>
      <w:r w:rsidRPr="00D512EC">
        <w:rPr>
          <w:rFonts w:eastAsia="Times New Roman" w:cs="Arial"/>
          <w:sz w:val="16"/>
          <w:szCs w:val="16"/>
          <w:lang w:eastAsia="es-MX"/>
        </w:rPr>
        <w:t>Institute</w:t>
      </w:r>
      <w:proofErr w:type="spellEnd"/>
      <w:r w:rsidRPr="00D512EC">
        <w:rPr>
          <w:rFonts w:eastAsia="Times New Roman" w:cs="Arial"/>
          <w:sz w:val="16"/>
          <w:szCs w:val="16"/>
          <w:lang w:eastAsia="es-MX"/>
        </w:rPr>
        <w:t xml:space="preserve"> se lanzó en 2020 para analizar las tendencias macroeconómicas a través de la lente del consumidor. Un equipo de economistas, analistas y científicos de datos se basa en los conocimientos de </w:t>
      </w:r>
      <w:proofErr w:type="spellStart"/>
      <w:r w:rsidRPr="00D512EC">
        <w:rPr>
          <w:rFonts w:eastAsia="Times New Roman" w:cs="Arial"/>
          <w:sz w:val="16"/>
          <w:szCs w:val="16"/>
          <w:lang w:eastAsia="es-MX"/>
        </w:rPr>
        <w:t>Mastercard</w:t>
      </w:r>
      <w:proofErr w:type="spellEnd"/>
      <w:r w:rsidRPr="00D512EC">
        <w:rPr>
          <w:rFonts w:eastAsia="Times New Roman" w:cs="Arial"/>
          <w:sz w:val="16"/>
          <w:szCs w:val="16"/>
          <w:lang w:eastAsia="es-MX"/>
        </w:rPr>
        <w:t xml:space="preserve"> -incluyendo </w:t>
      </w:r>
      <w:proofErr w:type="spellStart"/>
      <w:r w:rsidRPr="00D512EC">
        <w:rPr>
          <w:rFonts w:eastAsia="Times New Roman" w:cs="Arial"/>
          <w:sz w:val="16"/>
          <w:szCs w:val="16"/>
          <w:lang w:eastAsia="es-MX"/>
        </w:rPr>
        <w:t>Mastercard</w:t>
      </w:r>
      <w:proofErr w:type="spellEnd"/>
      <w:r w:rsidRPr="00D512EC">
        <w:rPr>
          <w:rFonts w:eastAsia="Times New Roman" w:cs="Arial"/>
          <w:sz w:val="16"/>
          <w:szCs w:val="16"/>
          <w:lang w:eastAsia="es-MX"/>
        </w:rPr>
        <w:t xml:space="preserve"> </w:t>
      </w:r>
      <w:proofErr w:type="spellStart"/>
      <w:r w:rsidRPr="00D512EC">
        <w:rPr>
          <w:rFonts w:eastAsia="Times New Roman" w:cs="Arial"/>
          <w:sz w:val="16"/>
          <w:szCs w:val="16"/>
          <w:lang w:eastAsia="es-MX"/>
        </w:rPr>
        <w:t>SpendingPulse</w:t>
      </w:r>
      <w:proofErr w:type="spellEnd"/>
      <w:r w:rsidRPr="00D512EC">
        <w:rPr>
          <w:rFonts w:eastAsia="Times New Roman" w:cs="Arial"/>
          <w:sz w:val="16"/>
          <w:szCs w:val="16"/>
          <w:lang w:eastAsia="es-MX"/>
        </w:rPr>
        <w:t>™- y en datos de terceros para ofrecer informes periódicos sobre cuestiones económicas a clientes clave, socios y responsables políticos.</w:t>
      </w:r>
    </w:p>
    <w:p w14:paraId="142C74BF"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sz w:val="16"/>
          <w:szCs w:val="16"/>
          <w:lang w:eastAsia="es-MX"/>
        </w:rPr>
        <w:t> </w:t>
      </w:r>
    </w:p>
    <w:p w14:paraId="08876CD3" w14:textId="77777777" w:rsidR="00416FB4" w:rsidRPr="00D512EC" w:rsidRDefault="00416FB4" w:rsidP="00416FB4">
      <w:pPr>
        <w:jc w:val="both"/>
        <w:rPr>
          <w:rFonts w:eastAsia="Times New Roman"/>
          <w:color w:val="auto"/>
          <w:sz w:val="24"/>
          <w:szCs w:val="24"/>
          <w:lang w:eastAsia="es-MX"/>
        </w:rPr>
      </w:pPr>
      <w:r w:rsidRPr="00D512EC">
        <w:rPr>
          <w:rFonts w:eastAsia="Times New Roman" w:cs="Arial"/>
          <w:b/>
          <w:bCs/>
          <w:sz w:val="16"/>
          <w:szCs w:val="16"/>
          <w:lang w:eastAsia="es-MX"/>
        </w:rPr>
        <w:t xml:space="preserve">Acerca de </w:t>
      </w:r>
      <w:proofErr w:type="spellStart"/>
      <w:r w:rsidRPr="00D512EC">
        <w:rPr>
          <w:rFonts w:eastAsia="Times New Roman" w:cs="Arial"/>
          <w:b/>
          <w:bCs/>
          <w:sz w:val="16"/>
          <w:szCs w:val="16"/>
          <w:lang w:eastAsia="es-MX"/>
        </w:rPr>
        <w:t>Mastercard</w:t>
      </w:r>
      <w:proofErr w:type="spellEnd"/>
      <w:r w:rsidRPr="00D512EC">
        <w:rPr>
          <w:rFonts w:eastAsia="Times New Roman" w:cs="Arial"/>
          <w:b/>
          <w:bCs/>
          <w:sz w:val="16"/>
          <w:szCs w:val="16"/>
          <w:lang w:eastAsia="es-MX"/>
        </w:rPr>
        <w:t xml:space="preserve"> (NYSE:MA)</w:t>
      </w:r>
    </w:p>
    <w:p w14:paraId="4E669F49" w14:textId="77777777" w:rsidR="00416FB4" w:rsidRPr="00D512EC" w:rsidRDefault="00416FB4" w:rsidP="00416FB4">
      <w:pPr>
        <w:jc w:val="both"/>
        <w:rPr>
          <w:rFonts w:eastAsia="Times New Roman"/>
          <w:color w:val="auto"/>
          <w:sz w:val="24"/>
          <w:szCs w:val="24"/>
          <w:lang w:eastAsia="es-MX"/>
        </w:rPr>
      </w:pPr>
      <w:proofErr w:type="spellStart"/>
      <w:r w:rsidRPr="00D512EC">
        <w:rPr>
          <w:rFonts w:eastAsia="Times New Roman" w:cs="Arial"/>
          <w:sz w:val="16"/>
          <w:szCs w:val="16"/>
          <w:lang w:eastAsia="es-MX"/>
        </w:rPr>
        <w:t>Mastercard</w:t>
      </w:r>
      <w:proofErr w:type="spellEnd"/>
      <w:r w:rsidRPr="00D512EC">
        <w:rPr>
          <w:rFonts w:eastAsia="Times New Roman" w:cs="Arial"/>
          <w:sz w:val="16"/>
          <w:szCs w:val="16"/>
          <w:lang w:eastAsia="es-MX"/>
        </w:rPr>
        <w:t xml:space="preserve"> es una empresa de tecnología en la industria mundial de pagos. Nuestra misión es conectar e impulsar una economía digital inclusiva que beneficie a todos, en todas partes, haciendo que las transacciones sean seguras, sencillas, inteligentes y accesibles. Utilizando datos y redes protegidas, alianzas y pasión, nuestras innovaciones y soluciones ayudan a individuos, instituciones financieras, gobiernos y empresas a alcanzar su mayor potencial. Nuestro coeficiente de decencia o DQ, por sus siglas en inglés, impulsa nuestra cultura y todo lo que hacemos dentro y fuera de nuestra empresa. Con conexiones a lo largo de más de 210 países y territorios, estamos construyendo un mundo sostenible que abre a posibilidades que no tienen precio para todos. </w:t>
      </w:r>
    </w:p>
    <w:p w14:paraId="51F99C0B" w14:textId="77777777" w:rsidR="00416FB4" w:rsidRPr="00D512EC" w:rsidRDefault="0021535F" w:rsidP="00416FB4">
      <w:pPr>
        <w:jc w:val="both"/>
        <w:rPr>
          <w:rFonts w:eastAsia="Times New Roman"/>
          <w:color w:val="auto"/>
          <w:sz w:val="24"/>
          <w:szCs w:val="24"/>
          <w:lang w:eastAsia="es-MX"/>
        </w:rPr>
      </w:pPr>
      <w:hyperlink r:id="rId7" w:history="1">
        <w:r w:rsidR="00416FB4" w:rsidRPr="00D512EC">
          <w:rPr>
            <w:rFonts w:eastAsia="Times New Roman" w:cs="Arial"/>
            <w:color w:val="4472C4"/>
            <w:sz w:val="16"/>
            <w:szCs w:val="16"/>
            <w:u w:val="single"/>
            <w:lang w:eastAsia="es-MX"/>
          </w:rPr>
          <w:t>www.mastercard.com</w:t>
        </w:r>
      </w:hyperlink>
    </w:p>
    <w:p w14:paraId="6FE43ABE" w14:textId="77777777" w:rsidR="00416FB4" w:rsidRPr="00D512EC" w:rsidRDefault="00416FB4" w:rsidP="00416FB4">
      <w:pPr>
        <w:rPr>
          <w:rFonts w:eastAsia="Times New Roman"/>
          <w:color w:val="auto"/>
          <w:sz w:val="24"/>
          <w:szCs w:val="24"/>
          <w:lang w:eastAsia="es-MX"/>
        </w:rPr>
      </w:pPr>
    </w:p>
    <w:p w14:paraId="257F5863" w14:textId="77777777" w:rsidR="001A04A0" w:rsidRPr="00D512EC" w:rsidRDefault="0021535F"/>
    <w:sectPr w:rsidR="001A04A0" w:rsidRPr="00D512EC" w:rsidSect="003824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k Offc For MC">
    <w:altName w:val="Cambria"/>
    <w:charset w:val="00"/>
    <w:family w:val="swiss"/>
    <w:pitch w:val="variable"/>
    <w:sig w:usb0="A00000FF" w:usb1="5000FCF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FB4"/>
    <w:rsid w:val="000E61A5"/>
    <w:rsid w:val="00104900"/>
    <w:rsid w:val="00114911"/>
    <w:rsid w:val="0021535F"/>
    <w:rsid w:val="002473D8"/>
    <w:rsid w:val="002C2BFB"/>
    <w:rsid w:val="003824D0"/>
    <w:rsid w:val="00416FB4"/>
    <w:rsid w:val="005D632E"/>
    <w:rsid w:val="005F443D"/>
    <w:rsid w:val="006E1F47"/>
    <w:rsid w:val="00797D30"/>
    <w:rsid w:val="007F54D2"/>
    <w:rsid w:val="00894CB1"/>
    <w:rsid w:val="0090488F"/>
    <w:rsid w:val="00A642A7"/>
    <w:rsid w:val="00B273B3"/>
    <w:rsid w:val="00CD3918"/>
    <w:rsid w:val="00D512EC"/>
    <w:rsid w:val="00D56851"/>
    <w:rsid w:val="00F774FB"/>
    <w:rsid w:val="031A0906"/>
    <w:rsid w:val="040CF33E"/>
    <w:rsid w:val="05A07172"/>
    <w:rsid w:val="092EC2BF"/>
    <w:rsid w:val="0A8A928B"/>
    <w:rsid w:val="0B1B9031"/>
    <w:rsid w:val="0D77BA06"/>
    <w:rsid w:val="0E591D13"/>
    <w:rsid w:val="0FC802B7"/>
    <w:rsid w:val="160B897D"/>
    <w:rsid w:val="1CC5D43F"/>
    <w:rsid w:val="21994562"/>
    <w:rsid w:val="23E4E7D6"/>
    <w:rsid w:val="26B07E84"/>
    <w:rsid w:val="29C74C18"/>
    <w:rsid w:val="2CD6368D"/>
    <w:rsid w:val="3402E147"/>
    <w:rsid w:val="382EA2B1"/>
    <w:rsid w:val="3CF9942F"/>
    <w:rsid w:val="46367F12"/>
    <w:rsid w:val="4818A090"/>
    <w:rsid w:val="495DEC5F"/>
    <w:rsid w:val="4A0285A4"/>
    <w:rsid w:val="4A7AB01A"/>
    <w:rsid w:val="4BDA4FC8"/>
    <w:rsid w:val="4C10A471"/>
    <w:rsid w:val="535C2BE7"/>
    <w:rsid w:val="55C5928D"/>
    <w:rsid w:val="56E76215"/>
    <w:rsid w:val="5766A44B"/>
    <w:rsid w:val="57AAD161"/>
    <w:rsid w:val="57BB70E6"/>
    <w:rsid w:val="5FFB922A"/>
    <w:rsid w:val="62356AB3"/>
    <w:rsid w:val="63329D2D"/>
    <w:rsid w:val="64B6E589"/>
    <w:rsid w:val="6632441A"/>
    <w:rsid w:val="67FC954D"/>
    <w:rsid w:val="6A71FE34"/>
    <w:rsid w:val="6D0F1D26"/>
    <w:rsid w:val="6E203560"/>
    <w:rsid w:val="6F676E80"/>
    <w:rsid w:val="70C4F502"/>
    <w:rsid w:val="75889E51"/>
    <w:rsid w:val="773B8B99"/>
    <w:rsid w:val="7A6A4E49"/>
    <w:rsid w:val="7B0EF720"/>
    <w:rsid w:val="7E4697E2"/>
    <w:rsid w:val="7F013731"/>
    <w:rsid w:val="7F1BB32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B17F"/>
  <w14:defaultImageDpi w14:val="32767"/>
  <w15:docId w15:val="{A5A549DA-6C41-3A4B-9FAE-830C4C2F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k Offc For MC" w:eastAsiaTheme="minorHAnsi" w:hAnsi="Mark Offc For MC" w:cs="Times New Roman"/>
        <w:color w:val="000000"/>
        <w:sz w:val="18"/>
        <w:szCs w:val="18"/>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6FB4"/>
    <w:pPr>
      <w:spacing w:before="100" w:beforeAutospacing="1" w:after="100" w:afterAutospacing="1"/>
    </w:pPr>
    <w:rPr>
      <w:rFonts w:ascii="Times New Roman" w:eastAsia="Times New Roman" w:hAnsi="Times New Roman"/>
      <w:color w:val="auto"/>
      <w:sz w:val="24"/>
      <w:szCs w:val="24"/>
      <w:lang w:val="es-MX" w:eastAsia="es-MX"/>
    </w:rPr>
  </w:style>
  <w:style w:type="character" w:styleId="Hipervnculo">
    <w:name w:val="Hyperlink"/>
    <w:basedOn w:val="Fuentedeprrafopredeter"/>
    <w:uiPriority w:val="99"/>
    <w:semiHidden/>
    <w:unhideWhenUsed/>
    <w:rsid w:val="00416FB4"/>
    <w:rPr>
      <w:color w:val="0000FF"/>
      <w:u w:val="single"/>
    </w:rPr>
  </w:style>
  <w:style w:type="character" w:customStyle="1" w:styleId="apple-tab-span">
    <w:name w:val="apple-tab-span"/>
    <w:basedOn w:val="Fuentedeprrafopredeter"/>
    <w:rsid w:val="00416FB4"/>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97D30"/>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61196">
      <w:bodyDiv w:val="1"/>
      <w:marLeft w:val="0"/>
      <w:marRight w:val="0"/>
      <w:marTop w:val="0"/>
      <w:marBottom w:val="0"/>
      <w:divBdr>
        <w:top w:val="none" w:sz="0" w:space="0" w:color="auto"/>
        <w:left w:val="none" w:sz="0" w:space="0" w:color="auto"/>
        <w:bottom w:val="none" w:sz="0" w:space="0" w:color="auto"/>
        <w:right w:val="none" w:sz="0" w:space="0" w:color="auto"/>
      </w:divBdr>
    </w:div>
    <w:div w:id="99191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sterca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tercardservices.com/en/reports-insights/economics-institute" TargetMode="External"/><Relationship Id="rId5" Type="http://schemas.openxmlformats.org/officeDocument/2006/relationships/hyperlink" Target="https://go.mastercardservices.com/economy-2022-lac-press-release" TargetMode="External"/><Relationship Id="rId4" Type="http://schemas.openxmlformats.org/officeDocument/2006/relationships/hyperlink" Target="https://www.mastercardservices.com/en/reports-insights/economics-institute"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1145</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VIRGINIA SILVA ROCHA</dc:creator>
  <cp:lastModifiedBy>Álvaro Mundaca</cp:lastModifiedBy>
  <cp:revision>2</cp:revision>
  <dcterms:created xsi:type="dcterms:W3CDTF">2022-01-21T17:27:00Z</dcterms:created>
  <dcterms:modified xsi:type="dcterms:W3CDTF">2022-01-21T17:27:00Z</dcterms:modified>
</cp:coreProperties>
</file>