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drawing>
          <wp:inline distB="0" distT="0" distL="0" distR="0">
            <wp:extent cx="3327400" cy="558800"/>
            <wp:effectExtent b="0" l="0" r="0" t="0"/>
            <wp:docPr id="1" name="image01.jpg"/>
            <a:graphic>
              <a:graphicData uri="http://schemas.openxmlformats.org/drawingml/2006/picture">
                <pic:pic>
                  <pic:nvPicPr>
                    <pic:cNvPr id="0" name="image01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27400" cy="558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240" w:lineRule="auto"/>
        <w:contextualSpacing w:val="0"/>
        <w:jc w:val="both"/>
      </w:pPr>
      <w:bookmarkStart w:colFirst="0" w:colLast="0" w:name="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Prada presenta su servicio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Made To Order “Lettering”,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disponible exclusivamente en tiendas selectas de Prada alrededor del mundo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Veintiséis posibilidades para estampar los icónicos artículos de Prada de la colección de viajes con las iniciales propias o las de otra persona para un regalo muy especial.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Backpacks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, carritos y bolsas de compras en tela con detalles en piel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Saffiano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pueden ser personalizadas con aditamentos de iniciales multicolores.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Cada letra ha sido combinada con un color y un motivo gráfico, también en piel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Saffiano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800" w:right="180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mbri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jpg"/></Relationships>
</file>