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2752725</wp:posOffset>
            </wp:positionH>
            <wp:positionV relativeFrom="page">
              <wp:posOffset>366395</wp:posOffset>
            </wp:positionV>
            <wp:extent cx="2262909" cy="533400"/>
            <wp:effectExtent b="0" l="0" r="0" t="0"/>
            <wp:wrapTopAndBottom distB="0" dist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2909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Emprendedoras mexicanas redefinen el ecommerce con apoyo de soluciones financieras digitales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Ciudad de México, 18 de noviembre de 2025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nivel mundial, existen 400 millones de MiPyMes</w:t>
      </w:r>
      <w:r w:rsidDel="00000000" w:rsidR="00000000" w:rsidRPr="00000000">
        <w:rPr>
          <w:rFonts w:ascii="Arial" w:cs="Arial" w:eastAsia="Arial" w:hAnsi="Arial"/>
          <w:rtl w:val="0"/>
        </w:rPr>
        <w:t xml:space="preserve"> y, sin duda, son la columna vertebral de las economías al ser el motor del crecimiento económico de los países.</w:t>
      </w:r>
      <w:r w:rsidDel="00000000" w:rsidR="00000000" w:rsidRPr="00000000">
        <w:rPr>
          <w:rFonts w:ascii="Arial" w:cs="Arial" w:eastAsia="Arial" w:hAnsi="Arial"/>
          <w:rtl w:val="0"/>
        </w:rPr>
        <w:t xml:space="preserve"> En México,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las micro, pequeñas y medianas empresas representan el 99.8% de las empresas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en el país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, de acuerdo con el</w:t>
      </w:r>
      <w:hyperlink r:id="rId8">
        <w:r w:rsidDel="00000000" w:rsidR="00000000" w:rsidRPr="00000000">
          <w:rPr>
            <w:rFonts w:ascii="Arial" w:cs="Arial" w:eastAsia="Arial" w:hAnsi="Arial"/>
            <w:color w:val="202124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highlight w:val="white"/>
            <w:u w:val="single"/>
            <w:rtl w:val="0"/>
          </w:rPr>
          <w:t xml:space="preserve">INEGI</w:t>
        </w:r>
      </w:hyperlink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es decir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alrededor de 4.7 millones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 es su impacto que,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las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 PyMES generan el 72% del empleo</w:t>
      </w: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el 52% de PIB</w:t>
      </w: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, de acuerdo con el Instituto Mexicano para la Competitividad (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IMCO</w:t>
        </w:r>
      </w:hyperlink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En México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1.6 millones de mipymes tienen como propietaria a una mujer.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Ellas representan el 34 % sobre el total de mipymes.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Por ello, en el marco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Día Mundial de la Mujer Emprendedora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Lisset May, Vicepresidenta Senior de Ventas en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Kueski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plataforma de servicios financieros digitales, señala que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“Las emprendedoras que hoy lideran el ecommerce en México no sólo están generando ventas: están definiendo cómo debe evolucionar el comercio digital. Desde la experiencia de compra hasta la inclusión financiera, su presencia obliga al ecosistema a adaptarse, profesionalizarse y abrir nuevas oportunidades”.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f0bmqvnw6fk6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Casos reales: negocios que se consolidan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Ivonne Robles</w:t>
      </w:r>
      <w:r w:rsidDel="00000000" w:rsidR="00000000" w:rsidRPr="00000000">
        <w:rPr>
          <w:rFonts w:ascii="Arial" w:cs="Arial" w:eastAsia="Arial" w:hAnsi="Arial"/>
          <w:rtl w:val="0"/>
        </w:rPr>
        <w:t xml:space="preserve">, fundadora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Meibi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decidió romper con los estigmas alrededor de la sexualidad femenina creando una tienda digital enfocada en educación y bienestar.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“La realización, más que profesional, personal, depende de nosotras”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afirma.</w:t>
        <w:br w:type="textWrapping"/>
        <w:t xml:space="preserve">Desde que incorporó Kueski Pay hace tres años, ha logrado aumentar la captación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clientas</w:t>
      </w:r>
      <w:r w:rsidDel="00000000" w:rsidR="00000000" w:rsidRPr="00000000">
        <w:rPr>
          <w:rFonts w:ascii="Arial" w:cs="Arial" w:eastAsia="Arial" w:hAnsi="Arial"/>
          <w:rtl w:val="0"/>
        </w:rPr>
        <w:t xml:space="preserve"> gracias a una experiencia de compra más fluida y flexible.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Andrea Jasckek</w:t>
      </w:r>
      <w:r w:rsidDel="00000000" w:rsidR="00000000" w:rsidRPr="00000000">
        <w:rPr>
          <w:rFonts w:ascii="Arial" w:cs="Arial" w:eastAsia="Arial" w:hAnsi="Arial"/>
          <w:rtl w:val="0"/>
        </w:rPr>
        <w:t xml:space="preserve">, creadora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Need Beauty</w:t>
      </w:r>
      <w:r w:rsidDel="00000000" w:rsidR="00000000" w:rsidRPr="00000000">
        <w:rPr>
          <w:rFonts w:ascii="Arial" w:cs="Arial" w:eastAsia="Arial" w:hAnsi="Arial"/>
          <w:rtl w:val="0"/>
        </w:rPr>
        <w:t xml:space="preserve">, levantó su negocio sin contactos ni inversión inicial. Hoy, opera una tienda en línea estable y con crecimiento sostenido.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“Nunca es el momento perfecto. Es mejor empezar con lo poco que sabes a esperarte”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afirma.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una operación digital en crecimiento, Andrea ha sabido identificar oportunidades clave para fortalecer su tienda, desde mejorar la experiencia de compra hasta facilitar el acceso de sus clientas a productos que, de otro modo, habrían postergado.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Ji Sean Woo</w:t>
      </w:r>
      <w:r w:rsidDel="00000000" w:rsidR="00000000" w:rsidRPr="00000000">
        <w:rPr>
          <w:rFonts w:ascii="Arial" w:cs="Arial" w:eastAsia="Arial" w:hAnsi="Arial"/>
          <w:rtl w:val="0"/>
        </w:rPr>
        <w:t xml:space="preserve">, fundadora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Uyu Beauty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comenzó vendiendo productos coreanos y ahora desarrolla su propia línea.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“​​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Poder construir algo auténtico, que conecte con nuestras clientas y represente nuestra identidad, es un sueño en marcha y un gran logro en sí mismo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menciona.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estas emprendedoras, el uso de herramientas como Kueski Pay ha fortalecido no solo sus ventas, sino también la credibilidad de su marca: las clientas perciben la flexibilidad como sinónimo de confianza.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“Contar con una solución financiera accesible no solo resuelve la fricción del checkout. Es parte de una estrategia para construir marcas sostenibles, profesionalizar sus operaciones y aumentar el ticket promedio sin excluir 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clientas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por su historial bancario”,</w:t>
      </w:r>
      <w:r w:rsidDel="00000000" w:rsidR="00000000" w:rsidRPr="00000000">
        <w:rPr>
          <w:rFonts w:ascii="Arial" w:cs="Arial" w:eastAsia="Arial" w:hAnsi="Arial"/>
          <w:rtl w:val="0"/>
        </w:rPr>
        <w:t xml:space="preserve"> señala </w:t>
      </w:r>
      <w:r w:rsidDel="00000000" w:rsidR="00000000" w:rsidRPr="00000000">
        <w:rPr>
          <w:rFonts w:ascii="Arial" w:cs="Arial" w:eastAsia="Arial" w:hAnsi="Arial"/>
          <w:rtl w:val="0"/>
        </w:rPr>
        <w:t xml:space="preserve">Lisset May.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Kueski Pay, al eliminar la necesidad de una tarjeta de crédito, ha ampliado el mercado potencial de estas tiendas, permitiendo que más personas puedan acceder a productos de bienestar, cuidado personal o salud, sin comprometer su liquidez inmediata. El impacto es doble: comercial y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Estas historias reflejan una tendencia que va al alza. De acuerdo con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Tiendanube</w:t>
      </w:r>
      <w:r w:rsidDel="00000000" w:rsidR="00000000" w:rsidRPr="00000000">
        <w:rPr>
          <w:rFonts w:ascii="Arial" w:cs="Arial" w:eastAsia="Arial" w:hAnsi="Arial"/>
          <w:rtl w:val="0"/>
        </w:rPr>
        <w:t xml:space="preserve">, reportó que durante 2024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53 % de las tiendas digitales en México están lideradas por mujeres</w:t>
      </w:r>
      <w:r w:rsidDel="00000000" w:rsidR="00000000" w:rsidRPr="00000000">
        <w:rPr>
          <w:rFonts w:ascii="Arial" w:cs="Arial" w:eastAsia="Arial" w:hAnsi="Arial"/>
          <w:rtl w:val="0"/>
        </w:rPr>
        <w:t xml:space="preserve">. Una mayoría silenciosa que, con apoyo de soluciones como Kueski Pay, ya está transformando el presente del comercio electrónico.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Kueski, como aliado tecnológico y financiero, está comprometido con ese cambio. No solo ofreciendo una herramienta de pago, sino respaldando con infraestructura, confianza y visión a quienes están cambiando las reglas desde adentro. Porque construir un ecommerce más equitativo y competitivo también implica apostar por quien lo lidera.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Acerca de Kueski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Kueski es la plataforma líder de compra ahora, paga después (BNPL) y crédito al consumidor en línea en América Latina, conocida por sus servicios financieros innovadores. Su producto estrella, Kueski Pay, permite a los clientes realizar compras y pagar después, tanto en línea como en tiendas físicas. Además, la empresa ofrece préstamos en línea mediante su producto Kueski Préstamos Personales. Aplicando inteligencia artificial, Kueski mejora el acceso a servicios financieros a gran escala. Hasta la fecha, ha emitido más de 30 millones de préstamos en México, beneficiando a individuos y emprendedores. Actualmente, 33% de los principales comercios electrónicos en México ofrecen Kueski Pay como método de pago. Además, Kueski se destaca por su excelencia en producto con una calificación de 10 y una valoración de 5 estrellas en la CONDUSEF. Para más información, visita: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https://www.kueski.com</w:t>
        </w:r>
      </w:hyperlink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504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 w:customStyle="1">
    <w:name w:val="Normal Table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ormaltextrun" w:customStyle="1">
    <w:name w:val="normaltextrun"/>
    <w:basedOn w:val="Fuentedeprrafopredeter"/>
    <w:rsid w:val="00E26419"/>
  </w:style>
  <w:style w:type="paragraph" w:styleId="Prrafodelista">
    <w:name w:val="List Paragraph"/>
    <w:basedOn w:val="Normal"/>
    <w:uiPriority w:val="34"/>
    <w:qFormat w:val="1"/>
    <w:rsid w:val="00E2641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kueski.com/" TargetMode="External"/><Relationship Id="rId10" Type="http://schemas.openxmlformats.org/officeDocument/2006/relationships/hyperlink" Target="https://imco.org.mx/pymes_que_requiere_mexico_2009/#:~:text=PYMES%20Generan%20el%2072%25%20del,no%20s%C3%B3lo%20los%20de%20trabajo.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kueski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b.mx/cms/uploads/attachment/file/923851/20240626_Dosier_MIPYMES_SALIDA_Interactivo_5_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b.mx/cms/uploads/attachment/file/923851/20240626_Dosier_MIPYMES_SALIDA_Interactivo_5_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7TJ+oEUytlu/5irlh4Dq5RnWg==">CgMxLjAyDmguZjBibXF2bnc2Zms2OAByITExaHVzcDlpVHpYRGJkdUI2QjdTdDVuSlM4dkFYSkxaag==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2024-08-13T19:40:00Z</dcterms:created>
  <dc:creator>sickboyduke@gmail.com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Order">
    <vt:r8>2500.0</vt:r8>
  </property>
  <property fmtid="{D5CDD505-2E9C-101B-9397-08002B2CF9AE}" pid="4" name="MediaServiceImageTags">
    <vt:lpwstr/>
  </property>
</Properties>
</file>